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703614341" w:edGrp="everyone"/>
    <w:permEnd w:id="703614341"/>
    <w:p w14:paraId="34FFEBB0" w14:textId="51709224" w:rsidR="00886C9D" w:rsidRPr="00886C9D" w:rsidRDefault="00D746C7" w:rsidP="00FB7EEA">
      <w:pPr>
        <w:pStyle w:val="Title"/>
      </w:pPr>
      <w:sdt>
        <w:sdtPr>
          <w:alias w:val="Title"/>
          <w:tag w:val="Title"/>
          <w:id w:val="-509987125"/>
          <w:lock w:val="sdtLocked"/>
          <w:placeholder>
            <w:docPart w:val="9A4B372705B3409AAF02CC4BEC7098C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D61C0">
            <w:t xml:space="preserve">Review of </w:t>
          </w:r>
          <w:r w:rsidR="00BA1675">
            <w:t xml:space="preserve">Legislation and </w:t>
          </w:r>
          <w:r w:rsidR="007D61C0">
            <w:t>the Justice Response</w:t>
          </w:r>
          <w:r w:rsidR="00E45644">
            <w:t xml:space="preserve"> to </w:t>
          </w:r>
          <w:r w:rsidR="00117C6F">
            <w:t>Domestic and Family Vi</w:t>
          </w:r>
          <w:r w:rsidR="00E45644">
            <w:t>olence</w:t>
          </w:r>
          <w:r w:rsidR="006D0A72">
            <w:t xml:space="preserve"> in the Northern Territory</w:t>
          </w:r>
        </w:sdtContent>
      </w:sdt>
    </w:p>
    <w:p w14:paraId="1F8FBEBE" w14:textId="77777777" w:rsidR="007D61C0" w:rsidRDefault="007D61C0" w:rsidP="00456610">
      <w:pPr>
        <w:pStyle w:val="Subtitle0"/>
        <w:numPr>
          <w:ilvl w:val="0"/>
          <w:numId w:val="0"/>
        </w:numPr>
        <w:spacing w:after="0"/>
      </w:pPr>
    </w:p>
    <w:p w14:paraId="2D715A6A" w14:textId="7F03A354" w:rsidR="006973BF" w:rsidRPr="007D61C0" w:rsidRDefault="00EA188F" w:rsidP="00456610">
      <w:pPr>
        <w:pStyle w:val="Subtitle0"/>
        <w:numPr>
          <w:ilvl w:val="0"/>
          <w:numId w:val="0"/>
        </w:numPr>
        <w:spacing w:after="0"/>
        <w:rPr>
          <w:sz w:val="52"/>
          <w:szCs w:val="52"/>
        </w:rPr>
        <w:sectPr w:rsidR="006973BF" w:rsidRPr="007D61C0" w:rsidSect="00FA64B4">
          <w:headerReference w:type="default" r:id="rId10"/>
          <w:footerReference w:type="default" r:id="rId11"/>
          <w:headerReference w:type="first" r:id="rId12"/>
          <w:footerReference w:type="first" r:id="rId13"/>
          <w:pgSz w:w="11906" w:h="16838" w:code="9"/>
          <w:pgMar w:top="243" w:right="794" w:bottom="794" w:left="794" w:header="794" w:footer="794" w:gutter="0"/>
          <w:cols w:space="708"/>
          <w:titlePg/>
          <w:docGrid w:linePitch="360"/>
        </w:sectPr>
      </w:pPr>
      <w:r w:rsidRPr="007D61C0">
        <w:rPr>
          <w:sz w:val="52"/>
          <w:szCs w:val="52"/>
        </w:rPr>
        <w:t>Propos</w:t>
      </w:r>
      <w:r w:rsidR="007D61C0" w:rsidRPr="007D61C0">
        <w:rPr>
          <w:sz w:val="52"/>
          <w:szCs w:val="52"/>
        </w:rPr>
        <w:t>als for consultation</w:t>
      </w:r>
      <w:r w:rsidR="00E45644" w:rsidRPr="007D61C0">
        <w:rPr>
          <w:sz w:val="52"/>
          <w:szCs w:val="52"/>
        </w:rPr>
        <w:t xml:space="preserve"> </w:t>
      </w:r>
    </w:p>
    <w:p w14:paraId="70A662CE" w14:textId="77777777" w:rsidR="003223FE" w:rsidRDefault="003223FE" w:rsidP="00702D61"/>
    <w:tbl>
      <w:tblPr>
        <w:tblStyle w:val="NTGtable1"/>
        <w:tblW w:w="10341" w:type="dxa"/>
        <w:tblLayout w:type="fixed"/>
        <w:tblLook w:val="0120" w:firstRow="1" w:lastRow="0" w:firstColumn="0" w:lastColumn="1" w:noHBand="0" w:noVBand="0"/>
      </w:tblPr>
      <w:tblGrid>
        <w:gridCol w:w="1979"/>
        <w:gridCol w:w="8362"/>
      </w:tblGrid>
      <w:tr w:rsidR="00ED0FB7" w:rsidRPr="00E87DE1" w14:paraId="3315AC1D" w14:textId="77777777" w:rsidTr="00ED0FB7">
        <w:trPr>
          <w:cnfStyle w:val="100000000000" w:firstRow="1" w:lastRow="0" w:firstColumn="0" w:lastColumn="0" w:oddVBand="0" w:evenVBand="0" w:oddHBand="0" w:evenHBand="0" w:firstRowFirstColumn="0" w:firstRowLastColumn="0" w:lastRowFirstColumn="0" w:lastRowLastColumn="0"/>
          <w:trHeight w:val="431"/>
        </w:trPr>
        <w:tc>
          <w:tcPr>
            <w:cnfStyle w:val="000100001000" w:firstRow="0" w:lastRow="0" w:firstColumn="0" w:lastColumn="1" w:oddVBand="0" w:evenVBand="0" w:oddHBand="0" w:evenHBand="0" w:firstRowFirstColumn="0" w:firstRowLastColumn="1" w:lastRowFirstColumn="0" w:lastRowLastColumn="0"/>
            <w:tcW w:w="10341" w:type="dxa"/>
            <w:gridSpan w:val="2"/>
          </w:tcPr>
          <w:p w14:paraId="63043297" w14:textId="772BC57F" w:rsidR="00ED0FB7" w:rsidRPr="00E87DE1" w:rsidRDefault="00ED0FB7" w:rsidP="007B59D3">
            <w:r w:rsidRPr="00E87DE1">
              <w:rPr>
                <w:w w:val="105"/>
              </w:rPr>
              <w:t>Acronyms</w:t>
            </w:r>
            <w:r>
              <w:rPr>
                <w:w w:val="105"/>
              </w:rPr>
              <w:t xml:space="preserve"> / Abbreviations</w:t>
            </w:r>
          </w:p>
        </w:tc>
      </w:tr>
      <w:tr w:rsidR="00D8325B" w:rsidRPr="00E87DE1" w14:paraId="1B7D8727" w14:textId="77777777" w:rsidTr="00ED0FB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178A588" w14:textId="77777777" w:rsidR="00D8325B" w:rsidRDefault="005E7607" w:rsidP="00050358">
            <w:r>
              <w:t>AGD</w:t>
            </w:r>
          </w:p>
        </w:tc>
        <w:tc>
          <w:tcPr>
            <w:cnfStyle w:val="000100000000" w:firstRow="0" w:lastRow="0" w:firstColumn="0" w:lastColumn="1" w:oddVBand="0" w:evenVBand="0" w:oddHBand="0" w:evenHBand="0" w:firstRowFirstColumn="0" w:firstRowLastColumn="0" w:lastRowFirstColumn="0" w:lastRowLastColumn="0"/>
            <w:tcW w:w="8362" w:type="dxa"/>
          </w:tcPr>
          <w:p w14:paraId="6C7339CE" w14:textId="77777777" w:rsidR="00D8325B" w:rsidRPr="00D8325B" w:rsidRDefault="00D8325B" w:rsidP="00050358">
            <w:r>
              <w:t>Department of the Attorney-General and Justice</w:t>
            </w:r>
          </w:p>
        </w:tc>
      </w:tr>
      <w:tr w:rsidR="00ED0FB7" w:rsidRPr="00E87DE1" w14:paraId="6B87DA68" w14:textId="77777777" w:rsidTr="00ED0FB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916B0F2" w14:textId="77777777" w:rsidR="00ED0FB7" w:rsidRDefault="00ED0FB7" w:rsidP="00ED0FB7">
            <w:r>
              <w:t>AJU</w:t>
            </w:r>
          </w:p>
        </w:tc>
        <w:tc>
          <w:tcPr>
            <w:cnfStyle w:val="000100000000" w:firstRow="0" w:lastRow="0" w:firstColumn="0" w:lastColumn="1" w:oddVBand="0" w:evenVBand="0" w:oddHBand="0" w:evenHBand="0" w:firstRowFirstColumn="0" w:firstRowLastColumn="0" w:lastRowFirstColumn="0" w:lastRowLastColumn="0"/>
            <w:tcW w:w="8362" w:type="dxa"/>
          </w:tcPr>
          <w:p w14:paraId="768F1E3C" w14:textId="77777777" w:rsidR="00ED0FB7" w:rsidRDefault="00ED0FB7" w:rsidP="00ED0FB7">
            <w:r>
              <w:rPr>
                <w:lang w:eastAsia="en-AU"/>
              </w:rPr>
              <w:t>Aboriginal Justice Agreement</w:t>
            </w:r>
          </w:p>
        </w:tc>
      </w:tr>
      <w:tr w:rsidR="007F4EF5" w:rsidRPr="00E87DE1" w14:paraId="2E8776D0" w14:textId="77777777" w:rsidTr="00ED0FB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39B6ABA0" w14:textId="77777777" w:rsidR="007F4EF5" w:rsidRDefault="007F4EF5" w:rsidP="00050358">
            <w:r>
              <w:t>ANROWS</w:t>
            </w:r>
          </w:p>
        </w:tc>
        <w:tc>
          <w:tcPr>
            <w:cnfStyle w:val="000100000000" w:firstRow="0" w:lastRow="0" w:firstColumn="0" w:lastColumn="1" w:oddVBand="0" w:evenVBand="0" w:oddHBand="0" w:evenHBand="0" w:firstRowFirstColumn="0" w:firstRowLastColumn="0" w:lastRowFirstColumn="0" w:lastRowLastColumn="0"/>
            <w:tcW w:w="8362" w:type="dxa"/>
          </w:tcPr>
          <w:p w14:paraId="2FE2E567" w14:textId="77777777" w:rsidR="007F4EF5" w:rsidRPr="00D8325B" w:rsidRDefault="007F4EF5" w:rsidP="007F4EF5">
            <w:r>
              <w:t xml:space="preserve">Australian National Research Organisation on Women’s Safety </w:t>
            </w:r>
          </w:p>
        </w:tc>
      </w:tr>
      <w:tr w:rsidR="00ED0FB7" w:rsidRPr="00E87DE1" w14:paraId="6786AC5A" w14:textId="77777777" w:rsidTr="00ED0FB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F6DB9EC" w14:textId="77777777" w:rsidR="00ED0FB7" w:rsidRDefault="00ED0FB7" w:rsidP="00ED0FB7">
            <w:r>
              <w:t>DFSV</w:t>
            </w:r>
          </w:p>
        </w:tc>
        <w:tc>
          <w:tcPr>
            <w:cnfStyle w:val="000100000000" w:firstRow="0" w:lastRow="0" w:firstColumn="0" w:lastColumn="1" w:oddVBand="0" w:evenVBand="0" w:oddHBand="0" w:evenHBand="0" w:firstRowFirstColumn="0" w:firstRowLastColumn="0" w:lastRowFirstColumn="0" w:lastRowLastColumn="0"/>
            <w:tcW w:w="8362" w:type="dxa"/>
          </w:tcPr>
          <w:p w14:paraId="1F825F17" w14:textId="77777777" w:rsidR="00ED0FB7" w:rsidRPr="00D8325B" w:rsidRDefault="00ED0FB7" w:rsidP="00ED0FB7">
            <w:r>
              <w:rPr>
                <w:iCs/>
              </w:rPr>
              <w:t>Domestic, Family and Sexual Violence</w:t>
            </w:r>
          </w:p>
        </w:tc>
      </w:tr>
      <w:tr w:rsidR="00ED0FB7" w:rsidRPr="00E87DE1" w14:paraId="4E46A94A" w14:textId="77777777" w:rsidTr="00ED0FB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348EDEF9" w14:textId="77777777" w:rsidR="00ED0FB7" w:rsidRDefault="00ED0FB7" w:rsidP="00ED0FB7">
            <w:r>
              <w:t>DFSV-ICRO</w:t>
            </w:r>
          </w:p>
        </w:tc>
        <w:tc>
          <w:tcPr>
            <w:cnfStyle w:val="000100000000" w:firstRow="0" w:lastRow="0" w:firstColumn="0" w:lastColumn="1" w:oddVBand="0" w:evenVBand="0" w:oddHBand="0" w:evenHBand="0" w:firstRowFirstColumn="0" w:firstRowLastColumn="0" w:lastRowFirstColumn="0" w:lastRowLastColumn="0"/>
            <w:tcW w:w="8362" w:type="dxa"/>
          </w:tcPr>
          <w:p w14:paraId="680CCDF9" w14:textId="77777777" w:rsidR="00ED0FB7" w:rsidRPr="00D8325B" w:rsidRDefault="00ED0FB7" w:rsidP="00ED0FB7">
            <w:r>
              <w:rPr>
                <w:iCs/>
              </w:rPr>
              <w:t>Domestic, Family and Sexual Violence Inter-agency Co-ordination and Reform Office</w:t>
            </w:r>
          </w:p>
        </w:tc>
      </w:tr>
      <w:tr w:rsidR="00D8325B" w:rsidRPr="00E87DE1" w14:paraId="5B05C590" w14:textId="77777777" w:rsidTr="00ED0FB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DE5CD9A" w14:textId="77777777" w:rsidR="00D8325B" w:rsidRDefault="00D8325B" w:rsidP="00050358">
            <w:r>
              <w:t>DFV</w:t>
            </w:r>
          </w:p>
        </w:tc>
        <w:tc>
          <w:tcPr>
            <w:cnfStyle w:val="000100000000" w:firstRow="0" w:lastRow="0" w:firstColumn="0" w:lastColumn="1" w:oddVBand="0" w:evenVBand="0" w:oddHBand="0" w:evenHBand="0" w:firstRowFirstColumn="0" w:firstRowLastColumn="0" w:lastRowFirstColumn="0" w:lastRowLastColumn="0"/>
            <w:tcW w:w="8362" w:type="dxa"/>
          </w:tcPr>
          <w:p w14:paraId="140D3DBA" w14:textId="77777777" w:rsidR="00D8325B" w:rsidRPr="00D8325B" w:rsidRDefault="00D8325B" w:rsidP="00050358">
            <w:r w:rsidRPr="00D8325B">
              <w:t>Domestic and Family Violence</w:t>
            </w:r>
          </w:p>
        </w:tc>
      </w:tr>
      <w:tr w:rsidR="003223FE" w:rsidRPr="00E87DE1" w14:paraId="48F31196" w14:textId="77777777" w:rsidTr="00ED0FB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778F99C" w14:textId="35A922F0" w:rsidR="003223FE" w:rsidRPr="00050358" w:rsidRDefault="00D8325B" w:rsidP="00050358">
            <w:r>
              <w:t>DFV</w:t>
            </w:r>
            <w:r w:rsidR="003E0BE5">
              <w:t xml:space="preserve"> </w:t>
            </w:r>
            <w:r>
              <w:t>A</w:t>
            </w:r>
            <w:r w:rsidR="003E0BE5">
              <w:t>ct</w:t>
            </w:r>
          </w:p>
        </w:tc>
        <w:tc>
          <w:tcPr>
            <w:cnfStyle w:val="000100000000" w:firstRow="0" w:lastRow="0" w:firstColumn="0" w:lastColumn="1" w:oddVBand="0" w:evenVBand="0" w:oddHBand="0" w:evenHBand="0" w:firstRowFirstColumn="0" w:firstRowLastColumn="0" w:lastRowFirstColumn="0" w:lastRowLastColumn="0"/>
            <w:tcW w:w="8362" w:type="dxa"/>
          </w:tcPr>
          <w:p w14:paraId="470C9669" w14:textId="77777777" w:rsidR="003223FE" w:rsidRPr="00D8325B" w:rsidRDefault="00D8325B" w:rsidP="00050358">
            <w:pPr>
              <w:rPr>
                <w:i/>
              </w:rPr>
            </w:pPr>
            <w:r w:rsidRPr="00D8325B">
              <w:rPr>
                <w:i/>
              </w:rPr>
              <w:t>Domestic and Family Violence Act 2007</w:t>
            </w:r>
            <w:r w:rsidR="007F4EF5" w:rsidRPr="007F4EF5">
              <w:t xml:space="preserve"> (NT)</w:t>
            </w:r>
          </w:p>
        </w:tc>
      </w:tr>
      <w:tr w:rsidR="003223FE" w:rsidRPr="00E87DE1" w14:paraId="09B3790A" w14:textId="77777777" w:rsidTr="00ED0FB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FF6805C" w14:textId="77777777" w:rsidR="003223FE" w:rsidRPr="00050358" w:rsidRDefault="005A366E" w:rsidP="00050358">
            <w:r>
              <w:t>DVO</w:t>
            </w:r>
          </w:p>
        </w:tc>
        <w:tc>
          <w:tcPr>
            <w:cnfStyle w:val="000100000000" w:firstRow="0" w:lastRow="0" w:firstColumn="0" w:lastColumn="1" w:oddVBand="0" w:evenVBand="0" w:oddHBand="0" w:evenHBand="0" w:firstRowFirstColumn="0" w:firstRowLastColumn="0" w:lastRowFirstColumn="0" w:lastRowLastColumn="0"/>
            <w:tcW w:w="8362" w:type="dxa"/>
          </w:tcPr>
          <w:p w14:paraId="1EA70D3C" w14:textId="77777777" w:rsidR="003223FE" w:rsidRPr="00050358" w:rsidRDefault="005A366E" w:rsidP="00050358">
            <w:r>
              <w:t>Domestic Violence Order</w:t>
            </w:r>
          </w:p>
        </w:tc>
      </w:tr>
      <w:tr w:rsidR="00491983" w:rsidRPr="00E87DE1" w14:paraId="1ED7CCB2" w14:textId="77777777" w:rsidTr="00ED0FB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832D6CA" w14:textId="6E361B77" w:rsidR="00491983" w:rsidRDefault="00491983" w:rsidP="00050358">
            <w:r>
              <w:t>LGBTIQ+</w:t>
            </w:r>
          </w:p>
        </w:tc>
        <w:tc>
          <w:tcPr>
            <w:cnfStyle w:val="000100000000" w:firstRow="0" w:lastRow="0" w:firstColumn="0" w:lastColumn="1" w:oddVBand="0" w:evenVBand="0" w:oddHBand="0" w:evenHBand="0" w:firstRowFirstColumn="0" w:firstRowLastColumn="0" w:lastRowFirstColumn="0" w:lastRowLastColumn="0"/>
            <w:tcW w:w="8362" w:type="dxa"/>
          </w:tcPr>
          <w:p w14:paraId="4166C672" w14:textId="62E97A86" w:rsidR="00491983" w:rsidRDefault="00491983" w:rsidP="00491983">
            <w:r>
              <w:t>Lesbian, Gay, Bisexual, Transgender, Intersex, Queer</w:t>
            </w:r>
          </w:p>
        </w:tc>
      </w:tr>
      <w:tr w:rsidR="00FB4E3A" w:rsidRPr="00E87DE1" w14:paraId="084D9167" w14:textId="77777777" w:rsidTr="00ED0FB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115F79D" w14:textId="7498FD9C" w:rsidR="00FB4E3A" w:rsidRPr="00050358" w:rsidRDefault="002A3578" w:rsidP="00050358">
            <w:r>
              <w:t>NTPFES</w:t>
            </w:r>
          </w:p>
        </w:tc>
        <w:tc>
          <w:tcPr>
            <w:cnfStyle w:val="000100000000" w:firstRow="0" w:lastRow="0" w:firstColumn="0" w:lastColumn="1" w:oddVBand="0" w:evenVBand="0" w:oddHBand="0" w:evenHBand="0" w:firstRowFirstColumn="0" w:firstRowLastColumn="0" w:lastRowFirstColumn="0" w:lastRowLastColumn="0"/>
            <w:tcW w:w="8362" w:type="dxa"/>
          </w:tcPr>
          <w:p w14:paraId="52C91C3F" w14:textId="691DD351" w:rsidR="00FB4E3A" w:rsidRPr="00050358" w:rsidRDefault="002A3578" w:rsidP="003E0BE5">
            <w:r>
              <w:t>Northern Territory Police, Fire and Emergency Services</w:t>
            </w:r>
          </w:p>
        </w:tc>
      </w:tr>
      <w:tr w:rsidR="000A0775" w:rsidRPr="00E87DE1" w14:paraId="036AB74F" w14:textId="77777777" w:rsidTr="00ED0FB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928AFF2" w14:textId="4252D020" w:rsidR="000A0775" w:rsidRDefault="000A0775" w:rsidP="00050358">
            <w:r w:rsidRPr="006334F7">
              <w:rPr>
                <w:iCs/>
                <w:lang w:eastAsia="en-AU"/>
              </w:rPr>
              <w:t>RAMF</w:t>
            </w:r>
          </w:p>
        </w:tc>
        <w:tc>
          <w:tcPr>
            <w:cnfStyle w:val="000100000000" w:firstRow="0" w:lastRow="0" w:firstColumn="0" w:lastColumn="1" w:oddVBand="0" w:evenVBand="0" w:oddHBand="0" w:evenHBand="0" w:firstRowFirstColumn="0" w:firstRowLastColumn="0" w:lastRowFirstColumn="0" w:lastRowLastColumn="0"/>
            <w:tcW w:w="8362" w:type="dxa"/>
          </w:tcPr>
          <w:p w14:paraId="28F2BDDE" w14:textId="4FF34847" w:rsidR="000A0775" w:rsidRDefault="00F31BAE" w:rsidP="000A0775">
            <w:pPr>
              <w:rPr>
                <w:lang w:eastAsia="en-AU"/>
              </w:rPr>
            </w:pPr>
            <w:r>
              <w:rPr>
                <w:lang w:eastAsia="en-AU"/>
              </w:rPr>
              <w:t xml:space="preserve">The NT’s </w:t>
            </w:r>
            <w:r w:rsidR="000A0775" w:rsidRPr="000A0775">
              <w:rPr>
                <w:lang w:eastAsia="en-AU"/>
              </w:rPr>
              <w:t>DFV Risk Assessment and Management Framework</w:t>
            </w:r>
            <w:r w:rsidR="000A0775">
              <w:rPr>
                <w:i/>
                <w:lang w:eastAsia="en-AU"/>
              </w:rPr>
              <w:t xml:space="preserve"> </w:t>
            </w:r>
          </w:p>
        </w:tc>
      </w:tr>
      <w:tr w:rsidR="00ED0FB7" w:rsidRPr="00E87DE1" w14:paraId="0D2635B0" w14:textId="77777777" w:rsidTr="00ED0FB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C1308AA" w14:textId="77777777" w:rsidR="00ED0FB7" w:rsidRPr="00050358" w:rsidRDefault="00ED0FB7" w:rsidP="00ED0FB7">
            <w:r>
              <w:t>TFHC</w:t>
            </w:r>
          </w:p>
        </w:tc>
        <w:tc>
          <w:tcPr>
            <w:cnfStyle w:val="000100000000" w:firstRow="0" w:lastRow="0" w:firstColumn="0" w:lastColumn="1" w:oddVBand="0" w:evenVBand="0" w:oddHBand="0" w:evenHBand="0" w:firstRowFirstColumn="0" w:firstRowLastColumn="0" w:lastRowFirstColumn="0" w:lastRowLastColumn="0"/>
            <w:tcW w:w="8362" w:type="dxa"/>
          </w:tcPr>
          <w:p w14:paraId="31405C6B" w14:textId="77777777" w:rsidR="00ED0FB7" w:rsidRPr="00050358" w:rsidRDefault="00ED0FB7" w:rsidP="00ED0FB7">
            <w:r>
              <w:t>Department of Territory Families, Housing and Communities</w:t>
            </w:r>
          </w:p>
        </w:tc>
      </w:tr>
      <w:tr w:rsidR="00ED0FB7" w:rsidRPr="00E87DE1" w14:paraId="222403A9" w14:textId="77777777" w:rsidTr="00ED0FB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817A328" w14:textId="4798ED91" w:rsidR="00ED0FB7" w:rsidRDefault="00ED0FB7" w:rsidP="00ED0FB7">
            <w:r>
              <w:t>WLSV</w:t>
            </w:r>
          </w:p>
        </w:tc>
        <w:tc>
          <w:tcPr>
            <w:cnfStyle w:val="000100000000" w:firstRow="0" w:lastRow="0" w:firstColumn="0" w:lastColumn="1" w:oddVBand="0" w:evenVBand="0" w:oddHBand="0" w:evenHBand="0" w:firstRowFirstColumn="0" w:firstRowLastColumn="0" w:lastRowFirstColumn="0" w:lastRowLastColumn="0"/>
            <w:tcW w:w="8362" w:type="dxa"/>
          </w:tcPr>
          <w:p w14:paraId="0DDAE8DC" w14:textId="41A7AEE6" w:rsidR="00ED0FB7" w:rsidRDefault="00ED0FB7" w:rsidP="00ED0FB7">
            <w:r>
              <w:t>Women’s Legal Service Victoria</w:t>
            </w:r>
          </w:p>
        </w:tc>
      </w:tr>
    </w:tbl>
    <w:p w14:paraId="22CFE134" w14:textId="77777777" w:rsidR="00702D61" w:rsidRDefault="00702D61" w:rsidP="00702D61">
      <w:r>
        <w:br w:type="page"/>
      </w:r>
    </w:p>
    <w:sdt>
      <w:sdtPr>
        <w:rPr>
          <w:rFonts w:ascii="Lato" w:eastAsia="Calibri" w:hAnsi="Lato" w:cs="Times New Roman"/>
          <w:bCs w:val="0"/>
          <w:color w:val="auto"/>
          <w:sz w:val="22"/>
          <w:szCs w:val="22"/>
        </w:rPr>
        <w:id w:val="-738554585"/>
        <w:docPartObj>
          <w:docPartGallery w:val="Table of Contents"/>
          <w:docPartUnique/>
        </w:docPartObj>
      </w:sdtPr>
      <w:sdtEndPr>
        <w:rPr>
          <w:b/>
          <w:noProof/>
        </w:rPr>
      </w:sdtEndPr>
      <w:sdtContent>
        <w:p w14:paraId="1BFF57FE" w14:textId="77777777" w:rsidR="007C2400" w:rsidRDefault="007C2400">
          <w:pPr>
            <w:pStyle w:val="TOCHeading"/>
          </w:pPr>
          <w:r>
            <w:t>Contents</w:t>
          </w:r>
        </w:p>
        <w:p w14:paraId="74D35FD0" w14:textId="5258EBBA" w:rsidR="00F533FD" w:rsidRDefault="007C2400">
          <w:pPr>
            <w:pStyle w:val="TOC1"/>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112051790" w:history="1">
            <w:r w:rsidR="00F533FD" w:rsidRPr="009C799F">
              <w:rPr>
                <w:rStyle w:val="Hyperlink"/>
                <w:noProof/>
                <w:lang w:eastAsia="en-AU"/>
              </w:rPr>
              <w:t>1. Introduction</w:t>
            </w:r>
            <w:r w:rsidR="00F533FD">
              <w:rPr>
                <w:noProof/>
                <w:webHidden/>
              </w:rPr>
              <w:tab/>
            </w:r>
            <w:r w:rsidR="00F533FD">
              <w:rPr>
                <w:noProof/>
                <w:webHidden/>
              </w:rPr>
              <w:fldChar w:fldCharType="begin"/>
            </w:r>
            <w:r w:rsidR="00F533FD">
              <w:rPr>
                <w:noProof/>
                <w:webHidden/>
              </w:rPr>
              <w:instrText xml:space="preserve"> PAGEREF _Toc112051790 \h </w:instrText>
            </w:r>
            <w:r w:rsidR="00F533FD">
              <w:rPr>
                <w:noProof/>
                <w:webHidden/>
              </w:rPr>
            </w:r>
            <w:r w:rsidR="00F533FD">
              <w:rPr>
                <w:noProof/>
                <w:webHidden/>
              </w:rPr>
              <w:fldChar w:fldCharType="separate"/>
            </w:r>
            <w:r w:rsidR="00F533FD">
              <w:rPr>
                <w:noProof/>
                <w:webHidden/>
              </w:rPr>
              <w:t>8</w:t>
            </w:r>
            <w:r w:rsidR="00F533FD">
              <w:rPr>
                <w:noProof/>
                <w:webHidden/>
              </w:rPr>
              <w:fldChar w:fldCharType="end"/>
            </w:r>
          </w:hyperlink>
        </w:p>
        <w:p w14:paraId="6C0FA612" w14:textId="28740A3F" w:rsidR="00F533FD" w:rsidRDefault="00F533FD">
          <w:pPr>
            <w:pStyle w:val="TOC2"/>
            <w:rPr>
              <w:rFonts w:asciiTheme="minorHAnsi" w:eastAsiaTheme="minorEastAsia" w:hAnsiTheme="minorHAnsi" w:cstheme="minorBidi"/>
              <w:noProof/>
              <w:lang w:eastAsia="en-AU"/>
            </w:rPr>
          </w:pPr>
          <w:hyperlink w:anchor="_Toc112051791" w:history="1">
            <w:r w:rsidRPr="009C799F">
              <w:rPr>
                <w:rStyle w:val="Hyperlink"/>
                <w:noProof/>
                <w:lang w:eastAsia="en-AU"/>
              </w:rPr>
              <w:t>1.1. Purpose and scope of the review</w:t>
            </w:r>
            <w:r>
              <w:rPr>
                <w:noProof/>
                <w:webHidden/>
              </w:rPr>
              <w:tab/>
            </w:r>
            <w:r>
              <w:rPr>
                <w:noProof/>
                <w:webHidden/>
              </w:rPr>
              <w:fldChar w:fldCharType="begin"/>
            </w:r>
            <w:r>
              <w:rPr>
                <w:noProof/>
                <w:webHidden/>
              </w:rPr>
              <w:instrText xml:space="preserve"> PAGEREF _Toc112051791 \h </w:instrText>
            </w:r>
            <w:r>
              <w:rPr>
                <w:noProof/>
                <w:webHidden/>
              </w:rPr>
            </w:r>
            <w:r>
              <w:rPr>
                <w:noProof/>
                <w:webHidden/>
              </w:rPr>
              <w:fldChar w:fldCharType="separate"/>
            </w:r>
            <w:r>
              <w:rPr>
                <w:noProof/>
                <w:webHidden/>
              </w:rPr>
              <w:t>9</w:t>
            </w:r>
            <w:r>
              <w:rPr>
                <w:noProof/>
                <w:webHidden/>
              </w:rPr>
              <w:fldChar w:fldCharType="end"/>
            </w:r>
          </w:hyperlink>
        </w:p>
        <w:p w14:paraId="2F62F5F4" w14:textId="4E1C9928" w:rsidR="00F533FD" w:rsidRDefault="00F533FD">
          <w:pPr>
            <w:pStyle w:val="TOC2"/>
            <w:rPr>
              <w:rFonts w:asciiTheme="minorHAnsi" w:eastAsiaTheme="minorEastAsia" w:hAnsiTheme="minorHAnsi" w:cstheme="minorBidi"/>
              <w:noProof/>
              <w:lang w:eastAsia="en-AU"/>
            </w:rPr>
          </w:pPr>
          <w:hyperlink w:anchor="_Toc112051792" w:history="1">
            <w:r w:rsidRPr="009C799F">
              <w:rPr>
                <w:rStyle w:val="Hyperlink"/>
                <w:noProof/>
                <w:lang w:eastAsia="en-AU"/>
              </w:rPr>
              <w:t>1.2. Structure of this paper</w:t>
            </w:r>
            <w:r>
              <w:rPr>
                <w:noProof/>
                <w:webHidden/>
              </w:rPr>
              <w:tab/>
            </w:r>
            <w:r>
              <w:rPr>
                <w:noProof/>
                <w:webHidden/>
              </w:rPr>
              <w:fldChar w:fldCharType="begin"/>
            </w:r>
            <w:r>
              <w:rPr>
                <w:noProof/>
                <w:webHidden/>
              </w:rPr>
              <w:instrText xml:space="preserve"> PAGEREF _Toc112051792 \h </w:instrText>
            </w:r>
            <w:r>
              <w:rPr>
                <w:noProof/>
                <w:webHidden/>
              </w:rPr>
            </w:r>
            <w:r>
              <w:rPr>
                <w:noProof/>
                <w:webHidden/>
              </w:rPr>
              <w:fldChar w:fldCharType="separate"/>
            </w:r>
            <w:r>
              <w:rPr>
                <w:noProof/>
                <w:webHidden/>
              </w:rPr>
              <w:t>9</w:t>
            </w:r>
            <w:r>
              <w:rPr>
                <w:noProof/>
                <w:webHidden/>
              </w:rPr>
              <w:fldChar w:fldCharType="end"/>
            </w:r>
          </w:hyperlink>
        </w:p>
        <w:p w14:paraId="02825D66" w14:textId="067734F5" w:rsidR="00F533FD" w:rsidRDefault="00F533FD">
          <w:pPr>
            <w:pStyle w:val="TOC2"/>
            <w:rPr>
              <w:rFonts w:asciiTheme="minorHAnsi" w:eastAsiaTheme="minorEastAsia" w:hAnsiTheme="minorHAnsi" w:cstheme="minorBidi"/>
              <w:noProof/>
              <w:lang w:eastAsia="en-AU"/>
            </w:rPr>
          </w:pPr>
          <w:hyperlink w:anchor="_Toc112051793" w:history="1">
            <w:r w:rsidRPr="009C799F">
              <w:rPr>
                <w:rStyle w:val="Hyperlink"/>
                <w:noProof/>
                <w:lang w:eastAsia="en-AU"/>
              </w:rPr>
              <w:t>1.3. Terminology</w:t>
            </w:r>
            <w:r>
              <w:rPr>
                <w:noProof/>
                <w:webHidden/>
              </w:rPr>
              <w:tab/>
            </w:r>
            <w:r>
              <w:rPr>
                <w:noProof/>
                <w:webHidden/>
              </w:rPr>
              <w:fldChar w:fldCharType="begin"/>
            </w:r>
            <w:r>
              <w:rPr>
                <w:noProof/>
                <w:webHidden/>
              </w:rPr>
              <w:instrText xml:space="preserve"> PAGEREF _Toc112051793 \h </w:instrText>
            </w:r>
            <w:r>
              <w:rPr>
                <w:noProof/>
                <w:webHidden/>
              </w:rPr>
            </w:r>
            <w:r>
              <w:rPr>
                <w:noProof/>
                <w:webHidden/>
              </w:rPr>
              <w:fldChar w:fldCharType="separate"/>
            </w:r>
            <w:r>
              <w:rPr>
                <w:noProof/>
                <w:webHidden/>
              </w:rPr>
              <w:t>10</w:t>
            </w:r>
            <w:r>
              <w:rPr>
                <w:noProof/>
                <w:webHidden/>
              </w:rPr>
              <w:fldChar w:fldCharType="end"/>
            </w:r>
          </w:hyperlink>
        </w:p>
        <w:p w14:paraId="5E45B7AB" w14:textId="5DA8C2AF" w:rsidR="00F533FD" w:rsidRDefault="00F533FD">
          <w:pPr>
            <w:pStyle w:val="TOC2"/>
            <w:rPr>
              <w:rFonts w:asciiTheme="minorHAnsi" w:eastAsiaTheme="minorEastAsia" w:hAnsiTheme="minorHAnsi" w:cstheme="minorBidi"/>
              <w:noProof/>
              <w:lang w:eastAsia="en-AU"/>
            </w:rPr>
          </w:pPr>
          <w:hyperlink w:anchor="_Toc112051794" w:history="1">
            <w:r w:rsidRPr="009C799F">
              <w:rPr>
                <w:rStyle w:val="Hyperlink"/>
                <w:noProof/>
                <w:lang w:eastAsia="en-AU"/>
              </w:rPr>
              <w:t>1.4. Policy context</w:t>
            </w:r>
            <w:r>
              <w:rPr>
                <w:noProof/>
                <w:webHidden/>
              </w:rPr>
              <w:tab/>
            </w:r>
            <w:r>
              <w:rPr>
                <w:noProof/>
                <w:webHidden/>
              </w:rPr>
              <w:fldChar w:fldCharType="begin"/>
            </w:r>
            <w:r>
              <w:rPr>
                <w:noProof/>
                <w:webHidden/>
              </w:rPr>
              <w:instrText xml:space="preserve"> PAGEREF _Toc112051794 \h </w:instrText>
            </w:r>
            <w:r>
              <w:rPr>
                <w:noProof/>
                <w:webHidden/>
              </w:rPr>
            </w:r>
            <w:r>
              <w:rPr>
                <w:noProof/>
                <w:webHidden/>
              </w:rPr>
              <w:fldChar w:fldCharType="separate"/>
            </w:r>
            <w:r>
              <w:rPr>
                <w:noProof/>
                <w:webHidden/>
              </w:rPr>
              <w:t>10</w:t>
            </w:r>
            <w:r>
              <w:rPr>
                <w:noProof/>
                <w:webHidden/>
              </w:rPr>
              <w:fldChar w:fldCharType="end"/>
            </w:r>
          </w:hyperlink>
        </w:p>
        <w:p w14:paraId="33A3FC02" w14:textId="13A18E05" w:rsidR="00F533FD" w:rsidRDefault="00F533FD">
          <w:pPr>
            <w:pStyle w:val="TOC2"/>
            <w:rPr>
              <w:rFonts w:asciiTheme="minorHAnsi" w:eastAsiaTheme="minorEastAsia" w:hAnsiTheme="minorHAnsi" w:cstheme="minorBidi"/>
              <w:noProof/>
              <w:lang w:eastAsia="en-AU"/>
            </w:rPr>
          </w:pPr>
          <w:hyperlink w:anchor="_Toc112051795" w:history="1">
            <w:r w:rsidRPr="009C799F">
              <w:rPr>
                <w:rStyle w:val="Hyperlink"/>
                <w:noProof/>
                <w:lang w:eastAsia="en-AU"/>
              </w:rPr>
              <w:t>1.5. Methodology</w:t>
            </w:r>
            <w:r>
              <w:rPr>
                <w:noProof/>
                <w:webHidden/>
              </w:rPr>
              <w:tab/>
            </w:r>
            <w:r>
              <w:rPr>
                <w:noProof/>
                <w:webHidden/>
              </w:rPr>
              <w:fldChar w:fldCharType="begin"/>
            </w:r>
            <w:r>
              <w:rPr>
                <w:noProof/>
                <w:webHidden/>
              </w:rPr>
              <w:instrText xml:space="preserve"> PAGEREF _Toc112051795 \h </w:instrText>
            </w:r>
            <w:r>
              <w:rPr>
                <w:noProof/>
                <w:webHidden/>
              </w:rPr>
            </w:r>
            <w:r>
              <w:rPr>
                <w:noProof/>
                <w:webHidden/>
              </w:rPr>
              <w:fldChar w:fldCharType="separate"/>
            </w:r>
            <w:r>
              <w:rPr>
                <w:noProof/>
                <w:webHidden/>
              </w:rPr>
              <w:t>11</w:t>
            </w:r>
            <w:r>
              <w:rPr>
                <w:noProof/>
                <w:webHidden/>
              </w:rPr>
              <w:fldChar w:fldCharType="end"/>
            </w:r>
          </w:hyperlink>
        </w:p>
        <w:p w14:paraId="35079DE3" w14:textId="566456FA" w:rsidR="00F533FD" w:rsidRDefault="00F533FD">
          <w:pPr>
            <w:pStyle w:val="TOC2"/>
            <w:rPr>
              <w:rFonts w:asciiTheme="minorHAnsi" w:eastAsiaTheme="minorEastAsia" w:hAnsiTheme="minorHAnsi" w:cstheme="minorBidi"/>
              <w:noProof/>
              <w:lang w:eastAsia="en-AU"/>
            </w:rPr>
          </w:pPr>
          <w:hyperlink w:anchor="_Toc112051796" w:history="1">
            <w:r w:rsidRPr="009C799F">
              <w:rPr>
                <w:rStyle w:val="Hyperlink"/>
                <w:noProof/>
                <w:lang w:eastAsia="en-AU"/>
              </w:rPr>
              <w:t>1.6. Work in other jurisdictions</w:t>
            </w:r>
            <w:r>
              <w:rPr>
                <w:noProof/>
                <w:webHidden/>
              </w:rPr>
              <w:tab/>
            </w:r>
            <w:r>
              <w:rPr>
                <w:noProof/>
                <w:webHidden/>
              </w:rPr>
              <w:fldChar w:fldCharType="begin"/>
            </w:r>
            <w:r>
              <w:rPr>
                <w:noProof/>
                <w:webHidden/>
              </w:rPr>
              <w:instrText xml:space="preserve"> PAGEREF _Toc112051796 \h </w:instrText>
            </w:r>
            <w:r>
              <w:rPr>
                <w:noProof/>
                <w:webHidden/>
              </w:rPr>
            </w:r>
            <w:r>
              <w:rPr>
                <w:noProof/>
                <w:webHidden/>
              </w:rPr>
              <w:fldChar w:fldCharType="separate"/>
            </w:r>
            <w:r>
              <w:rPr>
                <w:noProof/>
                <w:webHidden/>
              </w:rPr>
              <w:t>12</w:t>
            </w:r>
            <w:r>
              <w:rPr>
                <w:noProof/>
                <w:webHidden/>
              </w:rPr>
              <w:fldChar w:fldCharType="end"/>
            </w:r>
          </w:hyperlink>
        </w:p>
        <w:p w14:paraId="0040DA0C" w14:textId="17CC027F" w:rsidR="00F533FD" w:rsidRDefault="00F533FD">
          <w:pPr>
            <w:pStyle w:val="TOC2"/>
            <w:rPr>
              <w:rFonts w:asciiTheme="minorHAnsi" w:eastAsiaTheme="minorEastAsia" w:hAnsiTheme="minorHAnsi" w:cstheme="minorBidi"/>
              <w:noProof/>
              <w:lang w:eastAsia="en-AU"/>
            </w:rPr>
          </w:pPr>
          <w:hyperlink w:anchor="_Toc112051797" w:history="1">
            <w:r w:rsidRPr="009C799F">
              <w:rPr>
                <w:rStyle w:val="Hyperlink"/>
                <w:noProof/>
                <w:lang w:eastAsia="en-AU"/>
              </w:rPr>
              <w:t>1.7. Consultation process</w:t>
            </w:r>
            <w:r>
              <w:rPr>
                <w:noProof/>
                <w:webHidden/>
              </w:rPr>
              <w:tab/>
            </w:r>
            <w:r>
              <w:rPr>
                <w:noProof/>
                <w:webHidden/>
              </w:rPr>
              <w:fldChar w:fldCharType="begin"/>
            </w:r>
            <w:r>
              <w:rPr>
                <w:noProof/>
                <w:webHidden/>
              </w:rPr>
              <w:instrText xml:space="preserve"> PAGEREF _Toc112051797 \h </w:instrText>
            </w:r>
            <w:r>
              <w:rPr>
                <w:noProof/>
                <w:webHidden/>
              </w:rPr>
            </w:r>
            <w:r>
              <w:rPr>
                <w:noProof/>
                <w:webHidden/>
              </w:rPr>
              <w:fldChar w:fldCharType="separate"/>
            </w:r>
            <w:r>
              <w:rPr>
                <w:noProof/>
                <w:webHidden/>
              </w:rPr>
              <w:t>14</w:t>
            </w:r>
            <w:r>
              <w:rPr>
                <w:noProof/>
                <w:webHidden/>
              </w:rPr>
              <w:fldChar w:fldCharType="end"/>
            </w:r>
          </w:hyperlink>
        </w:p>
        <w:p w14:paraId="52F9A3E6" w14:textId="0A0DD962" w:rsidR="00F533FD" w:rsidRDefault="00F533FD">
          <w:pPr>
            <w:pStyle w:val="TOC1"/>
            <w:rPr>
              <w:rFonts w:asciiTheme="minorHAnsi" w:eastAsiaTheme="minorEastAsia" w:hAnsiTheme="minorHAnsi" w:cstheme="minorBidi"/>
              <w:b w:val="0"/>
              <w:noProof/>
              <w:lang w:eastAsia="en-AU"/>
            </w:rPr>
          </w:pPr>
          <w:hyperlink w:anchor="_Toc112051798" w:history="1">
            <w:r w:rsidRPr="009C799F">
              <w:rPr>
                <w:rStyle w:val="Hyperlink"/>
                <w:noProof/>
                <w:lang w:eastAsia="en-AU"/>
              </w:rPr>
              <w:t>2. Overview of domestic and family violence</w:t>
            </w:r>
            <w:r>
              <w:rPr>
                <w:noProof/>
                <w:webHidden/>
              </w:rPr>
              <w:tab/>
            </w:r>
            <w:r>
              <w:rPr>
                <w:noProof/>
                <w:webHidden/>
              </w:rPr>
              <w:fldChar w:fldCharType="begin"/>
            </w:r>
            <w:r>
              <w:rPr>
                <w:noProof/>
                <w:webHidden/>
              </w:rPr>
              <w:instrText xml:space="preserve"> PAGEREF _Toc112051798 \h </w:instrText>
            </w:r>
            <w:r>
              <w:rPr>
                <w:noProof/>
                <w:webHidden/>
              </w:rPr>
            </w:r>
            <w:r>
              <w:rPr>
                <w:noProof/>
                <w:webHidden/>
              </w:rPr>
              <w:fldChar w:fldCharType="separate"/>
            </w:r>
            <w:r>
              <w:rPr>
                <w:noProof/>
                <w:webHidden/>
              </w:rPr>
              <w:t>15</w:t>
            </w:r>
            <w:r>
              <w:rPr>
                <w:noProof/>
                <w:webHidden/>
              </w:rPr>
              <w:fldChar w:fldCharType="end"/>
            </w:r>
          </w:hyperlink>
        </w:p>
        <w:p w14:paraId="4E118878" w14:textId="1FDB4AEB" w:rsidR="00F533FD" w:rsidRDefault="00F533FD">
          <w:pPr>
            <w:pStyle w:val="TOC2"/>
            <w:rPr>
              <w:rFonts w:asciiTheme="minorHAnsi" w:eastAsiaTheme="minorEastAsia" w:hAnsiTheme="minorHAnsi" w:cstheme="minorBidi"/>
              <w:noProof/>
              <w:lang w:eastAsia="en-AU"/>
            </w:rPr>
          </w:pPr>
          <w:hyperlink w:anchor="_Toc112051799" w:history="1">
            <w:r w:rsidRPr="009C799F">
              <w:rPr>
                <w:rStyle w:val="Hyperlink"/>
                <w:noProof/>
                <w:lang w:eastAsia="en-AU"/>
              </w:rPr>
              <w:t>2.1. What is domestic and family violence?</w:t>
            </w:r>
            <w:r>
              <w:rPr>
                <w:noProof/>
                <w:webHidden/>
              </w:rPr>
              <w:tab/>
            </w:r>
            <w:r>
              <w:rPr>
                <w:noProof/>
                <w:webHidden/>
              </w:rPr>
              <w:fldChar w:fldCharType="begin"/>
            </w:r>
            <w:r>
              <w:rPr>
                <w:noProof/>
                <w:webHidden/>
              </w:rPr>
              <w:instrText xml:space="preserve"> PAGEREF _Toc112051799 \h </w:instrText>
            </w:r>
            <w:r>
              <w:rPr>
                <w:noProof/>
                <w:webHidden/>
              </w:rPr>
            </w:r>
            <w:r>
              <w:rPr>
                <w:noProof/>
                <w:webHidden/>
              </w:rPr>
              <w:fldChar w:fldCharType="separate"/>
            </w:r>
            <w:r>
              <w:rPr>
                <w:noProof/>
                <w:webHidden/>
              </w:rPr>
              <w:t>15</w:t>
            </w:r>
            <w:r>
              <w:rPr>
                <w:noProof/>
                <w:webHidden/>
              </w:rPr>
              <w:fldChar w:fldCharType="end"/>
            </w:r>
          </w:hyperlink>
        </w:p>
        <w:p w14:paraId="11AD4AA0" w14:textId="31B4D41E" w:rsidR="00F533FD" w:rsidRDefault="00F533FD">
          <w:pPr>
            <w:pStyle w:val="TOC2"/>
            <w:rPr>
              <w:rFonts w:asciiTheme="minorHAnsi" w:eastAsiaTheme="minorEastAsia" w:hAnsiTheme="minorHAnsi" w:cstheme="minorBidi"/>
              <w:noProof/>
              <w:lang w:eastAsia="en-AU"/>
            </w:rPr>
          </w:pPr>
          <w:hyperlink w:anchor="_Toc112051800" w:history="1">
            <w:r w:rsidRPr="009C799F">
              <w:rPr>
                <w:rStyle w:val="Hyperlink"/>
                <w:noProof/>
                <w:lang w:eastAsia="en-AU"/>
              </w:rPr>
              <w:t>2.2. The data in the NT</w:t>
            </w:r>
            <w:r>
              <w:rPr>
                <w:noProof/>
                <w:webHidden/>
              </w:rPr>
              <w:tab/>
            </w:r>
            <w:r>
              <w:rPr>
                <w:noProof/>
                <w:webHidden/>
              </w:rPr>
              <w:fldChar w:fldCharType="begin"/>
            </w:r>
            <w:r>
              <w:rPr>
                <w:noProof/>
                <w:webHidden/>
              </w:rPr>
              <w:instrText xml:space="preserve"> PAGEREF _Toc112051800 \h </w:instrText>
            </w:r>
            <w:r>
              <w:rPr>
                <w:noProof/>
                <w:webHidden/>
              </w:rPr>
            </w:r>
            <w:r>
              <w:rPr>
                <w:noProof/>
                <w:webHidden/>
              </w:rPr>
              <w:fldChar w:fldCharType="separate"/>
            </w:r>
            <w:r>
              <w:rPr>
                <w:noProof/>
                <w:webHidden/>
              </w:rPr>
              <w:t>16</w:t>
            </w:r>
            <w:r>
              <w:rPr>
                <w:noProof/>
                <w:webHidden/>
              </w:rPr>
              <w:fldChar w:fldCharType="end"/>
            </w:r>
          </w:hyperlink>
        </w:p>
        <w:p w14:paraId="4014863C" w14:textId="01E7A8E3" w:rsidR="00F533FD" w:rsidRDefault="00F533FD">
          <w:pPr>
            <w:pStyle w:val="TOC2"/>
            <w:rPr>
              <w:rFonts w:asciiTheme="minorHAnsi" w:eastAsiaTheme="minorEastAsia" w:hAnsiTheme="minorHAnsi" w:cstheme="minorBidi"/>
              <w:noProof/>
              <w:lang w:eastAsia="en-AU"/>
            </w:rPr>
          </w:pPr>
          <w:hyperlink w:anchor="_Toc112051801" w:history="1">
            <w:r w:rsidRPr="009C799F">
              <w:rPr>
                <w:rStyle w:val="Hyperlink"/>
                <w:noProof/>
                <w:lang w:eastAsia="en-AU"/>
              </w:rPr>
              <w:t>2.3. Lived experience</w:t>
            </w:r>
            <w:r>
              <w:rPr>
                <w:noProof/>
                <w:webHidden/>
              </w:rPr>
              <w:tab/>
            </w:r>
            <w:r>
              <w:rPr>
                <w:noProof/>
                <w:webHidden/>
              </w:rPr>
              <w:fldChar w:fldCharType="begin"/>
            </w:r>
            <w:r>
              <w:rPr>
                <w:noProof/>
                <w:webHidden/>
              </w:rPr>
              <w:instrText xml:space="preserve"> PAGEREF _Toc112051801 \h </w:instrText>
            </w:r>
            <w:r>
              <w:rPr>
                <w:noProof/>
                <w:webHidden/>
              </w:rPr>
            </w:r>
            <w:r>
              <w:rPr>
                <w:noProof/>
                <w:webHidden/>
              </w:rPr>
              <w:fldChar w:fldCharType="separate"/>
            </w:r>
            <w:r>
              <w:rPr>
                <w:noProof/>
                <w:webHidden/>
              </w:rPr>
              <w:t>19</w:t>
            </w:r>
            <w:r>
              <w:rPr>
                <w:noProof/>
                <w:webHidden/>
              </w:rPr>
              <w:fldChar w:fldCharType="end"/>
            </w:r>
          </w:hyperlink>
        </w:p>
        <w:p w14:paraId="6E6E88C8" w14:textId="2BC7D978" w:rsidR="00F533FD" w:rsidRDefault="00F533FD">
          <w:pPr>
            <w:pStyle w:val="TOC2"/>
            <w:rPr>
              <w:rFonts w:asciiTheme="minorHAnsi" w:eastAsiaTheme="minorEastAsia" w:hAnsiTheme="minorHAnsi" w:cstheme="minorBidi"/>
              <w:noProof/>
              <w:lang w:eastAsia="en-AU"/>
            </w:rPr>
          </w:pPr>
          <w:hyperlink w:anchor="_Toc112051802" w:history="1">
            <w:r w:rsidRPr="009C799F">
              <w:rPr>
                <w:rStyle w:val="Hyperlink"/>
                <w:noProof/>
                <w:lang w:eastAsia="en-AU"/>
              </w:rPr>
              <w:t>2.4. DFV and the law</w:t>
            </w:r>
            <w:r>
              <w:rPr>
                <w:noProof/>
                <w:webHidden/>
              </w:rPr>
              <w:tab/>
            </w:r>
            <w:r>
              <w:rPr>
                <w:noProof/>
                <w:webHidden/>
              </w:rPr>
              <w:fldChar w:fldCharType="begin"/>
            </w:r>
            <w:r>
              <w:rPr>
                <w:noProof/>
                <w:webHidden/>
              </w:rPr>
              <w:instrText xml:space="preserve"> PAGEREF _Toc112051802 \h </w:instrText>
            </w:r>
            <w:r>
              <w:rPr>
                <w:noProof/>
                <w:webHidden/>
              </w:rPr>
            </w:r>
            <w:r>
              <w:rPr>
                <w:noProof/>
                <w:webHidden/>
              </w:rPr>
              <w:fldChar w:fldCharType="separate"/>
            </w:r>
            <w:r>
              <w:rPr>
                <w:noProof/>
                <w:webHidden/>
              </w:rPr>
              <w:t>21</w:t>
            </w:r>
            <w:r>
              <w:rPr>
                <w:noProof/>
                <w:webHidden/>
              </w:rPr>
              <w:fldChar w:fldCharType="end"/>
            </w:r>
          </w:hyperlink>
        </w:p>
        <w:p w14:paraId="21824A75" w14:textId="218B1C13" w:rsidR="00F533FD" w:rsidRDefault="00F533FD">
          <w:pPr>
            <w:pStyle w:val="TOC2"/>
            <w:rPr>
              <w:rFonts w:asciiTheme="minorHAnsi" w:eastAsiaTheme="minorEastAsia" w:hAnsiTheme="minorHAnsi" w:cstheme="minorBidi"/>
              <w:noProof/>
              <w:lang w:eastAsia="en-AU"/>
            </w:rPr>
          </w:pPr>
          <w:hyperlink w:anchor="_Toc112051803" w:history="1">
            <w:r w:rsidRPr="009C799F">
              <w:rPr>
                <w:rStyle w:val="Hyperlink"/>
                <w:noProof/>
                <w:lang w:eastAsia="en-AU"/>
              </w:rPr>
              <w:t>2.5. High risk factors</w:t>
            </w:r>
            <w:r>
              <w:rPr>
                <w:noProof/>
                <w:webHidden/>
              </w:rPr>
              <w:tab/>
            </w:r>
            <w:r>
              <w:rPr>
                <w:noProof/>
                <w:webHidden/>
              </w:rPr>
              <w:fldChar w:fldCharType="begin"/>
            </w:r>
            <w:r>
              <w:rPr>
                <w:noProof/>
                <w:webHidden/>
              </w:rPr>
              <w:instrText xml:space="preserve"> PAGEREF _Toc112051803 \h </w:instrText>
            </w:r>
            <w:r>
              <w:rPr>
                <w:noProof/>
                <w:webHidden/>
              </w:rPr>
            </w:r>
            <w:r>
              <w:rPr>
                <w:noProof/>
                <w:webHidden/>
              </w:rPr>
              <w:fldChar w:fldCharType="separate"/>
            </w:r>
            <w:r>
              <w:rPr>
                <w:noProof/>
                <w:webHidden/>
              </w:rPr>
              <w:t>22</w:t>
            </w:r>
            <w:r>
              <w:rPr>
                <w:noProof/>
                <w:webHidden/>
              </w:rPr>
              <w:fldChar w:fldCharType="end"/>
            </w:r>
          </w:hyperlink>
        </w:p>
        <w:p w14:paraId="1E6F3044" w14:textId="0E5B7B04" w:rsidR="00F533FD" w:rsidRDefault="00F533FD">
          <w:pPr>
            <w:pStyle w:val="TOC2"/>
            <w:rPr>
              <w:rFonts w:asciiTheme="minorHAnsi" w:eastAsiaTheme="minorEastAsia" w:hAnsiTheme="minorHAnsi" w:cstheme="minorBidi"/>
              <w:noProof/>
              <w:lang w:eastAsia="en-AU"/>
            </w:rPr>
          </w:pPr>
          <w:hyperlink w:anchor="_Toc112051804" w:history="1">
            <w:r w:rsidRPr="009C799F">
              <w:rPr>
                <w:rStyle w:val="Hyperlink"/>
                <w:noProof/>
                <w:lang w:eastAsia="en-AU"/>
              </w:rPr>
              <w:t>2.6. Misidentification</w:t>
            </w:r>
            <w:r>
              <w:rPr>
                <w:noProof/>
                <w:webHidden/>
              </w:rPr>
              <w:tab/>
            </w:r>
            <w:r>
              <w:rPr>
                <w:noProof/>
                <w:webHidden/>
              </w:rPr>
              <w:fldChar w:fldCharType="begin"/>
            </w:r>
            <w:r>
              <w:rPr>
                <w:noProof/>
                <w:webHidden/>
              </w:rPr>
              <w:instrText xml:space="preserve"> PAGEREF _Toc112051804 \h </w:instrText>
            </w:r>
            <w:r>
              <w:rPr>
                <w:noProof/>
                <w:webHidden/>
              </w:rPr>
            </w:r>
            <w:r>
              <w:rPr>
                <w:noProof/>
                <w:webHidden/>
              </w:rPr>
              <w:fldChar w:fldCharType="separate"/>
            </w:r>
            <w:r>
              <w:rPr>
                <w:noProof/>
                <w:webHidden/>
              </w:rPr>
              <w:t>23</w:t>
            </w:r>
            <w:r>
              <w:rPr>
                <w:noProof/>
                <w:webHidden/>
              </w:rPr>
              <w:fldChar w:fldCharType="end"/>
            </w:r>
          </w:hyperlink>
        </w:p>
        <w:p w14:paraId="2A9B584D" w14:textId="519280B7" w:rsidR="00F533FD" w:rsidRDefault="00F533FD">
          <w:pPr>
            <w:pStyle w:val="TOC2"/>
            <w:rPr>
              <w:rFonts w:asciiTheme="minorHAnsi" w:eastAsiaTheme="minorEastAsia" w:hAnsiTheme="minorHAnsi" w:cstheme="minorBidi"/>
              <w:noProof/>
              <w:lang w:eastAsia="en-AU"/>
            </w:rPr>
          </w:pPr>
          <w:hyperlink w:anchor="_Toc112051805" w:history="1">
            <w:r w:rsidRPr="009C799F">
              <w:rPr>
                <w:rStyle w:val="Hyperlink"/>
                <w:noProof/>
              </w:rPr>
              <w:t>2.7. Drivers of DFV</w:t>
            </w:r>
            <w:r>
              <w:rPr>
                <w:noProof/>
                <w:webHidden/>
              </w:rPr>
              <w:tab/>
            </w:r>
            <w:r>
              <w:rPr>
                <w:noProof/>
                <w:webHidden/>
              </w:rPr>
              <w:fldChar w:fldCharType="begin"/>
            </w:r>
            <w:r>
              <w:rPr>
                <w:noProof/>
                <w:webHidden/>
              </w:rPr>
              <w:instrText xml:space="preserve"> PAGEREF _Toc112051805 \h </w:instrText>
            </w:r>
            <w:r>
              <w:rPr>
                <w:noProof/>
                <w:webHidden/>
              </w:rPr>
            </w:r>
            <w:r>
              <w:rPr>
                <w:noProof/>
                <w:webHidden/>
              </w:rPr>
              <w:fldChar w:fldCharType="separate"/>
            </w:r>
            <w:r>
              <w:rPr>
                <w:noProof/>
                <w:webHidden/>
              </w:rPr>
              <w:t>27</w:t>
            </w:r>
            <w:r>
              <w:rPr>
                <w:noProof/>
                <w:webHidden/>
              </w:rPr>
              <w:fldChar w:fldCharType="end"/>
            </w:r>
          </w:hyperlink>
        </w:p>
        <w:p w14:paraId="24975346" w14:textId="061C0985" w:rsidR="00F533FD" w:rsidRDefault="00F533FD">
          <w:pPr>
            <w:pStyle w:val="TOC1"/>
            <w:rPr>
              <w:rFonts w:asciiTheme="minorHAnsi" w:eastAsiaTheme="minorEastAsia" w:hAnsiTheme="minorHAnsi" w:cstheme="minorBidi"/>
              <w:b w:val="0"/>
              <w:noProof/>
              <w:lang w:eastAsia="en-AU"/>
            </w:rPr>
          </w:pPr>
          <w:hyperlink w:anchor="_Toc112051806" w:history="1">
            <w:r w:rsidRPr="009C799F">
              <w:rPr>
                <w:rStyle w:val="Hyperlink"/>
                <w:noProof/>
              </w:rPr>
              <w:t>3.</w:t>
            </w:r>
            <w:r w:rsidRPr="009C799F">
              <w:rPr>
                <w:rStyle w:val="Hyperlink"/>
                <w:noProof/>
                <w:lang w:eastAsia="en-AU"/>
              </w:rPr>
              <w:t xml:space="preserve"> Coercive </w:t>
            </w:r>
            <w:r w:rsidRPr="009C799F">
              <w:rPr>
                <w:rStyle w:val="Hyperlink"/>
                <w:noProof/>
              </w:rPr>
              <w:t>control reforms</w:t>
            </w:r>
            <w:r>
              <w:rPr>
                <w:noProof/>
                <w:webHidden/>
              </w:rPr>
              <w:tab/>
            </w:r>
            <w:r>
              <w:rPr>
                <w:noProof/>
                <w:webHidden/>
              </w:rPr>
              <w:fldChar w:fldCharType="begin"/>
            </w:r>
            <w:r>
              <w:rPr>
                <w:noProof/>
                <w:webHidden/>
              </w:rPr>
              <w:instrText xml:space="preserve"> PAGEREF _Toc112051806 \h </w:instrText>
            </w:r>
            <w:r>
              <w:rPr>
                <w:noProof/>
                <w:webHidden/>
              </w:rPr>
            </w:r>
            <w:r>
              <w:rPr>
                <w:noProof/>
                <w:webHidden/>
              </w:rPr>
              <w:fldChar w:fldCharType="separate"/>
            </w:r>
            <w:r>
              <w:rPr>
                <w:noProof/>
                <w:webHidden/>
              </w:rPr>
              <w:t>29</w:t>
            </w:r>
            <w:r>
              <w:rPr>
                <w:noProof/>
                <w:webHidden/>
              </w:rPr>
              <w:fldChar w:fldCharType="end"/>
            </w:r>
          </w:hyperlink>
        </w:p>
        <w:p w14:paraId="5C625AFA" w14:textId="45C6E204" w:rsidR="00F533FD" w:rsidRDefault="00F533FD">
          <w:pPr>
            <w:pStyle w:val="TOC2"/>
            <w:rPr>
              <w:rFonts w:asciiTheme="minorHAnsi" w:eastAsiaTheme="minorEastAsia" w:hAnsiTheme="minorHAnsi" w:cstheme="minorBidi"/>
              <w:noProof/>
              <w:lang w:eastAsia="en-AU"/>
            </w:rPr>
          </w:pPr>
          <w:hyperlink w:anchor="_Toc112051807" w:history="1">
            <w:r w:rsidRPr="009C799F">
              <w:rPr>
                <w:rStyle w:val="Hyperlink"/>
                <w:noProof/>
                <w:lang w:eastAsia="en-AU"/>
              </w:rPr>
              <w:t>3.1. What is coercive control?</w:t>
            </w:r>
            <w:r>
              <w:rPr>
                <w:noProof/>
                <w:webHidden/>
              </w:rPr>
              <w:tab/>
            </w:r>
            <w:r>
              <w:rPr>
                <w:noProof/>
                <w:webHidden/>
              </w:rPr>
              <w:fldChar w:fldCharType="begin"/>
            </w:r>
            <w:r>
              <w:rPr>
                <w:noProof/>
                <w:webHidden/>
              </w:rPr>
              <w:instrText xml:space="preserve"> PAGEREF _Toc112051807 \h </w:instrText>
            </w:r>
            <w:r>
              <w:rPr>
                <w:noProof/>
                <w:webHidden/>
              </w:rPr>
            </w:r>
            <w:r>
              <w:rPr>
                <w:noProof/>
                <w:webHidden/>
              </w:rPr>
              <w:fldChar w:fldCharType="separate"/>
            </w:r>
            <w:r>
              <w:rPr>
                <w:noProof/>
                <w:webHidden/>
              </w:rPr>
              <w:t>29</w:t>
            </w:r>
            <w:r>
              <w:rPr>
                <w:noProof/>
                <w:webHidden/>
              </w:rPr>
              <w:fldChar w:fldCharType="end"/>
            </w:r>
          </w:hyperlink>
        </w:p>
        <w:p w14:paraId="44490BA7" w14:textId="4F7CE655" w:rsidR="00F533FD" w:rsidRDefault="00F533FD">
          <w:pPr>
            <w:pStyle w:val="TOC2"/>
            <w:rPr>
              <w:rFonts w:asciiTheme="minorHAnsi" w:eastAsiaTheme="minorEastAsia" w:hAnsiTheme="minorHAnsi" w:cstheme="minorBidi"/>
              <w:noProof/>
              <w:lang w:eastAsia="en-AU"/>
            </w:rPr>
          </w:pPr>
          <w:hyperlink w:anchor="_Toc112051808" w:history="1">
            <w:r w:rsidRPr="009C799F">
              <w:rPr>
                <w:rStyle w:val="Hyperlink"/>
                <w:noProof/>
                <w:lang w:eastAsia="en-AU"/>
              </w:rPr>
              <w:t>3.2. Why is it important for governments to address coercive control?</w:t>
            </w:r>
            <w:r>
              <w:rPr>
                <w:noProof/>
                <w:webHidden/>
              </w:rPr>
              <w:tab/>
            </w:r>
            <w:r>
              <w:rPr>
                <w:noProof/>
                <w:webHidden/>
              </w:rPr>
              <w:fldChar w:fldCharType="begin"/>
            </w:r>
            <w:r>
              <w:rPr>
                <w:noProof/>
                <w:webHidden/>
              </w:rPr>
              <w:instrText xml:space="preserve"> PAGEREF _Toc112051808 \h </w:instrText>
            </w:r>
            <w:r>
              <w:rPr>
                <w:noProof/>
                <w:webHidden/>
              </w:rPr>
            </w:r>
            <w:r>
              <w:rPr>
                <w:noProof/>
                <w:webHidden/>
              </w:rPr>
              <w:fldChar w:fldCharType="separate"/>
            </w:r>
            <w:r>
              <w:rPr>
                <w:noProof/>
                <w:webHidden/>
              </w:rPr>
              <w:t>31</w:t>
            </w:r>
            <w:r>
              <w:rPr>
                <w:noProof/>
                <w:webHidden/>
              </w:rPr>
              <w:fldChar w:fldCharType="end"/>
            </w:r>
          </w:hyperlink>
        </w:p>
        <w:p w14:paraId="4150CF8C" w14:textId="290BE807" w:rsidR="00F533FD" w:rsidRDefault="00F533FD">
          <w:pPr>
            <w:pStyle w:val="TOC3"/>
            <w:tabs>
              <w:tab w:val="right" w:leader="dot" w:pos="10308"/>
            </w:tabs>
            <w:rPr>
              <w:rFonts w:asciiTheme="minorHAnsi" w:eastAsiaTheme="minorEastAsia" w:hAnsiTheme="minorHAnsi" w:cstheme="minorBidi"/>
              <w:noProof/>
              <w:lang w:eastAsia="en-AU"/>
            </w:rPr>
          </w:pPr>
          <w:hyperlink w:anchor="_Toc112051809" w:history="1">
            <w:r w:rsidRPr="009C799F">
              <w:rPr>
                <w:rStyle w:val="Hyperlink"/>
                <w:noProof/>
                <w:lang w:eastAsia="en-AU"/>
              </w:rPr>
              <w:t>3.2.1. Coercive control significantly breaches a person’s human rights</w:t>
            </w:r>
            <w:r>
              <w:rPr>
                <w:noProof/>
                <w:webHidden/>
              </w:rPr>
              <w:tab/>
            </w:r>
            <w:r>
              <w:rPr>
                <w:noProof/>
                <w:webHidden/>
              </w:rPr>
              <w:fldChar w:fldCharType="begin"/>
            </w:r>
            <w:r>
              <w:rPr>
                <w:noProof/>
                <w:webHidden/>
              </w:rPr>
              <w:instrText xml:space="preserve"> PAGEREF _Toc112051809 \h </w:instrText>
            </w:r>
            <w:r>
              <w:rPr>
                <w:noProof/>
                <w:webHidden/>
              </w:rPr>
            </w:r>
            <w:r>
              <w:rPr>
                <w:noProof/>
                <w:webHidden/>
              </w:rPr>
              <w:fldChar w:fldCharType="separate"/>
            </w:r>
            <w:r>
              <w:rPr>
                <w:noProof/>
                <w:webHidden/>
              </w:rPr>
              <w:t>31</w:t>
            </w:r>
            <w:r>
              <w:rPr>
                <w:noProof/>
                <w:webHidden/>
              </w:rPr>
              <w:fldChar w:fldCharType="end"/>
            </w:r>
          </w:hyperlink>
        </w:p>
        <w:p w14:paraId="54370B72" w14:textId="6993CF74" w:rsidR="00F533FD" w:rsidRDefault="00F533FD">
          <w:pPr>
            <w:pStyle w:val="TOC3"/>
            <w:tabs>
              <w:tab w:val="right" w:leader="dot" w:pos="10308"/>
            </w:tabs>
            <w:rPr>
              <w:rFonts w:asciiTheme="minorHAnsi" w:eastAsiaTheme="minorEastAsia" w:hAnsiTheme="minorHAnsi" w:cstheme="minorBidi"/>
              <w:noProof/>
              <w:lang w:eastAsia="en-AU"/>
            </w:rPr>
          </w:pPr>
          <w:hyperlink w:anchor="_Toc112051810" w:history="1">
            <w:r w:rsidRPr="009C799F">
              <w:rPr>
                <w:rStyle w:val="Hyperlink"/>
                <w:noProof/>
                <w:lang w:eastAsia="en-AU"/>
              </w:rPr>
              <w:t>3.2.2. Coercive control is extremely harmful to persons subjected to it</w:t>
            </w:r>
            <w:r>
              <w:rPr>
                <w:noProof/>
                <w:webHidden/>
              </w:rPr>
              <w:tab/>
            </w:r>
            <w:r>
              <w:rPr>
                <w:noProof/>
                <w:webHidden/>
              </w:rPr>
              <w:fldChar w:fldCharType="begin"/>
            </w:r>
            <w:r>
              <w:rPr>
                <w:noProof/>
                <w:webHidden/>
              </w:rPr>
              <w:instrText xml:space="preserve"> PAGEREF _Toc112051810 \h </w:instrText>
            </w:r>
            <w:r>
              <w:rPr>
                <w:noProof/>
                <w:webHidden/>
              </w:rPr>
            </w:r>
            <w:r>
              <w:rPr>
                <w:noProof/>
                <w:webHidden/>
              </w:rPr>
              <w:fldChar w:fldCharType="separate"/>
            </w:r>
            <w:r>
              <w:rPr>
                <w:noProof/>
                <w:webHidden/>
              </w:rPr>
              <w:t>32</w:t>
            </w:r>
            <w:r>
              <w:rPr>
                <w:noProof/>
                <w:webHidden/>
              </w:rPr>
              <w:fldChar w:fldCharType="end"/>
            </w:r>
          </w:hyperlink>
        </w:p>
        <w:p w14:paraId="5EBEE93B" w14:textId="7A825CC3" w:rsidR="00F533FD" w:rsidRDefault="00F533FD">
          <w:pPr>
            <w:pStyle w:val="TOC3"/>
            <w:tabs>
              <w:tab w:val="right" w:leader="dot" w:pos="10308"/>
            </w:tabs>
            <w:rPr>
              <w:rFonts w:asciiTheme="minorHAnsi" w:eastAsiaTheme="minorEastAsia" w:hAnsiTheme="minorHAnsi" w:cstheme="minorBidi"/>
              <w:noProof/>
              <w:lang w:eastAsia="en-AU"/>
            </w:rPr>
          </w:pPr>
          <w:hyperlink w:anchor="_Toc112051811" w:history="1">
            <w:r w:rsidRPr="009C799F">
              <w:rPr>
                <w:rStyle w:val="Hyperlink"/>
                <w:noProof/>
                <w:lang w:eastAsia="en-AU"/>
              </w:rPr>
              <w:t>3.2.3. Coercive control traps people in violent relationships</w:t>
            </w:r>
            <w:r>
              <w:rPr>
                <w:noProof/>
                <w:webHidden/>
              </w:rPr>
              <w:tab/>
            </w:r>
            <w:r>
              <w:rPr>
                <w:noProof/>
                <w:webHidden/>
              </w:rPr>
              <w:fldChar w:fldCharType="begin"/>
            </w:r>
            <w:r>
              <w:rPr>
                <w:noProof/>
                <w:webHidden/>
              </w:rPr>
              <w:instrText xml:space="preserve"> PAGEREF _Toc112051811 \h </w:instrText>
            </w:r>
            <w:r>
              <w:rPr>
                <w:noProof/>
                <w:webHidden/>
              </w:rPr>
            </w:r>
            <w:r>
              <w:rPr>
                <w:noProof/>
                <w:webHidden/>
              </w:rPr>
              <w:fldChar w:fldCharType="separate"/>
            </w:r>
            <w:r>
              <w:rPr>
                <w:noProof/>
                <w:webHidden/>
              </w:rPr>
              <w:t>32</w:t>
            </w:r>
            <w:r>
              <w:rPr>
                <w:noProof/>
                <w:webHidden/>
              </w:rPr>
              <w:fldChar w:fldCharType="end"/>
            </w:r>
          </w:hyperlink>
        </w:p>
        <w:p w14:paraId="5D066DF3" w14:textId="580B60E2" w:rsidR="00F533FD" w:rsidRDefault="00F533FD">
          <w:pPr>
            <w:pStyle w:val="TOC3"/>
            <w:tabs>
              <w:tab w:val="right" w:leader="dot" w:pos="10308"/>
            </w:tabs>
            <w:rPr>
              <w:rFonts w:asciiTheme="minorHAnsi" w:eastAsiaTheme="minorEastAsia" w:hAnsiTheme="minorHAnsi" w:cstheme="minorBidi"/>
              <w:noProof/>
              <w:lang w:eastAsia="en-AU"/>
            </w:rPr>
          </w:pPr>
          <w:hyperlink w:anchor="_Toc112051812" w:history="1">
            <w:r w:rsidRPr="009C799F">
              <w:rPr>
                <w:rStyle w:val="Hyperlink"/>
                <w:noProof/>
                <w:lang w:eastAsia="en-AU"/>
              </w:rPr>
              <w:t>3.2.4. Coercive control is a risk factor for domestic homicide</w:t>
            </w:r>
            <w:r>
              <w:rPr>
                <w:noProof/>
                <w:webHidden/>
              </w:rPr>
              <w:tab/>
            </w:r>
            <w:r>
              <w:rPr>
                <w:noProof/>
                <w:webHidden/>
              </w:rPr>
              <w:fldChar w:fldCharType="begin"/>
            </w:r>
            <w:r>
              <w:rPr>
                <w:noProof/>
                <w:webHidden/>
              </w:rPr>
              <w:instrText xml:space="preserve"> PAGEREF _Toc112051812 \h </w:instrText>
            </w:r>
            <w:r>
              <w:rPr>
                <w:noProof/>
                <w:webHidden/>
              </w:rPr>
            </w:r>
            <w:r>
              <w:rPr>
                <w:noProof/>
                <w:webHidden/>
              </w:rPr>
              <w:fldChar w:fldCharType="separate"/>
            </w:r>
            <w:r>
              <w:rPr>
                <w:noProof/>
                <w:webHidden/>
              </w:rPr>
              <w:t>34</w:t>
            </w:r>
            <w:r>
              <w:rPr>
                <w:noProof/>
                <w:webHidden/>
              </w:rPr>
              <w:fldChar w:fldCharType="end"/>
            </w:r>
          </w:hyperlink>
        </w:p>
        <w:p w14:paraId="5AB4E43C" w14:textId="0B8EB02A" w:rsidR="00F533FD" w:rsidRDefault="00F533FD">
          <w:pPr>
            <w:pStyle w:val="TOC3"/>
            <w:tabs>
              <w:tab w:val="right" w:leader="dot" w:pos="10308"/>
            </w:tabs>
            <w:rPr>
              <w:rFonts w:asciiTheme="minorHAnsi" w:eastAsiaTheme="minorEastAsia" w:hAnsiTheme="minorHAnsi" w:cstheme="minorBidi"/>
              <w:noProof/>
              <w:lang w:eastAsia="en-AU"/>
            </w:rPr>
          </w:pPr>
          <w:hyperlink w:anchor="_Toc112051813" w:history="1">
            <w:r w:rsidRPr="009C799F">
              <w:rPr>
                <w:rStyle w:val="Hyperlink"/>
                <w:noProof/>
                <w:lang w:eastAsia="en-AU"/>
              </w:rPr>
              <w:t>3.2.5. Responses to DFV cannot be improved unless we address coercive control</w:t>
            </w:r>
            <w:r>
              <w:rPr>
                <w:noProof/>
                <w:webHidden/>
              </w:rPr>
              <w:tab/>
            </w:r>
            <w:r>
              <w:rPr>
                <w:noProof/>
                <w:webHidden/>
              </w:rPr>
              <w:fldChar w:fldCharType="begin"/>
            </w:r>
            <w:r>
              <w:rPr>
                <w:noProof/>
                <w:webHidden/>
              </w:rPr>
              <w:instrText xml:space="preserve"> PAGEREF _Toc112051813 \h </w:instrText>
            </w:r>
            <w:r>
              <w:rPr>
                <w:noProof/>
                <w:webHidden/>
              </w:rPr>
            </w:r>
            <w:r>
              <w:rPr>
                <w:noProof/>
                <w:webHidden/>
              </w:rPr>
              <w:fldChar w:fldCharType="separate"/>
            </w:r>
            <w:r>
              <w:rPr>
                <w:noProof/>
                <w:webHidden/>
              </w:rPr>
              <w:t>34</w:t>
            </w:r>
            <w:r>
              <w:rPr>
                <w:noProof/>
                <w:webHidden/>
              </w:rPr>
              <w:fldChar w:fldCharType="end"/>
            </w:r>
          </w:hyperlink>
        </w:p>
        <w:p w14:paraId="68A4AD48" w14:textId="4DF148F4" w:rsidR="00F533FD" w:rsidRDefault="00F533FD">
          <w:pPr>
            <w:pStyle w:val="TOC3"/>
            <w:tabs>
              <w:tab w:val="right" w:leader="dot" w:pos="10308"/>
            </w:tabs>
            <w:rPr>
              <w:rFonts w:asciiTheme="minorHAnsi" w:eastAsiaTheme="minorEastAsia" w:hAnsiTheme="minorHAnsi" w:cstheme="minorBidi"/>
              <w:noProof/>
              <w:lang w:eastAsia="en-AU"/>
            </w:rPr>
          </w:pPr>
          <w:hyperlink w:anchor="_Toc112051814" w:history="1">
            <w:r w:rsidRPr="009C799F">
              <w:rPr>
                <w:rStyle w:val="Hyperlink"/>
                <w:noProof/>
                <w:lang w:eastAsia="en-AU"/>
              </w:rPr>
              <w:t>3.2.6. Understanding coercive control may reduce misidentification</w:t>
            </w:r>
            <w:r>
              <w:rPr>
                <w:noProof/>
                <w:webHidden/>
              </w:rPr>
              <w:tab/>
            </w:r>
            <w:r>
              <w:rPr>
                <w:noProof/>
                <w:webHidden/>
              </w:rPr>
              <w:fldChar w:fldCharType="begin"/>
            </w:r>
            <w:r>
              <w:rPr>
                <w:noProof/>
                <w:webHidden/>
              </w:rPr>
              <w:instrText xml:space="preserve"> PAGEREF _Toc112051814 \h </w:instrText>
            </w:r>
            <w:r>
              <w:rPr>
                <w:noProof/>
                <w:webHidden/>
              </w:rPr>
            </w:r>
            <w:r>
              <w:rPr>
                <w:noProof/>
                <w:webHidden/>
              </w:rPr>
              <w:fldChar w:fldCharType="separate"/>
            </w:r>
            <w:r>
              <w:rPr>
                <w:noProof/>
                <w:webHidden/>
              </w:rPr>
              <w:t>35</w:t>
            </w:r>
            <w:r>
              <w:rPr>
                <w:noProof/>
                <w:webHidden/>
              </w:rPr>
              <w:fldChar w:fldCharType="end"/>
            </w:r>
          </w:hyperlink>
        </w:p>
        <w:p w14:paraId="10989B0B" w14:textId="0D028AD3" w:rsidR="00F533FD" w:rsidRDefault="00F533FD">
          <w:pPr>
            <w:pStyle w:val="TOC2"/>
            <w:rPr>
              <w:rFonts w:asciiTheme="minorHAnsi" w:eastAsiaTheme="minorEastAsia" w:hAnsiTheme="minorHAnsi" w:cstheme="minorBidi"/>
              <w:noProof/>
              <w:lang w:eastAsia="en-AU"/>
            </w:rPr>
          </w:pPr>
          <w:hyperlink w:anchor="_Toc112051815" w:history="1">
            <w:r w:rsidRPr="009C799F">
              <w:rPr>
                <w:rStyle w:val="Hyperlink"/>
                <w:noProof/>
                <w:lang w:eastAsia="en-AU"/>
              </w:rPr>
              <w:t>3.3. The criminalisation of coercive control</w:t>
            </w:r>
            <w:r>
              <w:rPr>
                <w:noProof/>
                <w:webHidden/>
              </w:rPr>
              <w:tab/>
            </w:r>
            <w:r>
              <w:rPr>
                <w:noProof/>
                <w:webHidden/>
              </w:rPr>
              <w:fldChar w:fldCharType="begin"/>
            </w:r>
            <w:r>
              <w:rPr>
                <w:noProof/>
                <w:webHidden/>
              </w:rPr>
              <w:instrText xml:space="preserve"> PAGEREF _Toc112051815 \h </w:instrText>
            </w:r>
            <w:r>
              <w:rPr>
                <w:noProof/>
                <w:webHidden/>
              </w:rPr>
            </w:r>
            <w:r>
              <w:rPr>
                <w:noProof/>
                <w:webHidden/>
              </w:rPr>
              <w:fldChar w:fldCharType="separate"/>
            </w:r>
            <w:r>
              <w:rPr>
                <w:noProof/>
                <w:webHidden/>
              </w:rPr>
              <w:t>35</w:t>
            </w:r>
            <w:r>
              <w:rPr>
                <w:noProof/>
                <w:webHidden/>
              </w:rPr>
              <w:fldChar w:fldCharType="end"/>
            </w:r>
          </w:hyperlink>
        </w:p>
        <w:p w14:paraId="4980C073" w14:textId="02DA592B" w:rsidR="00F533FD" w:rsidRDefault="00F533FD">
          <w:pPr>
            <w:pStyle w:val="TOC2"/>
            <w:rPr>
              <w:rFonts w:asciiTheme="minorHAnsi" w:eastAsiaTheme="minorEastAsia" w:hAnsiTheme="minorHAnsi" w:cstheme="minorBidi"/>
              <w:noProof/>
              <w:lang w:eastAsia="en-AU"/>
            </w:rPr>
          </w:pPr>
          <w:hyperlink w:anchor="_Toc112051816" w:history="1">
            <w:r w:rsidRPr="009C799F">
              <w:rPr>
                <w:rStyle w:val="Hyperlink"/>
                <w:noProof/>
                <w:lang w:eastAsia="en-AU"/>
              </w:rPr>
              <w:t>3.4. Where has coercive control been criminalised?</w:t>
            </w:r>
            <w:r>
              <w:rPr>
                <w:noProof/>
                <w:webHidden/>
              </w:rPr>
              <w:tab/>
            </w:r>
            <w:r>
              <w:rPr>
                <w:noProof/>
                <w:webHidden/>
              </w:rPr>
              <w:fldChar w:fldCharType="begin"/>
            </w:r>
            <w:r>
              <w:rPr>
                <w:noProof/>
                <w:webHidden/>
              </w:rPr>
              <w:instrText xml:space="preserve"> PAGEREF _Toc112051816 \h </w:instrText>
            </w:r>
            <w:r>
              <w:rPr>
                <w:noProof/>
                <w:webHidden/>
              </w:rPr>
            </w:r>
            <w:r>
              <w:rPr>
                <w:noProof/>
                <w:webHidden/>
              </w:rPr>
              <w:fldChar w:fldCharType="separate"/>
            </w:r>
            <w:r>
              <w:rPr>
                <w:noProof/>
                <w:webHidden/>
              </w:rPr>
              <w:t>37</w:t>
            </w:r>
            <w:r>
              <w:rPr>
                <w:noProof/>
                <w:webHidden/>
              </w:rPr>
              <w:fldChar w:fldCharType="end"/>
            </w:r>
          </w:hyperlink>
        </w:p>
        <w:p w14:paraId="6B63D23E" w14:textId="598B7709" w:rsidR="00F533FD" w:rsidRDefault="00F533FD">
          <w:pPr>
            <w:pStyle w:val="TOC3"/>
            <w:tabs>
              <w:tab w:val="right" w:leader="dot" w:pos="10308"/>
            </w:tabs>
            <w:rPr>
              <w:rFonts w:asciiTheme="minorHAnsi" w:eastAsiaTheme="minorEastAsia" w:hAnsiTheme="minorHAnsi" w:cstheme="minorBidi"/>
              <w:noProof/>
              <w:lang w:eastAsia="en-AU"/>
            </w:rPr>
          </w:pPr>
          <w:hyperlink w:anchor="_Toc112051817" w:history="1">
            <w:r w:rsidRPr="009C799F">
              <w:rPr>
                <w:rStyle w:val="Hyperlink"/>
                <w:noProof/>
                <w:lang w:eastAsia="en-AU"/>
              </w:rPr>
              <w:t>3.4.1. The Scottish legislation</w:t>
            </w:r>
            <w:r>
              <w:rPr>
                <w:noProof/>
                <w:webHidden/>
              </w:rPr>
              <w:tab/>
            </w:r>
            <w:r>
              <w:rPr>
                <w:noProof/>
                <w:webHidden/>
              </w:rPr>
              <w:fldChar w:fldCharType="begin"/>
            </w:r>
            <w:r>
              <w:rPr>
                <w:noProof/>
                <w:webHidden/>
              </w:rPr>
              <w:instrText xml:space="preserve"> PAGEREF _Toc112051817 \h </w:instrText>
            </w:r>
            <w:r>
              <w:rPr>
                <w:noProof/>
                <w:webHidden/>
              </w:rPr>
            </w:r>
            <w:r>
              <w:rPr>
                <w:noProof/>
                <w:webHidden/>
              </w:rPr>
              <w:fldChar w:fldCharType="separate"/>
            </w:r>
            <w:r>
              <w:rPr>
                <w:noProof/>
                <w:webHidden/>
              </w:rPr>
              <w:t>38</w:t>
            </w:r>
            <w:r>
              <w:rPr>
                <w:noProof/>
                <w:webHidden/>
              </w:rPr>
              <w:fldChar w:fldCharType="end"/>
            </w:r>
          </w:hyperlink>
        </w:p>
        <w:p w14:paraId="6F8585E3" w14:textId="091932C2" w:rsidR="00F533FD" w:rsidRDefault="00F533FD">
          <w:pPr>
            <w:pStyle w:val="TOC3"/>
            <w:tabs>
              <w:tab w:val="right" w:leader="dot" w:pos="10308"/>
            </w:tabs>
            <w:rPr>
              <w:rFonts w:asciiTheme="minorHAnsi" w:eastAsiaTheme="minorEastAsia" w:hAnsiTheme="minorHAnsi" w:cstheme="minorBidi"/>
              <w:noProof/>
              <w:lang w:eastAsia="en-AU"/>
            </w:rPr>
          </w:pPr>
          <w:hyperlink w:anchor="_Toc112051818" w:history="1">
            <w:r w:rsidRPr="009C799F">
              <w:rPr>
                <w:rStyle w:val="Hyperlink"/>
                <w:noProof/>
                <w:lang w:eastAsia="en-AU"/>
              </w:rPr>
              <w:t>3.4.2. The strengths of the Scottish approach</w:t>
            </w:r>
            <w:r>
              <w:rPr>
                <w:noProof/>
                <w:webHidden/>
              </w:rPr>
              <w:tab/>
            </w:r>
            <w:r>
              <w:rPr>
                <w:noProof/>
                <w:webHidden/>
              </w:rPr>
              <w:fldChar w:fldCharType="begin"/>
            </w:r>
            <w:r>
              <w:rPr>
                <w:noProof/>
                <w:webHidden/>
              </w:rPr>
              <w:instrText xml:space="preserve"> PAGEREF _Toc112051818 \h </w:instrText>
            </w:r>
            <w:r>
              <w:rPr>
                <w:noProof/>
                <w:webHidden/>
              </w:rPr>
            </w:r>
            <w:r>
              <w:rPr>
                <w:noProof/>
                <w:webHidden/>
              </w:rPr>
              <w:fldChar w:fldCharType="separate"/>
            </w:r>
            <w:r>
              <w:rPr>
                <w:noProof/>
                <w:webHidden/>
              </w:rPr>
              <w:t>39</w:t>
            </w:r>
            <w:r>
              <w:rPr>
                <w:noProof/>
                <w:webHidden/>
              </w:rPr>
              <w:fldChar w:fldCharType="end"/>
            </w:r>
          </w:hyperlink>
        </w:p>
        <w:p w14:paraId="706E4EEC" w14:textId="4BB86E1A" w:rsidR="00F533FD" w:rsidRDefault="00F533FD">
          <w:pPr>
            <w:pStyle w:val="TOC2"/>
            <w:rPr>
              <w:rFonts w:asciiTheme="minorHAnsi" w:eastAsiaTheme="minorEastAsia" w:hAnsiTheme="minorHAnsi" w:cstheme="minorBidi"/>
              <w:noProof/>
              <w:lang w:eastAsia="en-AU"/>
            </w:rPr>
          </w:pPr>
          <w:hyperlink w:anchor="_Toc112051819" w:history="1">
            <w:r w:rsidRPr="009C799F">
              <w:rPr>
                <w:rStyle w:val="Hyperlink"/>
                <w:noProof/>
                <w:lang w:eastAsia="en-AU"/>
              </w:rPr>
              <w:t>3.5. Arguments for and against criminalisation</w:t>
            </w:r>
            <w:r>
              <w:rPr>
                <w:noProof/>
                <w:webHidden/>
              </w:rPr>
              <w:tab/>
            </w:r>
            <w:r>
              <w:rPr>
                <w:noProof/>
                <w:webHidden/>
              </w:rPr>
              <w:fldChar w:fldCharType="begin"/>
            </w:r>
            <w:r>
              <w:rPr>
                <w:noProof/>
                <w:webHidden/>
              </w:rPr>
              <w:instrText xml:space="preserve"> PAGEREF _Toc112051819 \h </w:instrText>
            </w:r>
            <w:r>
              <w:rPr>
                <w:noProof/>
                <w:webHidden/>
              </w:rPr>
            </w:r>
            <w:r>
              <w:rPr>
                <w:noProof/>
                <w:webHidden/>
              </w:rPr>
              <w:fldChar w:fldCharType="separate"/>
            </w:r>
            <w:r>
              <w:rPr>
                <w:noProof/>
                <w:webHidden/>
              </w:rPr>
              <w:t>41</w:t>
            </w:r>
            <w:r>
              <w:rPr>
                <w:noProof/>
                <w:webHidden/>
              </w:rPr>
              <w:fldChar w:fldCharType="end"/>
            </w:r>
          </w:hyperlink>
        </w:p>
        <w:p w14:paraId="52D69E82" w14:textId="731EDB5C" w:rsidR="00F533FD" w:rsidRDefault="00F533FD">
          <w:pPr>
            <w:pStyle w:val="TOC3"/>
            <w:tabs>
              <w:tab w:val="right" w:leader="dot" w:pos="10308"/>
            </w:tabs>
            <w:rPr>
              <w:rFonts w:asciiTheme="minorHAnsi" w:eastAsiaTheme="minorEastAsia" w:hAnsiTheme="minorHAnsi" w:cstheme="minorBidi"/>
              <w:noProof/>
              <w:lang w:eastAsia="en-AU"/>
            </w:rPr>
          </w:pPr>
          <w:hyperlink w:anchor="_Toc112051820" w:history="1">
            <w:r w:rsidRPr="009C799F">
              <w:rPr>
                <w:rStyle w:val="Hyperlink"/>
                <w:noProof/>
                <w:lang w:eastAsia="en-AU"/>
              </w:rPr>
              <w:t>3.5.1. Arguments in favour of criminalisation</w:t>
            </w:r>
            <w:r>
              <w:rPr>
                <w:noProof/>
                <w:webHidden/>
              </w:rPr>
              <w:tab/>
            </w:r>
            <w:r>
              <w:rPr>
                <w:noProof/>
                <w:webHidden/>
              </w:rPr>
              <w:fldChar w:fldCharType="begin"/>
            </w:r>
            <w:r>
              <w:rPr>
                <w:noProof/>
                <w:webHidden/>
              </w:rPr>
              <w:instrText xml:space="preserve"> PAGEREF _Toc112051820 \h </w:instrText>
            </w:r>
            <w:r>
              <w:rPr>
                <w:noProof/>
                <w:webHidden/>
              </w:rPr>
            </w:r>
            <w:r>
              <w:rPr>
                <w:noProof/>
                <w:webHidden/>
              </w:rPr>
              <w:fldChar w:fldCharType="separate"/>
            </w:r>
            <w:r>
              <w:rPr>
                <w:noProof/>
                <w:webHidden/>
              </w:rPr>
              <w:t>41</w:t>
            </w:r>
            <w:r>
              <w:rPr>
                <w:noProof/>
                <w:webHidden/>
              </w:rPr>
              <w:fldChar w:fldCharType="end"/>
            </w:r>
          </w:hyperlink>
        </w:p>
        <w:p w14:paraId="0E8BB4ED" w14:textId="23AB921B" w:rsidR="00F533FD" w:rsidRDefault="00F533FD">
          <w:pPr>
            <w:pStyle w:val="TOC3"/>
            <w:tabs>
              <w:tab w:val="right" w:leader="dot" w:pos="10308"/>
            </w:tabs>
            <w:rPr>
              <w:rFonts w:asciiTheme="minorHAnsi" w:eastAsiaTheme="minorEastAsia" w:hAnsiTheme="minorHAnsi" w:cstheme="minorBidi"/>
              <w:noProof/>
              <w:lang w:eastAsia="en-AU"/>
            </w:rPr>
          </w:pPr>
          <w:hyperlink w:anchor="_Toc112051821" w:history="1">
            <w:r w:rsidRPr="009C799F">
              <w:rPr>
                <w:rStyle w:val="Hyperlink"/>
                <w:noProof/>
                <w:lang w:eastAsia="en-AU"/>
              </w:rPr>
              <w:t>3.5.2. Arguments against criminalisation</w:t>
            </w:r>
            <w:r>
              <w:rPr>
                <w:noProof/>
                <w:webHidden/>
              </w:rPr>
              <w:tab/>
            </w:r>
            <w:r>
              <w:rPr>
                <w:noProof/>
                <w:webHidden/>
              </w:rPr>
              <w:fldChar w:fldCharType="begin"/>
            </w:r>
            <w:r>
              <w:rPr>
                <w:noProof/>
                <w:webHidden/>
              </w:rPr>
              <w:instrText xml:space="preserve"> PAGEREF _Toc112051821 \h </w:instrText>
            </w:r>
            <w:r>
              <w:rPr>
                <w:noProof/>
                <w:webHidden/>
              </w:rPr>
            </w:r>
            <w:r>
              <w:rPr>
                <w:noProof/>
                <w:webHidden/>
              </w:rPr>
              <w:fldChar w:fldCharType="separate"/>
            </w:r>
            <w:r>
              <w:rPr>
                <w:noProof/>
                <w:webHidden/>
              </w:rPr>
              <w:t>41</w:t>
            </w:r>
            <w:r>
              <w:rPr>
                <w:noProof/>
                <w:webHidden/>
              </w:rPr>
              <w:fldChar w:fldCharType="end"/>
            </w:r>
          </w:hyperlink>
        </w:p>
        <w:p w14:paraId="20A89774" w14:textId="6EAFEA1D" w:rsidR="00F533FD" w:rsidRDefault="00F533FD">
          <w:pPr>
            <w:pStyle w:val="TOC2"/>
            <w:rPr>
              <w:rFonts w:asciiTheme="minorHAnsi" w:eastAsiaTheme="minorEastAsia" w:hAnsiTheme="minorHAnsi" w:cstheme="minorBidi"/>
              <w:noProof/>
              <w:lang w:eastAsia="en-AU"/>
            </w:rPr>
          </w:pPr>
          <w:hyperlink w:anchor="_Toc112051822" w:history="1">
            <w:r w:rsidRPr="009C799F">
              <w:rPr>
                <w:rStyle w:val="Hyperlink"/>
                <w:noProof/>
                <w:lang w:eastAsia="en-AU"/>
              </w:rPr>
              <w:t>3.6. Should coercive control be criminalised in the NT?</w:t>
            </w:r>
            <w:r>
              <w:rPr>
                <w:noProof/>
                <w:webHidden/>
              </w:rPr>
              <w:tab/>
            </w:r>
            <w:r>
              <w:rPr>
                <w:noProof/>
                <w:webHidden/>
              </w:rPr>
              <w:fldChar w:fldCharType="begin"/>
            </w:r>
            <w:r>
              <w:rPr>
                <w:noProof/>
                <w:webHidden/>
              </w:rPr>
              <w:instrText xml:space="preserve"> PAGEREF _Toc112051822 \h </w:instrText>
            </w:r>
            <w:r>
              <w:rPr>
                <w:noProof/>
                <w:webHidden/>
              </w:rPr>
            </w:r>
            <w:r>
              <w:rPr>
                <w:noProof/>
                <w:webHidden/>
              </w:rPr>
              <w:fldChar w:fldCharType="separate"/>
            </w:r>
            <w:r>
              <w:rPr>
                <w:noProof/>
                <w:webHidden/>
              </w:rPr>
              <w:t>44</w:t>
            </w:r>
            <w:r>
              <w:rPr>
                <w:noProof/>
                <w:webHidden/>
              </w:rPr>
              <w:fldChar w:fldCharType="end"/>
            </w:r>
          </w:hyperlink>
        </w:p>
        <w:p w14:paraId="7EC70F2F" w14:textId="0A136BAA" w:rsidR="00F533FD" w:rsidRDefault="00F533FD">
          <w:pPr>
            <w:pStyle w:val="TOC3"/>
            <w:tabs>
              <w:tab w:val="right" w:leader="dot" w:pos="10308"/>
            </w:tabs>
            <w:rPr>
              <w:rFonts w:asciiTheme="minorHAnsi" w:eastAsiaTheme="minorEastAsia" w:hAnsiTheme="minorHAnsi" w:cstheme="minorBidi"/>
              <w:noProof/>
              <w:lang w:eastAsia="en-AU"/>
            </w:rPr>
          </w:pPr>
          <w:hyperlink w:anchor="_Toc112051823" w:history="1">
            <w:r w:rsidRPr="009C799F">
              <w:rPr>
                <w:rStyle w:val="Hyperlink"/>
                <w:noProof/>
                <w:lang w:eastAsia="en-AU"/>
              </w:rPr>
              <w:t>3.6.1. Low awareness of coercive control in the NT</w:t>
            </w:r>
            <w:r>
              <w:rPr>
                <w:noProof/>
                <w:webHidden/>
              </w:rPr>
              <w:tab/>
            </w:r>
            <w:r>
              <w:rPr>
                <w:noProof/>
                <w:webHidden/>
              </w:rPr>
              <w:fldChar w:fldCharType="begin"/>
            </w:r>
            <w:r>
              <w:rPr>
                <w:noProof/>
                <w:webHidden/>
              </w:rPr>
              <w:instrText xml:space="preserve"> PAGEREF _Toc112051823 \h </w:instrText>
            </w:r>
            <w:r>
              <w:rPr>
                <w:noProof/>
                <w:webHidden/>
              </w:rPr>
            </w:r>
            <w:r>
              <w:rPr>
                <w:noProof/>
                <w:webHidden/>
              </w:rPr>
              <w:fldChar w:fldCharType="separate"/>
            </w:r>
            <w:r>
              <w:rPr>
                <w:noProof/>
                <w:webHidden/>
              </w:rPr>
              <w:t>44</w:t>
            </w:r>
            <w:r>
              <w:rPr>
                <w:noProof/>
                <w:webHidden/>
              </w:rPr>
              <w:fldChar w:fldCharType="end"/>
            </w:r>
          </w:hyperlink>
        </w:p>
        <w:p w14:paraId="359E7A4E" w14:textId="486D1E2C" w:rsidR="00F533FD" w:rsidRDefault="00F533FD">
          <w:pPr>
            <w:pStyle w:val="TOC3"/>
            <w:tabs>
              <w:tab w:val="right" w:leader="dot" w:pos="10308"/>
            </w:tabs>
            <w:rPr>
              <w:rFonts w:asciiTheme="minorHAnsi" w:eastAsiaTheme="minorEastAsia" w:hAnsiTheme="minorHAnsi" w:cstheme="minorBidi"/>
              <w:noProof/>
              <w:lang w:eastAsia="en-AU"/>
            </w:rPr>
          </w:pPr>
          <w:hyperlink w:anchor="_Toc112051824" w:history="1">
            <w:r w:rsidRPr="009C799F">
              <w:rPr>
                <w:rStyle w:val="Hyperlink"/>
                <w:noProof/>
                <w:lang w:eastAsia="en-AU"/>
              </w:rPr>
              <w:t>3.6.2. Comprehensive implementation needs to precede criminalisation</w:t>
            </w:r>
            <w:r>
              <w:rPr>
                <w:noProof/>
                <w:webHidden/>
              </w:rPr>
              <w:tab/>
            </w:r>
            <w:r>
              <w:rPr>
                <w:noProof/>
                <w:webHidden/>
              </w:rPr>
              <w:fldChar w:fldCharType="begin"/>
            </w:r>
            <w:r>
              <w:rPr>
                <w:noProof/>
                <w:webHidden/>
              </w:rPr>
              <w:instrText xml:space="preserve"> PAGEREF _Toc112051824 \h </w:instrText>
            </w:r>
            <w:r>
              <w:rPr>
                <w:noProof/>
                <w:webHidden/>
              </w:rPr>
            </w:r>
            <w:r>
              <w:rPr>
                <w:noProof/>
                <w:webHidden/>
              </w:rPr>
              <w:fldChar w:fldCharType="separate"/>
            </w:r>
            <w:r>
              <w:rPr>
                <w:noProof/>
                <w:webHidden/>
              </w:rPr>
              <w:t>45</w:t>
            </w:r>
            <w:r>
              <w:rPr>
                <w:noProof/>
                <w:webHidden/>
              </w:rPr>
              <w:fldChar w:fldCharType="end"/>
            </w:r>
          </w:hyperlink>
        </w:p>
        <w:p w14:paraId="1BC6E279" w14:textId="625A34F9" w:rsidR="00F533FD" w:rsidRDefault="00F533FD">
          <w:pPr>
            <w:pStyle w:val="TOC3"/>
            <w:tabs>
              <w:tab w:val="right" w:leader="dot" w:pos="10308"/>
            </w:tabs>
            <w:rPr>
              <w:rFonts w:asciiTheme="minorHAnsi" w:eastAsiaTheme="minorEastAsia" w:hAnsiTheme="minorHAnsi" w:cstheme="minorBidi"/>
              <w:noProof/>
              <w:lang w:eastAsia="en-AU"/>
            </w:rPr>
          </w:pPr>
          <w:hyperlink w:anchor="_Toc112051825" w:history="1">
            <w:r w:rsidRPr="009C799F">
              <w:rPr>
                <w:rStyle w:val="Hyperlink"/>
                <w:noProof/>
                <w:lang w:eastAsia="en-AU"/>
              </w:rPr>
              <w:t>3.6.3. Criminalisation as a last resort</w:t>
            </w:r>
            <w:r>
              <w:rPr>
                <w:noProof/>
                <w:webHidden/>
              </w:rPr>
              <w:tab/>
            </w:r>
            <w:r>
              <w:rPr>
                <w:noProof/>
                <w:webHidden/>
              </w:rPr>
              <w:fldChar w:fldCharType="begin"/>
            </w:r>
            <w:r>
              <w:rPr>
                <w:noProof/>
                <w:webHidden/>
              </w:rPr>
              <w:instrText xml:space="preserve"> PAGEREF _Toc112051825 \h </w:instrText>
            </w:r>
            <w:r>
              <w:rPr>
                <w:noProof/>
                <w:webHidden/>
              </w:rPr>
            </w:r>
            <w:r>
              <w:rPr>
                <w:noProof/>
                <w:webHidden/>
              </w:rPr>
              <w:fldChar w:fldCharType="separate"/>
            </w:r>
            <w:r>
              <w:rPr>
                <w:noProof/>
                <w:webHidden/>
              </w:rPr>
              <w:t>46</w:t>
            </w:r>
            <w:r>
              <w:rPr>
                <w:noProof/>
                <w:webHidden/>
              </w:rPr>
              <w:fldChar w:fldCharType="end"/>
            </w:r>
          </w:hyperlink>
        </w:p>
        <w:p w14:paraId="37EAF128" w14:textId="229D08A4" w:rsidR="00F533FD" w:rsidRDefault="00F533FD">
          <w:pPr>
            <w:pStyle w:val="TOC2"/>
            <w:rPr>
              <w:rFonts w:asciiTheme="minorHAnsi" w:eastAsiaTheme="minorEastAsia" w:hAnsiTheme="minorHAnsi" w:cstheme="minorBidi"/>
              <w:noProof/>
              <w:lang w:eastAsia="en-AU"/>
            </w:rPr>
          </w:pPr>
          <w:hyperlink w:anchor="_Toc112051826" w:history="1">
            <w:r w:rsidRPr="009C799F">
              <w:rPr>
                <w:rStyle w:val="Hyperlink"/>
                <w:noProof/>
                <w:lang w:eastAsia="en-AU"/>
              </w:rPr>
              <w:t>3.7. NT proposals to improve responses to coercive control</w:t>
            </w:r>
            <w:r>
              <w:rPr>
                <w:noProof/>
                <w:webHidden/>
              </w:rPr>
              <w:tab/>
            </w:r>
            <w:r>
              <w:rPr>
                <w:noProof/>
                <w:webHidden/>
              </w:rPr>
              <w:fldChar w:fldCharType="begin"/>
            </w:r>
            <w:r>
              <w:rPr>
                <w:noProof/>
                <w:webHidden/>
              </w:rPr>
              <w:instrText xml:space="preserve"> PAGEREF _Toc112051826 \h </w:instrText>
            </w:r>
            <w:r>
              <w:rPr>
                <w:noProof/>
                <w:webHidden/>
              </w:rPr>
            </w:r>
            <w:r>
              <w:rPr>
                <w:noProof/>
                <w:webHidden/>
              </w:rPr>
              <w:fldChar w:fldCharType="separate"/>
            </w:r>
            <w:r>
              <w:rPr>
                <w:noProof/>
                <w:webHidden/>
              </w:rPr>
              <w:t>47</w:t>
            </w:r>
            <w:r>
              <w:rPr>
                <w:noProof/>
                <w:webHidden/>
              </w:rPr>
              <w:fldChar w:fldCharType="end"/>
            </w:r>
          </w:hyperlink>
        </w:p>
        <w:p w14:paraId="4B326405" w14:textId="7C52DE23" w:rsidR="00F533FD" w:rsidRDefault="00F533FD">
          <w:pPr>
            <w:pStyle w:val="TOC3"/>
            <w:tabs>
              <w:tab w:val="right" w:leader="dot" w:pos="10308"/>
            </w:tabs>
            <w:rPr>
              <w:rFonts w:asciiTheme="minorHAnsi" w:eastAsiaTheme="minorEastAsia" w:hAnsiTheme="minorHAnsi" w:cstheme="minorBidi"/>
              <w:noProof/>
              <w:lang w:eastAsia="en-AU"/>
            </w:rPr>
          </w:pPr>
          <w:hyperlink w:anchor="_Toc112051827" w:history="1">
            <w:r w:rsidRPr="009C799F">
              <w:rPr>
                <w:rStyle w:val="Hyperlink"/>
                <w:noProof/>
                <w:lang w:eastAsia="en-AU"/>
              </w:rPr>
              <w:t>3.7.1. Options in relation to criminalisation</w:t>
            </w:r>
            <w:r>
              <w:rPr>
                <w:noProof/>
                <w:webHidden/>
              </w:rPr>
              <w:tab/>
            </w:r>
            <w:r>
              <w:rPr>
                <w:noProof/>
                <w:webHidden/>
              </w:rPr>
              <w:fldChar w:fldCharType="begin"/>
            </w:r>
            <w:r>
              <w:rPr>
                <w:noProof/>
                <w:webHidden/>
              </w:rPr>
              <w:instrText xml:space="preserve"> PAGEREF _Toc112051827 \h </w:instrText>
            </w:r>
            <w:r>
              <w:rPr>
                <w:noProof/>
                <w:webHidden/>
              </w:rPr>
            </w:r>
            <w:r>
              <w:rPr>
                <w:noProof/>
                <w:webHidden/>
              </w:rPr>
              <w:fldChar w:fldCharType="separate"/>
            </w:r>
            <w:r>
              <w:rPr>
                <w:noProof/>
                <w:webHidden/>
              </w:rPr>
              <w:t>47</w:t>
            </w:r>
            <w:r>
              <w:rPr>
                <w:noProof/>
                <w:webHidden/>
              </w:rPr>
              <w:fldChar w:fldCharType="end"/>
            </w:r>
          </w:hyperlink>
        </w:p>
        <w:p w14:paraId="67340182" w14:textId="0CA2354A" w:rsidR="00F533FD" w:rsidRDefault="00F533FD">
          <w:pPr>
            <w:pStyle w:val="TOC3"/>
            <w:tabs>
              <w:tab w:val="right" w:leader="dot" w:pos="10308"/>
            </w:tabs>
            <w:rPr>
              <w:rFonts w:asciiTheme="minorHAnsi" w:eastAsiaTheme="minorEastAsia" w:hAnsiTheme="minorHAnsi" w:cstheme="minorBidi"/>
              <w:noProof/>
              <w:lang w:eastAsia="en-AU"/>
            </w:rPr>
          </w:pPr>
          <w:hyperlink w:anchor="_Toc112051828" w:history="1">
            <w:r w:rsidRPr="009C799F">
              <w:rPr>
                <w:rStyle w:val="Hyperlink"/>
                <w:noProof/>
                <w:lang w:eastAsia="en-AU"/>
              </w:rPr>
              <w:t>3.7.2. Legislative proposals in relation to coercive control</w:t>
            </w:r>
            <w:r>
              <w:rPr>
                <w:noProof/>
                <w:webHidden/>
              </w:rPr>
              <w:tab/>
            </w:r>
            <w:r>
              <w:rPr>
                <w:noProof/>
                <w:webHidden/>
              </w:rPr>
              <w:fldChar w:fldCharType="begin"/>
            </w:r>
            <w:r>
              <w:rPr>
                <w:noProof/>
                <w:webHidden/>
              </w:rPr>
              <w:instrText xml:space="preserve"> PAGEREF _Toc112051828 \h </w:instrText>
            </w:r>
            <w:r>
              <w:rPr>
                <w:noProof/>
                <w:webHidden/>
              </w:rPr>
            </w:r>
            <w:r>
              <w:rPr>
                <w:noProof/>
                <w:webHidden/>
              </w:rPr>
              <w:fldChar w:fldCharType="separate"/>
            </w:r>
            <w:r>
              <w:rPr>
                <w:noProof/>
                <w:webHidden/>
              </w:rPr>
              <w:t>47</w:t>
            </w:r>
            <w:r>
              <w:rPr>
                <w:noProof/>
                <w:webHidden/>
              </w:rPr>
              <w:fldChar w:fldCharType="end"/>
            </w:r>
          </w:hyperlink>
        </w:p>
        <w:p w14:paraId="512AD56E" w14:textId="231F335B" w:rsidR="00F533FD" w:rsidRDefault="00F533FD">
          <w:pPr>
            <w:pStyle w:val="TOC3"/>
            <w:tabs>
              <w:tab w:val="right" w:leader="dot" w:pos="10308"/>
            </w:tabs>
            <w:rPr>
              <w:rFonts w:asciiTheme="minorHAnsi" w:eastAsiaTheme="minorEastAsia" w:hAnsiTheme="minorHAnsi" w:cstheme="minorBidi"/>
              <w:noProof/>
              <w:lang w:eastAsia="en-AU"/>
            </w:rPr>
          </w:pPr>
          <w:hyperlink w:anchor="_Toc112051829" w:history="1">
            <w:r w:rsidRPr="009C799F">
              <w:rPr>
                <w:rStyle w:val="Hyperlink"/>
                <w:noProof/>
                <w:lang w:eastAsia="en-AU"/>
              </w:rPr>
              <w:t>3.7.3. Systemic reforms in relation to coercive control</w:t>
            </w:r>
            <w:r>
              <w:rPr>
                <w:noProof/>
                <w:webHidden/>
              </w:rPr>
              <w:tab/>
            </w:r>
            <w:r>
              <w:rPr>
                <w:noProof/>
                <w:webHidden/>
              </w:rPr>
              <w:fldChar w:fldCharType="begin"/>
            </w:r>
            <w:r>
              <w:rPr>
                <w:noProof/>
                <w:webHidden/>
              </w:rPr>
              <w:instrText xml:space="preserve"> PAGEREF _Toc112051829 \h </w:instrText>
            </w:r>
            <w:r>
              <w:rPr>
                <w:noProof/>
                <w:webHidden/>
              </w:rPr>
            </w:r>
            <w:r>
              <w:rPr>
                <w:noProof/>
                <w:webHidden/>
              </w:rPr>
              <w:fldChar w:fldCharType="separate"/>
            </w:r>
            <w:r>
              <w:rPr>
                <w:noProof/>
                <w:webHidden/>
              </w:rPr>
              <w:t>48</w:t>
            </w:r>
            <w:r>
              <w:rPr>
                <w:noProof/>
                <w:webHidden/>
              </w:rPr>
              <w:fldChar w:fldCharType="end"/>
            </w:r>
          </w:hyperlink>
        </w:p>
        <w:p w14:paraId="734ACACE" w14:textId="4C2512A7" w:rsidR="00F533FD" w:rsidRDefault="00F533FD">
          <w:pPr>
            <w:pStyle w:val="TOC3"/>
            <w:tabs>
              <w:tab w:val="right" w:leader="dot" w:pos="10308"/>
            </w:tabs>
            <w:rPr>
              <w:rFonts w:asciiTheme="minorHAnsi" w:eastAsiaTheme="minorEastAsia" w:hAnsiTheme="minorHAnsi" w:cstheme="minorBidi"/>
              <w:noProof/>
              <w:lang w:eastAsia="en-AU"/>
            </w:rPr>
          </w:pPr>
          <w:hyperlink w:anchor="_Toc112051830" w:history="1">
            <w:r w:rsidRPr="009C799F">
              <w:rPr>
                <w:rStyle w:val="Hyperlink"/>
                <w:noProof/>
                <w:lang w:eastAsia="en-AU"/>
              </w:rPr>
              <w:t>3.7.4. Questions – Coercive control</w:t>
            </w:r>
            <w:r>
              <w:rPr>
                <w:noProof/>
                <w:webHidden/>
              </w:rPr>
              <w:tab/>
            </w:r>
            <w:r>
              <w:rPr>
                <w:noProof/>
                <w:webHidden/>
              </w:rPr>
              <w:fldChar w:fldCharType="begin"/>
            </w:r>
            <w:r>
              <w:rPr>
                <w:noProof/>
                <w:webHidden/>
              </w:rPr>
              <w:instrText xml:space="preserve"> PAGEREF _Toc112051830 \h </w:instrText>
            </w:r>
            <w:r>
              <w:rPr>
                <w:noProof/>
                <w:webHidden/>
              </w:rPr>
            </w:r>
            <w:r>
              <w:rPr>
                <w:noProof/>
                <w:webHidden/>
              </w:rPr>
              <w:fldChar w:fldCharType="separate"/>
            </w:r>
            <w:r>
              <w:rPr>
                <w:noProof/>
                <w:webHidden/>
              </w:rPr>
              <w:t>49</w:t>
            </w:r>
            <w:r>
              <w:rPr>
                <w:noProof/>
                <w:webHidden/>
              </w:rPr>
              <w:fldChar w:fldCharType="end"/>
            </w:r>
          </w:hyperlink>
        </w:p>
        <w:p w14:paraId="1753259E" w14:textId="4DF8AD52" w:rsidR="00F533FD" w:rsidRDefault="00F533FD">
          <w:pPr>
            <w:pStyle w:val="TOC1"/>
            <w:rPr>
              <w:rFonts w:asciiTheme="minorHAnsi" w:eastAsiaTheme="minorEastAsia" w:hAnsiTheme="minorHAnsi" w:cstheme="minorBidi"/>
              <w:b w:val="0"/>
              <w:noProof/>
              <w:lang w:eastAsia="en-AU"/>
            </w:rPr>
          </w:pPr>
          <w:hyperlink w:anchor="_Toc112051831" w:history="1">
            <w:r w:rsidRPr="009C799F">
              <w:rPr>
                <w:rStyle w:val="Hyperlink"/>
                <w:noProof/>
                <w:lang w:eastAsia="en-AU"/>
              </w:rPr>
              <w:t>4. Legislative proposals to address DFV</w:t>
            </w:r>
            <w:r>
              <w:rPr>
                <w:noProof/>
                <w:webHidden/>
              </w:rPr>
              <w:tab/>
            </w:r>
            <w:r>
              <w:rPr>
                <w:noProof/>
                <w:webHidden/>
              </w:rPr>
              <w:fldChar w:fldCharType="begin"/>
            </w:r>
            <w:r>
              <w:rPr>
                <w:noProof/>
                <w:webHidden/>
              </w:rPr>
              <w:instrText xml:space="preserve"> PAGEREF _Toc112051831 \h </w:instrText>
            </w:r>
            <w:r>
              <w:rPr>
                <w:noProof/>
                <w:webHidden/>
              </w:rPr>
            </w:r>
            <w:r>
              <w:rPr>
                <w:noProof/>
                <w:webHidden/>
              </w:rPr>
              <w:fldChar w:fldCharType="separate"/>
            </w:r>
            <w:r>
              <w:rPr>
                <w:noProof/>
                <w:webHidden/>
              </w:rPr>
              <w:t>50</w:t>
            </w:r>
            <w:r>
              <w:rPr>
                <w:noProof/>
                <w:webHidden/>
              </w:rPr>
              <w:fldChar w:fldCharType="end"/>
            </w:r>
          </w:hyperlink>
        </w:p>
        <w:p w14:paraId="6BD6DDB6" w14:textId="4EAE31BB" w:rsidR="00F533FD" w:rsidRDefault="00F533FD">
          <w:pPr>
            <w:pStyle w:val="TOC2"/>
            <w:rPr>
              <w:rFonts w:asciiTheme="minorHAnsi" w:eastAsiaTheme="minorEastAsia" w:hAnsiTheme="minorHAnsi" w:cstheme="minorBidi"/>
              <w:noProof/>
              <w:lang w:eastAsia="en-AU"/>
            </w:rPr>
          </w:pPr>
          <w:hyperlink w:anchor="_Toc112051832" w:history="1">
            <w:r w:rsidRPr="009C799F">
              <w:rPr>
                <w:rStyle w:val="Hyperlink"/>
                <w:noProof/>
                <w:lang w:eastAsia="en-AU"/>
              </w:rPr>
              <w:t xml:space="preserve">4.1. Proposed amendments to the </w:t>
            </w:r>
            <w:r w:rsidRPr="009C799F">
              <w:rPr>
                <w:rStyle w:val="Hyperlink"/>
                <w:i/>
                <w:noProof/>
                <w:lang w:eastAsia="en-AU"/>
              </w:rPr>
              <w:t>Domestic and Family Violence Act 2007</w:t>
            </w:r>
            <w:r>
              <w:rPr>
                <w:noProof/>
                <w:webHidden/>
              </w:rPr>
              <w:tab/>
            </w:r>
            <w:r>
              <w:rPr>
                <w:noProof/>
                <w:webHidden/>
              </w:rPr>
              <w:fldChar w:fldCharType="begin"/>
            </w:r>
            <w:r>
              <w:rPr>
                <w:noProof/>
                <w:webHidden/>
              </w:rPr>
              <w:instrText xml:space="preserve"> PAGEREF _Toc112051832 \h </w:instrText>
            </w:r>
            <w:r>
              <w:rPr>
                <w:noProof/>
                <w:webHidden/>
              </w:rPr>
            </w:r>
            <w:r>
              <w:rPr>
                <w:noProof/>
                <w:webHidden/>
              </w:rPr>
              <w:fldChar w:fldCharType="separate"/>
            </w:r>
            <w:r>
              <w:rPr>
                <w:noProof/>
                <w:webHidden/>
              </w:rPr>
              <w:t>50</w:t>
            </w:r>
            <w:r>
              <w:rPr>
                <w:noProof/>
                <w:webHidden/>
              </w:rPr>
              <w:fldChar w:fldCharType="end"/>
            </w:r>
          </w:hyperlink>
        </w:p>
        <w:p w14:paraId="2D047B9D" w14:textId="4970605B" w:rsidR="00F533FD" w:rsidRDefault="00F533FD">
          <w:pPr>
            <w:pStyle w:val="TOC3"/>
            <w:tabs>
              <w:tab w:val="right" w:leader="dot" w:pos="10308"/>
            </w:tabs>
            <w:rPr>
              <w:rFonts w:asciiTheme="minorHAnsi" w:eastAsiaTheme="minorEastAsia" w:hAnsiTheme="minorHAnsi" w:cstheme="minorBidi"/>
              <w:noProof/>
              <w:lang w:eastAsia="en-AU"/>
            </w:rPr>
          </w:pPr>
          <w:hyperlink w:anchor="_Toc112051833" w:history="1">
            <w:r w:rsidRPr="009C799F">
              <w:rPr>
                <w:rStyle w:val="Hyperlink"/>
                <w:noProof/>
                <w:lang w:eastAsia="en-AU"/>
              </w:rPr>
              <w:t>4.1.1. Preliminaries and definitions</w:t>
            </w:r>
            <w:r>
              <w:rPr>
                <w:noProof/>
                <w:webHidden/>
              </w:rPr>
              <w:tab/>
            </w:r>
            <w:r>
              <w:rPr>
                <w:noProof/>
                <w:webHidden/>
              </w:rPr>
              <w:fldChar w:fldCharType="begin"/>
            </w:r>
            <w:r>
              <w:rPr>
                <w:noProof/>
                <w:webHidden/>
              </w:rPr>
              <w:instrText xml:space="preserve"> PAGEREF _Toc112051833 \h </w:instrText>
            </w:r>
            <w:r>
              <w:rPr>
                <w:noProof/>
                <w:webHidden/>
              </w:rPr>
            </w:r>
            <w:r>
              <w:rPr>
                <w:noProof/>
                <w:webHidden/>
              </w:rPr>
              <w:fldChar w:fldCharType="separate"/>
            </w:r>
            <w:r>
              <w:rPr>
                <w:noProof/>
                <w:webHidden/>
              </w:rPr>
              <w:t>51</w:t>
            </w:r>
            <w:r>
              <w:rPr>
                <w:noProof/>
                <w:webHidden/>
              </w:rPr>
              <w:fldChar w:fldCharType="end"/>
            </w:r>
          </w:hyperlink>
        </w:p>
        <w:p w14:paraId="2007107A" w14:textId="330DC1D1" w:rsidR="00F533FD" w:rsidRDefault="00F533FD">
          <w:pPr>
            <w:pStyle w:val="TOC3"/>
            <w:tabs>
              <w:tab w:val="right" w:leader="dot" w:pos="10308"/>
            </w:tabs>
            <w:rPr>
              <w:rFonts w:asciiTheme="minorHAnsi" w:eastAsiaTheme="minorEastAsia" w:hAnsiTheme="minorHAnsi" w:cstheme="minorBidi"/>
              <w:noProof/>
              <w:lang w:eastAsia="en-AU"/>
            </w:rPr>
          </w:pPr>
          <w:hyperlink w:anchor="_Toc112051834" w:history="1">
            <w:r w:rsidRPr="009C799F">
              <w:rPr>
                <w:rStyle w:val="Hyperlink"/>
                <w:noProof/>
                <w:lang w:eastAsia="en-AU"/>
              </w:rPr>
              <w:t>4.1.2. Matters that must be considered in making a DVO</w:t>
            </w:r>
            <w:r>
              <w:rPr>
                <w:noProof/>
                <w:webHidden/>
              </w:rPr>
              <w:tab/>
            </w:r>
            <w:r>
              <w:rPr>
                <w:noProof/>
                <w:webHidden/>
              </w:rPr>
              <w:fldChar w:fldCharType="begin"/>
            </w:r>
            <w:r>
              <w:rPr>
                <w:noProof/>
                <w:webHidden/>
              </w:rPr>
              <w:instrText xml:space="preserve"> PAGEREF _Toc112051834 \h </w:instrText>
            </w:r>
            <w:r>
              <w:rPr>
                <w:noProof/>
                <w:webHidden/>
              </w:rPr>
            </w:r>
            <w:r>
              <w:rPr>
                <w:noProof/>
                <w:webHidden/>
              </w:rPr>
              <w:fldChar w:fldCharType="separate"/>
            </w:r>
            <w:r>
              <w:rPr>
                <w:noProof/>
                <w:webHidden/>
              </w:rPr>
              <w:t>59</w:t>
            </w:r>
            <w:r>
              <w:rPr>
                <w:noProof/>
                <w:webHidden/>
              </w:rPr>
              <w:fldChar w:fldCharType="end"/>
            </w:r>
          </w:hyperlink>
        </w:p>
        <w:p w14:paraId="4A0FD503" w14:textId="25800C5D" w:rsidR="00F533FD" w:rsidRDefault="00F533FD">
          <w:pPr>
            <w:pStyle w:val="TOC3"/>
            <w:tabs>
              <w:tab w:val="right" w:leader="dot" w:pos="10308"/>
            </w:tabs>
            <w:rPr>
              <w:rFonts w:asciiTheme="minorHAnsi" w:eastAsiaTheme="minorEastAsia" w:hAnsiTheme="minorHAnsi" w:cstheme="minorBidi"/>
              <w:noProof/>
              <w:lang w:eastAsia="en-AU"/>
            </w:rPr>
          </w:pPr>
          <w:hyperlink w:anchor="_Toc112051835" w:history="1">
            <w:r w:rsidRPr="009C799F">
              <w:rPr>
                <w:rStyle w:val="Hyperlink"/>
                <w:noProof/>
                <w:lang w:eastAsia="en-AU"/>
              </w:rPr>
              <w:t>4.1.3. Misidentification of the ‘person most in need of protection’</w:t>
            </w:r>
            <w:r>
              <w:rPr>
                <w:noProof/>
                <w:webHidden/>
              </w:rPr>
              <w:tab/>
            </w:r>
            <w:r>
              <w:rPr>
                <w:noProof/>
                <w:webHidden/>
              </w:rPr>
              <w:fldChar w:fldCharType="begin"/>
            </w:r>
            <w:r>
              <w:rPr>
                <w:noProof/>
                <w:webHidden/>
              </w:rPr>
              <w:instrText xml:space="preserve"> PAGEREF _Toc112051835 \h </w:instrText>
            </w:r>
            <w:r>
              <w:rPr>
                <w:noProof/>
                <w:webHidden/>
              </w:rPr>
            </w:r>
            <w:r>
              <w:rPr>
                <w:noProof/>
                <w:webHidden/>
              </w:rPr>
              <w:fldChar w:fldCharType="separate"/>
            </w:r>
            <w:r>
              <w:rPr>
                <w:noProof/>
                <w:webHidden/>
              </w:rPr>
              <w:t>60</w:t>
            </w:r>
            <w:r>
              <w:rPr>
                <w:noProof/>
                <w:webHidden/>
              </w:rPr>
              <w:fldChar w:fldCharType="end"/>
            </w:r>
          </w:hyperlink>
        </w:p>
        <w:p w14:paraId="5C6BB2DF" w14:textId="5D448513" w:rsidR="00F533FD" w:rsidRDefault="00F533FD">
          <w:pPr>
            <w:pStyle w:val="TOC3"/>
            <w:tabs>
              <w:tab w:val="right" w:leader="dot" w:pos="10308"/>
            </w:tabs>
            <w:rPr>
              <w:rFonts w:asciiTheme="minorHAnsi" w:eastAsiaTheme="minorEastAsia" w:hAnsiTheme="minorHAnsi" w:cstheme="minorBidi"/>
              <w:noProof/>
              <w:lang w:eastAsia="en-AU"/>
            </w:rPr>
          </w:pPr>
          <w:hyperlink w:anchor="_Toc112051836" w:history="1">
            <w:r w:rsidRPr="009C799F">
              <w:rPr>
                <w:rStyle w:val="Hyperlink"/>
                <w:noProof/>
                <w:lang w:eastAsia="en-AU"/>
              </w:rPr>
              <w:t>4.1.4. Premises access orders</w:t>
            </w:r>
            <w:r>
              <w:rPr>
                <w:noProof/>
                <w:webHidden/>
              </w:rPr>
              <w:tab/>
            </w:r>
            <w:r>
              <w:rPr>
                <w:noProof/>
                <w:webHidden/>
              </w:rPr>
              <w:fldChar w:fldCharType="begin"/>
            </w:r>
            <w:r>
              <w:rPr>
                <w:noProof/>
                <w:webHidden/>
              </w:rPr>
              <w:instrText xml:space="preserve"> PAGEREF _Toc112051836 \h </w:instrText>
            </w:r>
            <w:r>
              <w:rPr>
                <w:noProof/>
                <w:webHidden/>
              </w:rPr>
            </w:r>
            <w:r>
              <w:rPr>
                <w:noProof/>
                <w:webHidden/>
              </w:rPr>
              <w:fldChar w:fldCharType="separate"/>
            </w:r>
            <w:r>
              <w:rPr>
                <w:noProof/>
                <w:webHidden/>
              </w:rPr>
              <w:t>63</w:t>
            </w:r>
            <w:r>
              <w:rPr>
                <w:noProof/>
                <w:webHidden/>
              </w:rPr>
              <w:fldChar w:fldCharType="end"/>
            </w:r>
          </w:hyperlink>
        </w:p>
        <w:p w14:paraId="2ABA0C99" w14:textId="3F22F4B1" w:rsidR="00F533FD" w:rsidRDefault="00F533FD">
          <w:pPr>
            <w:pStyle w:val="TOC3"/>
            <w:tabs>
              <w:tab w:val="right" w:leader="dot" w:pos="10308"/>
            </w:tabs>
            <w:rPr>
              <w:rFonts w:asciiTheme="minorHAnsi" w:eastAsiaTheme="minorEastAsia" w:hAnsiTheme="minorHAnsi" w:cstheme="minorBidi"/>
              <w:noProof/>
              <w:lang w:eastAsia="en-AU"/>
            </w:rPr>
          </w:pPr>
          <w:hyperlink w:anchor="_Toc112051837" w:history="1">
            <w:r w:rsidRPr="009C799F">
              <w:rPr>
                <w:rStyle w:val="Hyperlink"/>
                <w:noProof/>
              </w:rPr>
              <w:t>4.1.5. What a DVO may provide</w:t>
            </w:r>
            <w:r>
              <w:rPr>
                <w:noProof/>
                <w:webHidden/>
              </w:rPr>
              <w:tab/>
            </w:r>
            <w:r>
              <w:rPr>
                <w:noProof/>
                <w:webHidden/>
              </w:rPr>
              <w:fldChar w:fldCharType="begin"/>
            </w:r>
            <w:r>
              <w:rPr>
                <w:noProof/>
                <w:webHidden/>
              </w:rPr>
              <w:instrText xml:space="preserve"> PAGEREF _Toc112051837 \h </w:instrText>
            </w:r>
            <w:r>
              <w:rPr>
                <w:noProof/>
                <w:webHidden/>
              </w:rPr>
            </w:r>
            <w:r>
              <w:rPr>
                <w:noProof/>
                <w:webHidden/>
              </w:rPr>
              <w:fldChar w:fldCharType="separate"/>
            </w:r>
            <w:r>
              <w:rPr>
                <w:noProof/>
                <w:webHidden/>
              </w:rPr>
              <w:t>65</w:t>
            </w:r>
            <w:r>
              <w:rPr>
                <w:noProof/>
                <w:webHidden/>
              </w:rPr>
              <w:fldChar w:fldCharType="end"/>
            </w:r>
          </w:hyperlink>
        </w:p>
        <w:p w14:paraId="3E821F86" w14:textId="29D5F2C3" w:rsidR="00F533FD" w:rsidRDefault="00F533FD">
          <w:pPr>
            <w:pStyle w:val="TOC3"/>
            <w:tabs>
              <w:tab w:val="right" w:leader="dot" w:pos="10308"/>
            </w:tabs>
            <w:rPr>
              <w:rFonts w:asciiTheme="minorHAnsi" w:eastAsiaTheme="minorEastAsia" w:hAnsiTheme="minorHAnsi" w:cstheme="minorBidi"/>
              <w:noProof/>
              <w:lang w:eastAsia="en-AU"/>
            </w:rPr>
          </w:pPr>
          <w:hyperlink w:anchor="_Toc112051838" w:history="1">
            <w:r w:rsidRPr="009C799F">
              <w:rPr>
                <w:rStyle w:val="Hyperlink"/>
                <w:noProof/>
                <w:lang w:eastAsia="en-AU"/>
              </w:rPr>
              <w:t>4.1.6. Orders to attend rehabilitation</w:t>
            </w:r>
            <w:r>
              <w:rPr>
                <w:noProof/>
                <w:webHidden/>
              </w:rPr>
              <w:tab/>
            </w:r>
            <w:r>
              <w:rPr>
                <w:noProof/>
                <w:webHidden/>
              </w:rPr>
              <w:fldChar w:fldCharType="begin"/>
            </w:r>
            <w:r>
              <w:rPr>
                <w:noProof/>
                <w:webHidden/>
              </w:rPr>
              <w:instrText xml:space="preserve"> PAGEREF _Toc112051838 \h </w:instrText>
            </w:r>
            <w:r>
              <w:rPr>
                <w:noProof/>
                <w:webHidden/>
              </w:rPr>
            </w:r>
            <w:r>
              <w:rPr>
                <w:noProof/>
                <w:webHidden/>
              </w:rPr>
              <w:fldChar w:fldCharType="separate"/>
            </w:r>
            <w:r>
              <w:rPr>
                <w:noProof/>
                <w:webHidden/>
              </w:rPr>
              <w:t>66</w:t>
            </w:r>
            <w:r>
              <w:rPr>
                <w:noProof/>
                <w:webHidden/>
              </w:rPr>
              <w:fldChar w:fldCharType="end"/>
            </w:r>
          </w:hyperlink>
        </w:p>
        <w:p w14:paraId="21003EA2" w14:textId="54C24502" w:rsidR="00F533FD" w:rsidRDefault="00F533FD">
          <w:pPr>
            <w:pStyle w:val="TOC3"/>
            <w:tabs>
              <w:tab w:val="right" w:leader="dot" w:pos="10308"/>
            </w:tabs>
            <w:rPr>
              <w:rFonts w:asciiTheme="minorHAnsi" w:eastAsiaTheme="minorEastAsia" w:hAnsiTheme="minorHAnsi" w:cstheme="minorBidi"/>
              <w:noProof/>
              <w:lang w:eastAsia="en-AU"/>
            </w:rPr>
          </w:pPr>
          <w:hyperlink w:anchor="_Toc112051839" w:history="1">
            <w:r w:rsidRPr="009C799F">
              <w:rPr>
                <w:rStyle w:val="Hyperlink"/>
                <w:noProof/>
                <w:lang w:eastAsia="en-AU"/>
              </w:rPr>
              <w:t>4.1.7. Prohibition on publication</w:t>
            </w:r>
            <w:r>
              <w:rPr>
                <w:noProof/>
                <w:webHidden/>
              </w:rPr>
              <w:tab/>
            </w:r>
            <w:r>
              <w:rPr>
                <w:noProof/>
                <w:webHidden/>
              </w:rPr>
              <w:fldChar w:fldCharType="begin"/>
            </w:r>
            <w:r>
              <w:rPr>
                <w:noProof/>
                <w:webHidden/>
              </w:rPr>
              <w:instrText xml:space="preserve"> PAGEREF _Toc112051839 \h </w:instrText>
            </w:r>
            <w:r>
              <w:rPr>
                <w:noProof/>
                <w:webHidden/>
              </w:rPr>
            </w:r>
            <w:r>
              <w:rPr>
                <w:noProof/>
                <w:webHidden/>
              </w:rPr>
              <w:fldChar w:fldCharType="separate"/>
            </w:r>
            <w:r>
              <w:rPr>
                <w:noProof/>
                <w:webHidden/>
              </w:rPr>
              <w:t>67</w:t>
            </w:r>
            <w:r>
              <w:rPr>
                <w:noProof/>
                <w:webHidden/>
              </w:rPr>
              <w:fldChar w:fldCharType="end"/>
            </w:r>
          </w:hyperlink>
        </w:p>
        <w:p w14:paraId="216F965C" w14:textId="404BD675" w:rsidR="00F533FD" w:rsidRDefault="00F533FD">
          <w:pPr>
            <w:pStyle w:val="TOC3"/>
            <w:tabs>
              <w:tab w:val="right" w:leader="dot" w:pos="10308"/>
            </w:tabs>
            <w:rPr>
              <w:rFonts w:asciiTheme="minorHAnsi" w:eastAsiaTheme="minorEastAsia" w:hAnsiTheme="minorHAnsi" w:cstheme="minorBidi"/>
              <w:noProof/>
              <w:lang w:eastAsia="en-AU"/>
            </w:rPr>
          </w:pPr>
          <w:hyperlink w:anchor="_Toc112051840" w:history="1">
            <w:r w:rsidRPr="009C799F">
              <w:rPr>
                <w:rStyle w:val="Hyperlink"/>
                <w:noProof/>
                <w:lang w:eastAsia="en-AU"/>
              </w:rPr>
              <w:t>4.1.8. Duration and extension of DVOs</w:t>
            </w:r>
            <w:r>
              <w:rPr>
                <w:noProof/>
                <w:webHidden/>
              </w:rPr>
              <w:tab/>
            </w:r>
            <w:r>
              <w:rPr>
                <w:noProof/>
                <w:webHidden/>
              </w:rPr>
              <w:fldChar w:fldCharType="begin"/>
            </w:r>
            <w:r>
              <w:rPr>
                <w:noProof/>
                <w:webHidden/>
              </w:rPr>
              <w:instrText xml:space="preserve"> PAGEREF _Toc112051840 \h </w:instrText>
            </w:r>
            <w:r>
              <w:rPr>
                <w:noProof/>
                <w:webHidden/>
              </w:rPr>
            </w:r>
            <w:r>
              <w:rPr>
                <w:noProof/>
                <w:webHidden/>
              </w:rPr>
              <w:fldChar w:fldCharType="separate"/>
            </w:r>
            <w:r>
              <w:rPr>
                <w:noProof/>
                <w:webHidden/>
              </w:rPr>
              <w:t>67</w:t>
            </w:r>
            <w:r>
              <w:rPr>
                <w:noProof/>
                <w:webHidden/>
              </w:rPr>
              <w:fldChar w:fldCharType="end"/>
            </w:r>
          </w:hyperlink>
        </w:p>
        <w:p w14:paraId="50E8022A" w14:textId="07655F5C" w:rsidR="00F533FD" w:rsidRDefault="00F533FD">
          <w:pPr>
            <w:pStyle w:val="TOC3"/>
            <w:tabs>
              <w:tab w:val="right" w:leader="dot" w:pos="10308"/>
            </w:tabs>
            <w:rPr>
              <w:rFonts w:asciiTheme="minorHAnsi" w:eastAsiaTheme="minorEastAsia" w:hAnsiTheme="minorHAnsi" w:cstheme="minorBidi"/>
              <w:noProof/>
              <w:lang w:eastAsia="en-AU"/>
            </w:rPr>
          </w:pPr>
          <w:hyperlink w:anchor="_Toc112051841" w:history="1">
            <w:r w:rsidRPr="009C799F">
              <w:rPr>
                <w:rStyle w:val="Hyperlink"/>
                <w:noProof/>
                <w:lang w:eastAsia="en-AU"/>
              </w:rPr>
              <w:t>4.1.9. Venue</w:t>
            </w:r>
            <w:r>
              <w:rPr>
                <w:noProof/>
                <w:webHidden/>
              </w:rPr>
              <w:tab/>
            </w:r>
            <w:r>
              <w:rPr>
                <w:noProof/>
                <w:webHidden/>
              </w:rPr>
              <w:fldChar w:fldCharType="begin"/>
            </w:r>
            <w:r>
              <w:rPr>
                <w:noProof/>
                <w:webHidden/>
              </w:rPr>
              <w:instrText xml:space="preserve"> PAGEREF _Toc112051841 \h </w:instrText>
            </w:r>
            <w:r>
              <w:rPr>
                <w:noProof/>
                <w:webHidden/>
              </w:rPr>
            </w:r>
            <w:r>
              <w:rPr>
                <w:noProof/>
                <w:webHidden/>
              </w:rPr>
              <w:fldChar w:fldCharType="separate"/>
            </w:r>
            <w:r>
              <w:rPr>
                <w:noProof/>
                <w:webHidden/>
              </w:rPr>
              <w:t>69</w:t>
            </w:r>
            <w:r>
              <w:rPr>
                <w:noProof/>
                <w:webHidden/>
              </w:rPr>
              <w:fldChar w:fldCharType="end"/>
            </w:r>
          </w:hyperlink>
        </w:p>
        <w:p w14:paraId="6FA7EEAE" w14:textId="2CB7D6ED" w:rsidR="00F533FD" w:rsidRDefault="00F533FD">
          <w:pPr>
            <w:pStyle w:val="TOC3"/>
            <w:tabs>
              <w:tab w:val="right" w:leader="dot" w:pos="10308"/>
            </w:tabs>
            <w:rPr>
              <w:rFonts w:asciiTheme="minorHAnsi" w:eastAsiaTheme="minorEastAsia" w:hAnsiTheme="minorHAnsi" w:cstheme="minorBidi"/>
              <w:noProof/>
              <w:lang w:eastAsia="en-AU"/>
            </w:rPr>
          </w:pPr>
          <w:hyperlink w:anchor="_Toc112051842" w:history="1">
            <w:r w:rsidRPr="009C799F">
              <w:rPr>
                <w:rStyle w:val="Hyperlink"/>
                <w:noProof/>
                <w:lang w:eastAsia="en-AU"/>
              </w:rPr>
              <w:t>4.1.10. DVO applications</w:t>
            </w:r>
            <w:r>
              <w:rPr>
                <w:noProof/>
                <w:webHidden/>
              </w:rPr>
              <w:tab/>
            </w:r>
            <w:r>
              <w:rPr>
                <w:noProof/>
                <w:webHidden/>
              </w:rPr>
              <w:fldChar w:fldCharType="begin"/>
            </w:r>
            <w:r>
              <w:rPr>
                <w:noProof/>
                <w:webHidden/>
              </w:rPr>
              <w:instrText xml:space="preserve"> PAGEREF _Toc112051842 \h </w:instrText>
            </w:r>
            <w:r>
              <w:rPr>
                <w:noProof/>
                <w:webHidden/>
              </w:rPr>
            </w:r>
            <w:r>
              <w:rPr>
                <w:noProof/>
                <w:webHidden/>
              </w:rPr>
              <w:fldChar w:fldCharType="separate"/>
            </w:r>
            <w:r>
              <w:rPr>
                <w:noProof/>
                <w:webHidden/>
              </w:rPr>
              <w:t>70</w:t>
            </w:r>
            <w:r>
              <w:rPr>
                <w:noProof/>
                <w:webHidden/>
              </w:rPr>
              <w:fldChar w:fldCharType="end"/>
            </w:r>
          </w:hyperlink>
        </w:p>
        <w:p w14:paraId="187C78DB" w14:textId="19995311" w:rsidR="00F533FD" w:rsidRDefault="00F533FD">
          <w:pPr>
            <w:pStyle w:val="TOC3"/>
            <w:tabs>
              <w:tab w:val="right" w:leader="dot" w:pos="10308"/>
            </w:tabs>
            <w:rPr>
              <w:rFonts w:asciiTheme="minorHAnsi" w:eastAsiaTheme="minorEastAsia" w:hAnsiTheme="minorHAnsi" w:cstheme="minorBidi"/>
              <w:noProof/>
              <w:lang w:eastAsia="en-AU"/>
            </w:rPr>
          </w:pPr>
          <w:hyperlink w:anchor="_Toc112051843" w:history="1">
            <w:r w:rsidRPr="009C799F">
              <w:rPr>
                <w:rStyle w:val="Hyperlink"/>
                <w:noProof/>
                <w:lang w:eastAsia="en-AU"/>
              </w:rPr>
              <w:t>4.1.11. Number of protected persons listed on a DVO</w:t>
            </w:r>
            <w:r>
              <w:rPr>
                <w:noProof/>
                <w:webHidden/>
              </w:rPr>
              <w:tab/>
            </w:r>
            <w:r>
              <w:rPr>
                <w:noProof/>
                <w:webHidden/>
              </w:rPr>
              <w:fldChar w:fldCharType="begin"/>
            </w:r>
            <w:r>
              <w:rPr>
                <w:noProof/>
                <w:webHidden/>
              </w:rPr>
              <w:instrText xml:space="preserve"> PAGEREF _Toc112051843 \h </w:instrText>
            </w:r>
            <w:r>
              <w:rPr>
                <w:noProof/>
                <w:webHidden/>
              </w:rPr>
            </w:r>
            <w:r>
              <w:rPr>
                <w:noProof/>
                <w:webHidden/>
              </w:rPr>
              <w:fldChar w:fldCharType="separate"/>
            </w:r>
            <w:r>
              <w:rPr>
                <w:noProof/>
                <w:webHidden/>
              </w:rPr>
              <w:t>71</w:t>
            </w:r>
            <w:r>
              <w:rPr>
                <w:noProof/>
                <w:webHidden/>
              </w:rPr>
              <w:fldChar w:fldCharType="end"/>
            </w:r>
          </w:hyperlink>
        </w:p>
        <w:p w14:paraId="7A3535E8" w14:textId="39F40610" w:rsidR="00F533FD" w:rsidRDefault="00F533FD">
          <w:pPr>
            <w:pStyle w:val="TOC3"/>
            <w:tabs>
              <w:tab w:val="right" w:leader="dot" w:pos="10308"/>
            </w:tabs>
            <w:rPr>
              <w:rFonts w:asciiTheme="minorHAnsi" w:eastAsiaTheme="minorEastAsia" w:hAnsiTheme="minorHAnsi" w:cstheme="minorBidi"/>
              <w:noProof/>
              <w:lang w:eastAsia="en-AU"/>
            </w:rPr>
          </w:pPr>
          <w:hyperlink w:anchor="_Toc112051844" w:history="1">
            <w:r w:rsidRPr="009C799F">
              <w:rPr>
                <w:rStyle w:val="Hyperlink"/>
                <w:noProof/>
                <w:lang w:eastAsia="en-AU"/>
              </w:rPr>
              <w:t>4.1.12. Court may refuse to make a DVO</w:t>
            </w:r>
            <w:r>
              <w:rPr>
                <w:noProof/>
                <w:webHidden/>
              </w:rPr>
              <w:tab/>
            </w:r>
            <w:r>
              <w:rPr>
                <w:noProof/>
                <w:webHidden/>
              </w:rPr>
              <w:fldChar w:fldCharType="begin"/>
            </w:r>
            <w:r>
              <w:rPr>
                <w:noProof/>
                <w:webHidden/>
              </w:rPr>
              <w:instrText xml:space="preserve"> PAGEREF _Toc112051844 \h </w:instrText>
            </w:r>
            <w:r>
              <w:rPr>
                <w:noProof/>
                <w:webHidden/>
              </w:rPr>
            </w:r>
            <w:r>
              <w:rPr>
                <w:noProof/>
                <w:webHidden/>
              </w:rPr>
              <w:fldChar w:fldCharType="separate"/>
            </w:r>
            <w:r>
              <w:rPr>
                <w:noProof/>
                <w:webHidden/>
              </w:rPr>
              <w:t>71</w:t>
            </w:r>
            <w:r>
              <w:rPr>
                <w:noProof/>
                <w:webHidden/>
              </w:rPr>
              <w:fldChar w:fldCharType="end"/>
            </w:r>
          </w:hyperlink>
        </w:p>
        <w:p w14:paraId="66620901" w14:textId="4966B7D7" w:rsidR="00F533FD" w:rsidRDefault="00F533FD">
          <w:pPr>
            <w:pStyle w:val="TOC3"/>
            <w:tabs>
              <w:tab w:val="right" w:leader="dot" w:pos="10308"/>
            </w:tabs>
            <w:rPr>
              <w:rFonts w:asciiTheme="minorHAnsi" w:eastAsiaTheme="minorEastAsia" w:hAnsiTheme="minorHAnsi" w:cstheme="minorBidi"/>
              <w:noProof/>
              <w:lang w:eastAsia="en-AU"/>
            </w:rPr>
          </w:pPr>
          <w:hyperlink w:anchor="_Toc112051845" w:history="1">
            <w:r w:rsidRPr="009C799F">
              <w:rPr>
                <w:rStyle w:val="Hyperlink"/>
                <w:noProof/>
                <w:lang w:eastAsia="en-AU"/>
              </w:rPr>
              <w:t>4.1.13. Interim Court DVOs</w:t>
            </w:r>
            <w:r>
              <w:rPr>
                <w:noProof/>
                <w:webHidden/>
              </w:rPr>
              <w:tab/>
            </w:r>
            <w:r>
              <w:rPr>
                <w:noProof/>
                <w:webHidden/>
              </w:rPr>
              <w:fldChar w:fldCharType="begin"/>
            </w:r>
            <w:r>
              <w:rPr>
                <w:noProof/>
                <w:webHidden/>
              </w:rPr>
              <w:instrText xml:space="preserve"> PAGEREF _Toc112051845 \h </w:instrText>
            </w:r>
            <w:r>
              <w:rPr>
                <w:noProof/>
                <w:webHidden/>
              </w:rPr>
            </w:r>
            <w:r>
              <w:rPr>
                <w:noProof/>
                <w:webHidden/>
              </w:rPr>
              <w:fldChar w:fldCharType="separate"/>
            </w:r>
            <w:r>
              <w:rPr>
                <w:noProof/>
                <w:webHidden/>
              </w:rPr>
              <w:t>72</w:t>
            </w:r>
            <w:r>
              <w:rPr>
                <w:noProof/>
                <w:webHidden/>
              </w:rPr>
              <w:fldChar w:fldCharType="end"/>
            </w:r>
          </w:hyperlink>
        </w:p>
        <w:p w14:paraId="5A0051CA" w14:textId="785EB60A" w:rsidR="00F533FD" w:rsidRDefault="00F533FD">
          <w:pPr>
            <w:pStyle w:val="TOC3"/>
            <w:tabs>
              <w:tab w:val="right" w:leader="dot" w:pos="10308"/>
            </w:tabs>
            <w:rPr>
              <w:rFonts w:asciiTheme="minorHAnsi" w:eastAsiaTheme="minorEastAsia" w:hAnsiTheme="minorHAnsi" w:cstheme="minorBidi"/>
              <w:noProof/>
              <w:lang w:eastAsia="en-AU"/>
            </w:rPr>
          </w:pPr>
          <w:hyperlink w:anchor="_Toc112051846" w:history="1">
            <w:r w:rsidRPr="009C799F">
              <w:rPr>
                <w:rStyle w:val="Hyperlink"/>
                <w:noProof/>
              </w:rPr>
              <w:t>4.1.14. DVOs with the consent of the parties</w:t>
            </w:r>
            <w:r>
              <w:rPr>
                <w:noProof/>
                <w:webHidden/>
              </w:rPr>
              <w:tab/>
            </w:r>
            <w:r>
              <w:rPr>
                <w:noProof/>
                <w:webHidden/>
              </w:rPr>
              <w:fldChar w:fldCharType="begin"/>
            </w:r>
            <w:r>
              <w:rPr>
                <w:noProof/>
                <w:webHidden/>
              </w:rPr>
              <w:instrText xml:space="preserve"> PAGEREF _Toc112051846 \h </w:instrText>
            </w:r>
            <w:r>
              <w:rPr>
                <w:noProof/>
                <w:webHidden/>
              </w:rPr>
            </w:r>
            <w:r>
              <w:rPr>
                <w:noProof/>
                <w:webHidden/>
              </w:rPr>
              <w:fldChar w:fldCharType="separate"/>
            </w:r>
            <w:r>
              <w:rPr>
                <w:noProof/>
                <w:webHidden/>
              </w:rPr>
              <w:t>72</w:t>
            </w:r>
            <w:r>
              <w:rPr>
                <w:noProof/>
                <w:webHidden/>
              </w:rPr>
              <w:fldChar w:fldCharType="end"/>
            </w:r>
          </w:hyperlink>
        </w:p>
        <w:p w14:paraId="594E97D6" w14:textId="18592F29" w:rsidR="00F533FD" w:rsidRDefault="00F533FD">
          <w:pPr>
            <w:pStyle w:val="TOC3"/>
            <w:tabs>
              <w:tab w:val="right" w:leader="dot" w:pos="10308"/>
            </w:tabs>
            <w:rPr>
              <w:rFonts w:asciiTheme="minorHAnsi" w:eastAsiaTheme="minorEastAsia" w:hAnsiTheme="minorHAnsi" w:cstheme="minorBidi"/>
              <w:noProof/>
              <w:lang w:eastAsia="en-AU"/>
            </w:rPr>
          </w:pPr>
          <w:hyperlink w:anchor="_Toc112051847" w:history="1">
            <w:r w:rsidRPr="009C799F">
              <w:rPr>
                <w:rStyle w:val="Hyperlink"/>
                <w:noProof/>
              </w:rPr>
              <w:t>4.1.15. Police DVOs</w:t>
            </w:r>
            <w:r>
              <w:rPr>
                <w:noProof/>
                <w:webHidden/>
              </w:rPr>
              <w:tab/>
            </w:r>
            <w:r>
              <w:rPr>
                <w:noProof/>
                <w:webHidden/>
              </w:rPr>
              <w:fldChar w:fldCharType="begin"/>
            </w:r>
            <w:r>
              <w:rPr>
                <w:noProof/>
                <w:webHidden/>
              </w:rPr>
              <w:instrText xml:space="preserve"> PAGEREF _Toc112051847 \h </w:instrText>
            </w:r>
            <w:r>
              <w:rPr>
                <w:noProof/>
                <w:webHidden/>
              </w:rPr>
            </w:r>
            <w:r>
              <w:rPr>
                <w:noProof/>
                <w:webHidden/>
              </w:rPr>
              <w:fldChar w:fldCharType="separate"/>
            </w:r>
            <w:r>
              <w:rPr>
                <w:noProof/>
                <w:webHidden/>
              </w:rPr>
              <w:t>73</w:t>
            </w:r>
            <w:r>
              <w:rPr>
                <w:noProof/>
                <w:webHidden/>
              </w:rPr>
              <w:fldChar w:fldCharType="end"/>
            </w:r>
          </w:hyperlink>
        </w:p>
        <w:p w14:paraId="3723C456" w14:textId="35F48421" w:rsidR="00F533FD" w:rsidRDefault="00F533FD">
          <w:pPr>
            <w:pStyle w:val="TOC3"/>
            <w:tabs>
              <w:tab w:val="right" w:leader="dot" w:pos="10308"/>
            </w:tabs>
            <w:rPr>
              <w:rFonts w:asciiTheme="minorHAnsi" w:eastAsiaTheme="minorEastAsia" w:hAnsiTheme="minorHAnsi" w:cstheme="minorBidi"/>
              <w:noProof/>
              <w:lang w:eastAsia="en-AU"/>
            </w:rPr>
          </w:pPr>
          <w:hyperlink w:anchor="_Toc112051848" w:history="1">
            <w:r w:rsidRPr="009C799F">
              <w:rPr>
                <w:rStyle w:val="Hyperlink"/>
                <w:noProof/>
                <w:lang w:eastAsia="en-AU"/>
              </w:rPr>
              <w:t>4.1.16. DVOs made by courts in criminal proceedings</w:t>
            </w:r>
            <w:r>
              <w:rPr>
                <w:noProof/>
                <w:webHidden/>
              </w:rPr>
              <w:tab/>
            </w:r>
            <w:r>
              <w:rPr>
                <w:noProof/>
                <w:webHidden/>
              </w:rPr>
              <w:fldChar w:fldCharType="begin"/>
            </w:r>
            <w:r>
              <w:rPr>
                <w:noProof/>
                <w:webHidden/>
              </w:rPr>
              <w:instrText xml:space="preserve"> PAGEREF _Toc112051848 \h </w:instrText>
            </w:r>
            <w:r>
              <w:rPr>
                <w:noProof/>
                <w:webHidden/>
              </w:rPr>
            </w:r>
            <w:r>
              <w:rPr>
                <w:noProof/>
                <w:webHidden/>
              </w:rPr>
              <w:fldChar w:fldCharType="separate"/>
            </w:r>
            <w:r>
              <w:rPr>
                <w:noProof/>
                <w:webHidden/>
              </w:rPr>
              <w:t>74</w:t>
            </w:r>
            <w:r>
              <w:rPr>
                <w:noProof/>
                <w:webHidden/>
              </w:rPr>
              <w:fldChar w:fldCharType="end"/>
            </w:r>
          </w:hyperlink>
        </w:p>
        <w:p w14:paraId="722FD7AE" w14:textId="5265F3A1" w:rsidR="00F533FD" w:rsidRDefault="00F533FD">
          <w:pPr>
            <w:pStyle w:val="TOC3"/>
            <w:tabs>
              <w:tab w:val="right" w:leader="dot" w:pos="10308"/>
            </w:tabs>
            <w:rPr>
              <w:rFonts w:asciiTheme="minorHAnsi" w:eastAsiaTheme="minorEastAsia" w:hAnsiTheme="minorHAnsi" w:cstheme="minorBidi"/>
              <w:noProof/>
              <w:lang w:eastAsia="en-AU"/>
            </w:rPr>
          </w:pPr>
          <w:hyperlink w:anchor="_Toc112051849" w:history="1">
            <w:r w:rsidRPr="009C799F">
              <w:rPr>
                <w:rStyle w:val="Hyperlink"/>
                <w:noProof/>
              </w:rPr>
              <w:t>4.1.17. Variation and confirmation of DVOs (Parts 2.8, 2.9 and 2.10)</w:t>
            </w:r>
            <w:r>
              <w:rPr>
                <w:noProof/>
                <w:webHidden/>
              </w:rPr>
              <w:tab/>
            </w:r>
            <w:r>
              <w:rPr>
                <w:noProof/>
                <w:webHidden/>
              </w:rPr>
              <w:fldChar w:fldCharType="begin"/>
            </w:r>
            <w:r>
              <w:rPr>
                <w:noProof/>
                <w:webHidden/>
              </w:rPr>
              <w:instrText xml:space="preserve"> PAGEREF _Toc112051849 \h </w:instrText>
            </w:r>
            <w:r>
              <w:rPr>
                <w:noProof/>
                <w:webHidden/>
              </w:rPr>
            </w:r>
            <w:r>
              <w:rPr>
                <w:noProof/>
                <w:webHidden/>
              </w:rPr>
              <w:fldChar w:fldCharType="separate"/>
            </w:r>
            <w:r>
              <w:rPr>
                <w:noProof/>
                <w:webHidden/>
              </w:rPr>
              <w:t>75</w:t>
            </w:r>
            <w:r>
              <w:rPr>
                <w:noProof/>
                <w:webHidden/>
              </w:rPr>
              <w:fldChar w:fldCharType="end"/>
            </w:r>
          </w:hyperlink>
        </w:p>
        <w:p w14:paraId="30721025" w14:textId="0D6DFB9C" w:rsidR="00F533FD" w:rsidRDefault="00F533FD">
          <w:pPr>
            <w:pStyle w:val="TOC3"/>
            <w:tabs>
              <w:tab w:val="right" w:leader="dot" w:pos="10308"/>
            </w:tabs>
            <w:rPr>
              <w:rFonts w:asciiTheme="minorHAnsi" w:eastAsiaTheme="minorEastAsia" w:hAnsiTheme="minorHAnsi" w:cstheme="minorBidi"/>
              <w:noProof/>
              <w:lang w:eastAsia="en-AU"/>
            </w:rPr>
          </w:pPr>
          <w:hyperlink w:anchor="_Toc112051850" w:history="1">
            <w:r w:rsidRPr="009C799F">
              <w:rPr>
                <w:rStyle w:val="Hyperlink"/>
                <w:noProof/>
              </w:rPr>
              <w:t>4.1.18. Retrieval of property</w:t>
            </w:r>
            <w:r>
              <w:rPr>
                <w:noProof/>
                <w:webHidden/>
              </w:rPr>
              <w:tab/>
            </w:r>
            <w:r>
              <w:rPr>
                <w:noProof/>
                <w:webHidden/>
              </w:rPr>
              <w:fldChar w:fldCharType="begin"/>
            </w:r>
            <w:r>
              <w:rPr>
                <w:noProof/>
                <w:webHidden/>
              </w:rPr>
              <w:instrText xml:space="preserve"> PAGEREF _Toc112051850 \h </w:instrText>
            </w:r>
            <w:r>
              <w:rPr>
                <w:noProof/>
                <w:webHidden/>
              </w:rPr>
            </w:r>
            <w:r>
              <w:rPr>
                <w:noProof/>
                <w:webHidden/>
              </w:rPr>
              <w:fldChar w:fldCharType="separate"/>
            </w:r>
            <w:r>
              <w:rPr>
                <w:noProof/>
                <w:webHidden/>
              </w:rPr>
              <w:t>78</w:t>
            </w:r>
            <w:r>
              <w:rPr>
                <w:noProof/>
                <w:webHidden/>
              </w:rPr>
              <w:fldChar w:fldCharType="end"/>
            </w:r>
          </w:hyperlink>
        </w:p>
        <w:p w14:paraId="22E21E81" w14:textId="539BECD7" w:rsidR="00F533FD" w:rsidRDefault="00F533FD">
          <w:pPr>
            <w:pStyle w:val="TOC3"/>
            <w:tabs>
              <w:tab w:val="right" w:leader="dot" w:pos="10308"/>
            </w:tabs>
            <w:rPr>
              <w:rFonts w:asciiTheme="minorHAnsi" w:eastAsiaTheme="minorEastAsia" w:hAnsiTheme="minorHAnsi" w:cstheme="minorBidi"/>
              <w:noProof/>
              <w:lang w:eastAsia="en-AU"/>
            </w:rPr>
          </w:pPr>
          <w:hyperlink w:anchor="_Toc112051851" w:history="1">
            <w:r w:rsidRPr="009C799F">
              <w:rPr>
                <w:rStyle w:val="Hyperlink"/>
                <w:noProof/>
                <w:lang w:eastAsia="en-AU"/>
              </w:rPr>
              <w:t>4.1.19. Vulnerable witness provisions</w:t>
            </w:r>
            <w:r>
              <w:rPr>
                <w:noProof/>
                <w:webHidden/>
              </w:rPr>
              <w:tab/>
            </w:r>
            <w:r>
              <w:rPr>
                <w:noProof/>
                <w:webHidden/>
              </w:rPr>
              <w:fldChar w:fldCharType="begin"/>
            </w:r>
            <w:r>
              <w:rPr>
                <w:noProof/>
                <w:webHidden/>
              </w:rPr>
              <w:instrText xml:space="preserve"> PAGEREF _Toc112051851 \h </w:instrText>
            </w:r>
            <w:r>
              <w:rPr>
                <w:noProof/>
                <w:webHidden/>
              </w:rPr>
            </w:r>
            <w:r>
              <w:rPr>
                <w:noProof/>
                <w:webHidden/>
              </w:rPr>
              <w:fldChar w:fldCharType="separate"/>
            </w:r>
            <w:r>
              <w:rPr>
                <w:noProof/>
                <w:webHidden/>
              </w:rPr>
              <w:t>78</w:t>
            </w:r>
            <w:r>
              <w:rPr>
                <w:noProof/>
                <w:webHidden/>
              </w:rPr>
              <w:fldChar w:fldCharType="end"/>
            </w:r>
          </w:hyperlink>
        </w:p>
        <w:p w14:paraId="57B90424" w14:textId="4F154C27" w:rsidR="00F533FD" w:rsidRDefault="00F533FD">
          <w:pPr>
            <w:pStyle w:val="TOC3"/>
            <w:tabs>
              <w:tab w:val="right" w:leader="dot" w:pos="10308"/>
            </w:tabs>
            <w:rPr>
              <w:rFonts w:asciiTheme="minorHAnsi" w:eastAsiaTheme="minorEastAsia" w:hAnsiTheme="minorHAnsi" w:cstheme="minorBidi"/>
              <w:noProof/>
              <w:lang w:eastAsia="en-AU"/>
            </w:rPr>
          </w:pPr>
          <w:hyperlink w:anchor="_Toc112051852" w:history="1">
            <w:r w:rsidRPr="009C799F">
              <w:rPr>
                <w:rStyle w:val="Hyperlink"/>
                <w:noProof/>
                <w:lang w:eastAsia="en-AU"/>
              </w:rPr>
              <w:t>4.1.20. Evidentiary matters</w:t>
            </w:r>
            <w:r>
              <w:rPr>
                <w:noProof/>
                <w:webHidden/>
              </w:rPr>
              <w:tab/>
            </w:r>
            <w:r>
              <w:rPr>
                <w:noProof/>
                <w:webHidden/>
              </w:rPr>
              <w:fldChar w:fldCharType="begin"/>
            </w:r>
            <w:r>
              <w:rPr>
                <w:noProof/>
                <w:webHidden/>
              </w:rPr>
              <w:instrText xml:space="preserve"> PAGEREF _Toc112051852 \h </w:instrText>
            </w:r>
            <w:r>
              <w:rPr>
                <w:noProof/>
                <w:webHidden/>
              </w:rPr>
            </w:r>
            <w:r>
              <w:rPr>
                <w:noProof/>
                <w:webHidden/>
              </w:rPr>
              <w:fldChar w:fldCharType="separate"/>
            </w:r>
            <w:r>
              <w:rPr>
                <w:noProof/>
                <w:webHidden/>
              </w:rPr>
              <w:t>79</w:t>
            </w:r>
            <w:r>
              <w:rPr>
                <w:noProof/>
                <w:webHidden/>
              </w:rPr>
              <w:fldChar w:fldCharType="end"/>
            </w:r>
          </w:hyperlink>
        </w:p>
        <w:p w14:paraId="6FE0CBA4" w14:textId="32E84B28" w:rsidR="00F533FD" w:rsidRDefault="00F533FD">
          <w:pPr>
            <w:pStyle w:val="TOC3"/>
            <w:tabs>
              <w:tab w:val="right" w:leader="dot" w:pos="10308"/>
            </w:tabs>
            <w:rPr>
              <w:rFonts w:asciiTheme="minorHAnsi" w:eastAsiaTheme="minorEastAsia" w:hAnsiTheme="minorHAnsi" w:cstheme="minorBidi"/>
              <w:noProof/>
              <w:lang w:eastAsia="en-AU"/>
            </w:rPr>
          </w:pPr>
          <w:hyperlink w:anchor="_Toc112051853" w:history="1">
            <w:r w:rsidRPr="009C799F">
              <w:rPr>
                <w:rStyle w:val="Hyperlink"/>
                <w:noProof/>
                <w:lang w:eastAsia="en-AU"/>
              </w:rPr>
              <w:t>4.1.21. Mandatory Reporting</w:t>
            </w:r>
            <w:r>
              <w:rPr>
                <w:noProof/>
                <w:webHidden/>
              </w:rPr>
              <w:tab/>
            </w:r>
            <w:r>
              <w:rPr>
                <w:noProof/>
                <w:webHidden/>
              </w:rPr>
              <w:fldChar w:fldCharType="begin"/>
            </w:r>
            <w:r>
              <w:rPr>
                <w:noProof/>
                <w:webHidden/>
              </w:rPr>
              <w:instrText xml:space="preserve"> PAGEREF _Toc112051853 \h </w:instrText>
            </w:r>
            <w:r>
              <w:rPr>
                <w:noProof/>
                <w:webHidden/>
              </w:rPr>
            </w:r>
            <w:r>
              <w:rPr>
                <w:noProof/>
                <w:webHidden/>
              </w:rPr>
              <w:fldChar w:fldCharType="separate"/>
            </w:r>
            <w:r>
              <w:rPr>
                <w:noProof/>
                <w:webHidden/>
              </w:rPr>
              <w:t>79</w:t>
            </w:r>
            <w:r>
              <w:rPr>
                <w:noProof/>
                <w:webHidden/>
              </w:rPr>
              <w:fldChar w:fldCharType="end"/>
            </w:r>
          </w:hyperlink>
        </w:p>
        <w:p w14:paraId="1DF1485E" w14:textId="2FE38696" w:rsidR="00F533FD" w:rsidRDefault="00F533FD">
          <w:pPr>
            <w:pStyle w:val="TOC3"/>
            <w:tabs>
              <w:tab w:val="right" w:leader="dot" w:pos="10308"/>
            </w:tabs>
            <w:rPr>
              <w:rFonts w:asciiTheme="minorHAnsi" w:eastAsiaTheme="minorEastAsia" w:hAnsiTheme="minorHAnsi" w:cstheme="minorBidi"/>
              <w:noProof/>
              <w:lang w:eastAsia="en-AU"/>
            </w:rPr>
          </w:pPr>
          <w:hyperlink w:anchor="_Toc112051854" w:history="1">
            <w:r w:rsidRPr="009C799F">
              <w:rPr>
                <w:rStyle w:val="Hyperlink"/>
                <w:noProof/>
                <w:lang w:eastAsia="en-AU"/>
              </w:rPr>
              <w:t>4.1.22. Penalties for contravention of a DVO</w:t>
            </w:r>
            <w:r>
              <w:rPr>
                <w:noProof/>
                <w:webHidden/>
              </w:rPr>
              <w:tab/>
            </w:r>
            <w:r>
              <w:rPr>
                <w:noProof/>
                <w:webHidden/>
              </w:rPr>
              <w:fldChar w:fldCharType="begin"/>
            </w:r>
            <w:r>
              <w:rPr>
                <w:noProof/>
                <w:webHidden/>
              </w:rPr>
              <w:instrText xml:space="preserve"> PAGEREF _Toc112051854 \h </w:instrText>
            </w:r>
            <w:r>
              <w:rPr>
                <w:noProof/>
                <w:webHidden/>
              </w:rPr>
            </w:r>
            <w:r>
              <w:rPr>
                <w:noProof/>
                <w:webHidden/>
              </w:rPr>
              <w:fldChar w:fldCharType="separate"/>
            </w:r>
            <w:r>
              <w:rPr>
                <w:noProof/>
                <w:webHidden/>
              </w:rPr>
              <w:t>81</w:t>
            </w:r>
            <w:r>
              <w:rPr>
                <w:noProof/>
                <w:webHidden/>
              </w:rPr>
              <w:fldChar w:fldCharType="end"/>
            </w:r>
          </w:hyperlink>
        </w:p>
        <w:p w14:paraId="4C72064E" w14:textId="4284C9A5" w:rsidR="00F533FD" w:rsidRDefault="00F533FD">
          <w:pPr>
            <w:pStyle w:val="TOC3"/>
            <w:tabs>
              <w:tab w:val="right" w:leader="dot" w:pos="10308"/>
            </w:tabs>
            <w:rPr>
              <w:rFonts w:asciiTheme="minorHAnsi" w:eastAsiaTheme="minorEastAsia" w:hAnsiTheme="minorHAnsi" w:cstheme="minorBidi"/>
              <w:noProof/>
              <w:lang w:eastAsia="en-AU"/>
            </w:rPr>
          </w:pPr>
          <w:hyperlink w:anchor="_Toc112051855" w:history="1">
            <w:r w:rsidRPr="009C799F">
              <w:rPr>
                <w:rStyle w:val="Hyperlink"/>
                <w:noProof/>
                <w:lang w:eastAsia="en-AU"/>
              </w:rPr>
              <w:t>4.1.23. Chapter 5A Information Sharing Scheme</w:t>
            </w:r>
            <w:r>
              <w:rPr>
                <w:noProof/>
                <w:webHidden/>
              </w:rPr>
              <w:tab/>
            </w:r>
            <w:r>
              <w:rPr>
                <w:noProof/>
                <w:webHidden/>
              </w:rPr>
              <w:fldChar w:fldCharType="begin"/>
            </w:r>
            <w:r>
              <w:rPr>
                <w:noProof/>
                <w:webHidden/>
              </w:rPr>
              <w:instrText xml:space="preserve"> PAGEREF _Toc112051855 \h </w:instrText>
            </w:r>
            <w:r>
              <w:rPr>
                <w:noProof/>
                <w:webHidden/>
              </w:rPr>
            </w:r>
            <w:r>
              <w:rPr>
                <w:noProof/>
                <w:webHidden/>
              </w:rPr>
              <w:fldChar w:fldCharType="separate"/>
            </w:r>
            <w:r>
              <w:rPr>
                <w:noProof/>
                <w:webHidden/>
              </w:rPr>
              <w:t>83</w:t>
            </w:r>
            <w:r>
              <w:rPr>
                <w:noProof/>
                <w:webHidden/>
              </w:rPr>
              <w:fldChar w:fldCharType="end"/>
            </w:r>
          </w:hyperlink>
        </w:p>
        <w:p w14:paraId="4D68B51A" w14:textId="31CA5A0B" w:rsidR="00F533FD" w:rsidRDefault="00F533FD">
          <w:pPr>
            <w:pStyle w:val="TOC3"/>
            <w:tabs>
              <w:tab w:val="right" w:leader="dot" w:pos="10308"/>
            </w:tabs>
            <w:rPr>
              <w:rFonts w:asciiTheme="minorHAnsi" w:eastAsiaTheme="minorEastAsia" w:hAnsiTheme="minorHAnsi" w:cstheme="minorBidi"/>
              <w:noProof/>
              <w:lang w:eastAsia="en-AU"/>
            </w:rPr>
          </w:pPr>
          <w:hyperlink w:anchor="_Toc112051856" w:history="1">
            <w:r w:rsidRPr="009C799F">
              <w:rPr>
                <w:rStyle w:val="Hyperlink"/>
                <w:noProof/>
                <w:lang w:eastAsia="en-AU"/>
              </w:rPr>
              <w:t>4.1.24. Service of Applications and DVOs</w:t>
            </w:r>
            <w:r>
              <w:rPr>
                <w:noProof/>
                <w:webHidden/>
              </w:rPr>
              <w:tab/>
            </w:r>
            <w:r>
              <w:rPr>
                <w:noProof/>
                <w:webHidden/>
              </w:rPr>
              <w:fldChar w:fldCharType="begin"/>
            </w:r>
            <w:r>
              <w:rPr>
                <w:noProof/>
                <w:webHidden/>
              </w:rPr>
              <w:instrText xml:space="preserve"> PAGEREF _Toc112051856 \h </w:instrText>
            </w:r>
            <w:r>
              <w:rPr>
                <w:noProof/>
                <w:webHidden/>
              </w:rPr>
            </w:r>
            <w:r>
              <w:rPr>
                <w:noProof/>
                <w:webHidden/>
              </w:rPr>
              <w:fldChar w:fldCharType="separate"/>
            </w:r>
            <w:r>
              <w:rPr>
                <w:noProof/>
                <w:webHidden/>
              </w:rPr>
              <w:t>85</w:t>
            </w:r>
            <w:r>
              <w:rPr>
                <w:noProof/>
                <w:webHidden/>
              </w:rPr>
              <w:fldChar w:fldCharType="end"/>
            </w:r>
          </w:hyperlink>
        </w:p>
        <w:p w14:paraId="44F88D52" w14:textId="5093CEF4" w:rsidR="00F533FD" w:rsidRDefault="00F533FD">
          <w:pPr>
            <w:pStyle w:val="TOC3"/>
            <w:tabs>
              <w:tab w:val="right" w:leader="dot" w:pos="10308"/>
            </w:tabs>
            <w:rPr>
              <w:rFonts w:asciiTheme="minorHAnsi" w:eastAsiaTheme="minorEastAsia" w:hAnsiTheme="minorHAnsi" w:cstheme="minorBidi"/>
              <w:noProof/>
              <w:lang w:eastAsia="en-AU"/>
            </w:rPr>
          </w:pPr>
          <w:hyperlink w:anchor="_Toc112051857" w:history="1">
            <w:r w:rsidRPr="009C799F">
              <w:rPr>
                <w:rStyle w:val="Hyperlink"/>
                <w:noProof/>
                <w:lang w:eastAsia="en-AU"/>
              </w:rPr>
              <w:t>4.1.25. Other proposed changes</w:t>
            </w:r>
            <w:r>
              <w:rPr>
                <w:noProof/>
                <w:webHidden/>
              </w:rPr>
              <w:tab/>
            </w:r>
            <w:r>
              <w:rPr>
                <w:noProof/>
                <w:webHidden/>
              </w:rPr>
              <w:fldChar w:fldCharType="begin"/>
            </w:r>
            <w:r>
              <w:rPr>
                <w:noProof/>
                <w:webHidden/>
              </w:rPr>
              <w:instrText xml:space="preserve"> PAGEREF _Toc112051857 \h </w:instrText>
            </w:r>
            <w:r>
              <w:rPr>
                <w:noProof/>
                <w:webHidden/>
              </w:rPr>
            </w:r>
            <w:r>
              <w:rPr>
                <w:noProof/>
                <w:webHidden/>
              </w:rPr>
              <w:fldChar w:fldCharType="separate"/>
            </w:r>
            <w:r>
              <w:rPr>
                <w:noProof/>
                <w:webHidden/>
              </w:rPr>
              <w:t>85</w:t>
            </w:r>
            <w:r>
              <w:rPr>
                <w:noProof/>
                <w:webHidden/>
              </w:rPr>
              <w:fldChar w:fldCharType="end"/>
            </w:r>
          </w:hyperlink>
        </w:p>
        <w:p w14:paraId="0E526BB1" w14:textId="5E9EEA02" w:rsidR="00F533FD" w:rsidRDefault="00F533FD">
          <w:pPr>
            <w:pStyle w:val="TOC2"/>
            <w:rPr>
              <w:rFonts w:asciiTheme="minorHAnsi" w:eastAsiaTheme="minorEastAsia" w:hAnsiTheme="minorHAnsi" w:cstheme="minorBidi"/>
              <w:noProof/>
              <w:lang w:eastAsia="en-AU"/>
            </w:rPr>
          </w:pPr>
          <w:hyperlink w:anchor="_Toc112051858" w:history="1">
            <w:r w:rsidRPr="009C799F">
              <w:rPr>
                <w:rStyle w:val="Hyperlink"/>
                <w:noProof/>
                <w:lang w:eastAsia="en-AU"/>
              </w:rPr>
              <w:t xml:space="preserve">4.2. Proposed amendments to the </w:t>
            </w:r>
            <w:r w:rsidRPr="009C799F">
              <w:rPr>
                <w:rStyle w:val="Hyperlink"/>
                <w:i/>
                <w:noProof/>
                <w:lang w:eastAsia="en-AU"/>
              </w:rPr>
              <w:t>Bail Act 1982</w:t>
            </w:r>
            <w:r>
              <w:rPr>
                <w:noProof/>
                <w:webHidden/>
              </w:rPr>
              <w:tab/>
            </w:r>
            <w:r>
              <w:rPr>
                <w:noProof/>
                <w:webHidden/>
              </w:rPr>
              <w:fldChar w:fldCharType="begin"/>
            </w:r>
            <w:r>
              <w:rPr>
                <w:noProof/>
                <w:webHidden/>
              </w:rPr>
              <w:instrText xml:space="preserve"> PAGEREF _Toc112051858 \h </w:instrText>
            </w:r>
            <w:r>
              <w:rPr>
                <w:noProof/>
                <w:webHidden/>
              </w:rPr>
            </w:r>
            <w:r>
              <w:rPr>
                <w:noProof/>
                <w:webHidden/>
              </w:rPr>
              <w:fldChar w:fldCharType="separate"/>
            </w:r>
            <w:r>
              <w:rPr>
                <w:noProof/>
                <w:webHidden/>
              </w:rPr>
              <w:t>86</w:t>
            </w:r>
            <w:r>
              <w:rPr>
                <w:noProof/>
                <w:webHidden/>
              </w:rPr>
              <w:fldChar w:fldCharType="end"/>
            </w:r>
          </w:hyperlink>
        </w:p>
        <w:p w14:paraId="0AFA242B" w14:textId="5C97734F" w:rsidR="00F533FD" w:rsidRDefault="00F533FD">
          <w:pPr>
            <w:pStyle w:val="TOC3"/>
            <w:tabs>
              <w:tab w:val="right" w:leader="dot" w:pos="10308"/>
            </w:tabs>
            <w:rPr>
              <w:rFonts w:asciiTheme="minorHAnsi" w:eastAsiaTheme="minorEastAsia" w:hAnsiTheme="minorHAnsi" w:cstheme="minorBidi"/>
              <w:noProof/>
              <w:lang w:eastAsia="en-AU"/>
            </w:rPr>
          </w:pPr>
          <w:hyperlink w:anchor="_Toc112051859" w:history="1">
            <w:r w:rsidRPr="009C799F">
              <w:rPr>
                <w:rStyle w:val="Hyperlink"/>
                <w:noProof/>
              </w:rPr>
              <w:t>4.2.1. Requirement for bail decision makers to consider DFV</w:t>
            </w:r>
            <w:r>
              <w:rPr>
                <w:noProof/>
                <w:webHidden/>
              </w:rPr>
              <w:tab/>
            </w:r>
            <w:r>
              <w:rPr>
                <w:noProof/>
                <w:webHidden/>
              </w:rPr>
              <w:fldChar w:fldCharType="begin"/>
            </w:r>
            <w:r>
              <w:rPr>
                <w:noProof/>
                <w:webHidden/>
              </w:rPr>
              <w:instrText xml:space="preserve"> PAGEREF _Toc112051859 \h </w:instrText>
            </w:r>
            <w:r>
              <w:rPr>
                <w:noProof/>
                <w:webHidden/>
              </w:rPr>
            </w:r>
            <w:r>
              <w:rPr>
                <w:noProof/>
                <w:webHidden/>
              </w:rPr>
              <w:fldChar w:fldCharType="separate"/>
            </w:r>
            <w:r>
              <w:rPr>
                <w:noProof/>
                <w:webHidden/>
              </w:rPr>
              <w:t>86</w:t>
            </w:r>
            <w:r>
              <w:rPr>
                <w:noProof/>
                <w:webHidden/>
              </w:rPr>
              <w:fldChar w:fldCharType="end"/>
            </w:r>
          </w:hyperlink>
        </w:p>
        <w:p w14:paraId="394A484F" w14:textId="159D7855" w:rsidR="00F533FD" w:rsidRDefault="00F533FD">
          <w:pPr>
            <w:pStyle w:val="TOC3"/>
            <w:tabs>
              <w:tab w:val="right" w:leader="dot" w:pos="10308"/>
            </w:tabs>
            <w:rPr>
              <w:rFonts w:asciiTheme="minorHAnsi" w:eastAsiaTheme="minorEastAsia" w:hAnsiTheme="minorHAnsi" w:cstheme="minorBidi"/>
              <w:noProof/>
              <w:lang w:eastAsia="en-AU"/>
            </w:rPr>
          </w:pPr>
          <w:hyperlink w:anchor="_Toc112051860" w:history="1">
            <w:r w:rsidRPr="009C799F">
              <w:rPr>
                <w:rStyle w:val="Hyperlink"/>
                <w:noProof/>
              </w:rPr>
              <w:t>4.2.2. Allow adjournment to enable the prosecutor to obtain the victim’s view</w:t>
            </w:r>
            <w:r>
              <w:rPr>
                <w:noProof/>
                <w:webHidden/>
              </w:rPr>
              <w:tab/>
            </w:r>
            <w:r>
              <w:rPr>
                <w:noProof/>
                <w:webHidden/>
              </w:rPr>
              <w:fldChar w:fldCharType="begin"/>
            </w:r>
            <w:r>
              <w:rPr>
                <w:noProof/>
                <w:webHidden/>
              </w:rPr>
              <w:instrText xml:space="preserve"> PAGEREF _Toc112051860 \h </w:instrText>
            </w:r>
            <w:r>
              <w:rPr>
                <w:noProof/>
                <w:webHidden/>
              </w:rPr>
            </w:r>
            <w:r>
              <w:rPr>
                <w:noProof/>
                <w:webHidden/>
              </w:rPr>
              <w:fldChar w:fldCharType="separate"/>
            </w:r>
            <w:r>
              <w:rPr>
                <w:noProof/>
                <w:webHidden/>
              </w:rPr>
              <w:t>86</w:t>
            </w:r>
            <w:r>
              <w:rPr>
                <w:noProof/>
                <w:webHidden/>
              </w:rPr>
              <w:fldChar w:fldCharType="end"/>
            </w:r>
          </w:hyperlink>
        </w:p>
        <w:p w14:paraId="71C4CB7F" w14:textId="51C5FBD5" w:rsidR="00F533FD" w:rsidRDefault="00F533FD">
          <w:pPr>
            <w:pStyle w:val="TOC3"/>
            <w:tabs>
              <w:tab w:val="right" w:leader="dot" w:pos="10308"/>
            </w:tabs>
            <w:rPr>
              <w:rFonts w:asciiTheme="minorHAnsi" w:eastAsiaTheme="minorEastAsia" w:hAnsiTheme="minorHAnsi" w:cstheme="minorBidi"/>
              <w:noProof/>
              <w:lang w:eastAsia="en-AU"/>
            </w:rPr>
          </w:pPr>
          <w:hyperlink w:anchor="_Toc112051861" w:history="1">
            <w:r w:rsidRPr="009C799F">
              <w:rPr>
                <w:rStyle w:val="Hyperlink"/>
                <w:noProof/>
              </w:rPr>
              <w:t>4.2.3. DFV complainants to be notified of bail decisions and conditions</w:t>
            </w:r>
            <w:r>
              <w:rPr>
                <w:noProof/>
                <w:webHidden/>
              </w:rPr>
              <w:tab/>
            </w:r>
            <w:r>
              <w:rPr>
                <w:noProof/>
                <w:webHidden/>
              </w:rPr>
              <w:fldChar w:fldCharType="begin"/>
            </w:r>
            <w:r>
              <w:rPr>
                <w:noProof/>
                <w:webHidden/>
              </w:rPr>
              <w:instrText xml:space="preserve"> PAGEREF _Toc112051861 \h </w:instrText>
            </w:r>
            <w:r>
              <w:rPr>
                <w:noProof/>
                <w:webHidden/>
              </w:rPr>
            </w:r>
            <w:r>
              <w:rPr>
                <w:noProof/>
                <w:webHidden/>
              </w:rPr>
              <w:fldChar w:fldCharType="separate"/>
            </w:r>
            <w:r>
              <w:rPr>
                <w:noProof/>
                <w:webHidden/>
              </w:rPr>
              <w:t>87</w:t>
            </w:r>
            <w:r>
              <w:rPr>
                <w:noProof/>
                <w:webHidden/>
              </w:rPr>
              <w:fldChar w:fldCharType="end"/>
            </w:r>
          </w:hyperlink>
        </w:p>
        <w:p w14:paraId="25BFCE4F" w14:textId="269A0738" w:rsidR="00F533FD" w:rsidRDefault="00F533FD">
          <w:pPr>
            <w:pStyle w:val="TOC2"/>
            <w:rPr>
              <w:rFonts w:asciiTheme="minorHAnsi" w:eastAsiaTheme="minorEastAsia" w:hAnsiTheme="minorHAnsi" w:cstheme="minorBidi"/>
              <w:noProof/>
              <w:lang w:eastAsia="en-AU"/>
            </w:rPr>
          </w:pPr>
          <w:hyperlink w:anchor="_Toc112051862" w:history="1">
            <w:r w:rsidRPr="009C799F">
              <w:rPr>
                <w:rStyle w:val="Hyperlink"/>
                <w:noProof/>
                <w:lang w:eastAsia="en-AU"/>
              </w:rPr>
              <w:t xml:space="preserve">4.3. Proposed amendments to the </w:t>
            </w:r>
            <w:r w:rsidRPr="009C799F">
              <w:rPr>
                <w:rStyle w:val="Hyperlink"/>
                <w:i/>
                <w:noProof/>
                <w:lang w:eastAsia="en-AU"/>
              </w:rPr>
              <w:t>Sentencing Act 1995</w:t>
            </w:r>
            <w:r>
              <w:rPr>
                <w:noProof/>
                <w:webHidden/>
              </w:rPr>
              <w:tab/>
            </w:r>
            <w:r>
              <w:rPr>
                <w:noProof/>
                <w:webHidden/>
              </w:rPr>
              <w:fldChar w:fldCharType="begin"/>
            </w:r>
            <w:r>
              <w:rPr>
                <w:noProof/>
                <w:webHidden/>
              </w:rPr>
              <w:instrText xml:space="preserve"> PAGEREF _Toc112051862 \h </w:instrText>
            </w:r>
            <w:r>
              <w:rPr>
                <w:noProof/>
                <w:webHidden/>
              </w:rPr>
            </w:r>
            <w:r>
              <w:rPr>
                <w:noProof/>
                <w:webHidden/>
              </w:rPr>
              <w:fldChar w:fldCharType="separate"/>
            </w:r>
            <w:r>
              <w:rPr>
                <w:noProof/>
                <w:webHidden/>
              </w:rPr>
              <w:t>88</w:t>
            </w:r>
            <w:r>
              <w:rPr>
                <w:noProof/>
                <w:webHidden/>
              </w:rPr>
              <w:fldChar w:fldCharType="end"/>
            </w:r>
          </w:hyperlink>
        </w:p>
        <w:p w14:paraId="4A5A7A40" w14:textId="5F39F469" w:rsidR="00F533FD" w:rsidRDefault="00F533FD">
          <w:pPr>
            <w:pStyle w:val="TOC3"/>
            <w:tabs>
              <w:tab w:val="right" w:leader="dot" w:pos="10308"/>
            </w:tabs>
            <w:rPr>
              <w:rFonts w:asciiTheme="minorHAnsi" w:eastAsiaTheme="minorEastAsia" w:hAnsiTheme="minorHAnsi" w:cstheme="minorBidi"/>
              <w:noProof/>
              <w:lang w:eastAsia="en-AU"/>
            </w:rPr>
          </w:pPr>
          <w:hyperlink w:anchor="_Toc112051863" w:history="1">
            <w:r w:rsidRPr="009C799F">
              <w:rPr>
                <w:rStyle w:val="Hyperlink"/>
                <w:noProof/>
                <w:lang w:eastAsia="en-AU"/>
              </w:rPr>
              <w:t>4.3.1. The purposes of sentencing</w:t>
            </w:r>
            <w:r>
              <w:rPr>
                <w:noProof/>
                <w:webHidden/>
              </w:rPr>
              <w:tab/>
            </w:r>
            <w:r>
              <w:rPr>
                <w:noProof/>
                <w:webHidden/>
              </w:rPr>
              <w:fldChar w:fldCharType="begin"/>
            </w:r>
            <w:r>
              <w:rPr>
                <w:noProof/>
                <w:webHidden/>
              </w:rPr>
              <w:instrText xml:space="preserve"> PAGEREF _Toc112051863 \h </w:instrText>
            </w:r>
            <w:r>
              <w:rPr>
                <w:noProof/>
                <w:webHidden/>
              </w:rPr>
            </w:r>
            <w:r>
              <w:rPr>
                <w:noProof/>
                <w:webHidden/>
              </w:rPr>
              <w:fldChar w:fldCharType="separate"/>
            </w:r>
            <w:r>
              <w:rPr>
                <w:noProof/>
                <w:webHidden/>
              </w:rPr>
              <w:t>88</w:t>
            </w:r>
            <w:r>
              <w:rPr>
                <w:noProof/>
                <w:webHidden/>
              </w:rPr>
              <w:fldChar w:fldCharType="end"/>
            </w:r>
          </w:hyperlink>
        </w:p>
        <w:p w14:paraId="0C10C305" w14:textId="597177DA" w:rsidR="00F533FD" w:rsidRDefault="00F533FD">
          <w:pPr>
            <w:pStyle w:val="TOC3"/>
            <w:tabs>
              <w:tab w:val="right" w:leader="dot" w:pos="10308"/>
            </w:tabs>
            <w:rPr>
              <w:rFonts w:asciiTheme="minorHAnsi" w:eastAsiaTheme="minorEastAsia" w:hAnsiTheme="minorHAnsi" w:cstheme="minorBidi"/>
              <w:noProof/>
              <w:lang w:eastAsia="en-AU"/>
            </w:rPr>
          </w:pPr>
          <w:hyperlink w:anchor="_Toc112051864" w:history="1">
            <w:r w:rsidRPr="009C799F">
              <w:rPr>
                <w:rStyle w:val="Hyperlink"/>
                <w:noProof/>
                <w:lang w:eastAsia="en-AU"/>
              </w:rPr>
              <w:t>4.3.2. Aggravating factor</w:t>
            </w:r>
            <w:r>
              <w:rPr>
                <w:noProof/>
                <w:webHidden/>
              </w:rPr>
              <w:tab/>
            </w:r>
            <w:r>
              <w:rPr>
                <w:noProof/>
                <w:webHidden/>
              </w:rPr>
              <w:fldChar w:fldCharType="begin"/>
            </w:r>
            <w:r>
              <w:rPr>
                <w:noProof/>
                <w:webHidden/>
              </w:rPr>
              <w:instrText xml:space="preserve"> PAGEREF _Toc112051864 \h </w:instrText>
            </w:r>
            <w:r>
              <w:rPr>
                <w:noProof/>
                <w:webHidden/>
              </w:rPr>
            </w:r>
            <w:r>
              <w:rPr>
                <w:noProof/>
                <w:webHidden/>
              </w:rPr>
              <w:fldChar w:fldCharType="separate"/>
            </w:r>
            <w:r>
              <w:rPr>
                <w:noProof/>
                <w:webHidden/>
              </w:rPr>
              <w:t>89</w:t>
            </w:r>
            <w:r>
              <w:rPr>
                <w:noProof/>
                <w:webHidden/>
              </w:rPr>
              <w:fldChar w:fldCharType="end"/>
            </w:r>
          </w:hyperlink>
        </w:p>
        <w:p w14:paraId="7A163B27" w14:textId="0B66388D" w:rsidR="00F533FD" w:rsidRDefault="00F533FD">
          <w:pPr>
            <w:pStyle w:val="TOC3"/>
            <w:tabs>
              <w:tab w:val="right" w:leader="dot" w:pos="10308"/>
            </w:tabs>
            <w:rPr>
              <w:rFonts w:asciiTheme="minorHAnsi" w:eastAsiaTheme="minorEastAsia" w:hAnsiTheme="minorHAnsi" w:cstheme="minorBidi"/>
              <w:noProof/>
              <w:lang w:eastAsia="en-AU"/>
            </w:rPr>
          </w:pPr>
          <w:hyperlink w:anchor="_Toc112051865" w:history="1">
            <w:r w:rsidRPr="009C799F">
              <w:rPr>
                <w:rStyle w:val="Hyperlink"/>
                <w:noProof/>
                <w:lang w:eastAsia="en-AU"/>
              </w:rPr>
              <w:t>4.3.3. Mitigating factor</w:t>
            </w:r>
            <w:r>
              <w:rPr>
                <w:noProof/>
                <w:webHidden/>
              </w:rPr>
              <w:tab/>
            </w:r>
            <w:r>
              <w:rPr>
                <w:noProof/>
                <w:webHidden/>
              </w:rPr>
              <w:fldChar w:fldCharType="begin"/>
            </w:r>
            <w:r>
              <w:rPr>
                <w:noProof/>
                <w:webHidden/>
              </w:rPr>
              <w:instrText xml:space="preserve"> PAGEREF _Toc112051865 \h </w:instrText>
            </w:r>
            <w:r>
              <w:rPr>
                <w:noProof/>
                <w:webHidden/>
              </w:rPr>
            </w:r>
            <w:r>
              <w:rPr>
                <w:noProof/>
                <w:webHidden/>
              </w:rPr>
              <w:fldChar w:fldCharType="separate"/>
            </w:r>
            <w:r>
              <w:rPr>
                <w:noProof/>
                <w:webHidden/>
              </w:rPr>
              <w:t>90</w:t>
            </w:r>
            <w:r>
              <w:rPr>
                <w:noProof/>
                <w:webHidden/>
              </w:rPr>
              <w:fldChar w:fldCharType="end"/>
            </w:r>
          </w:hyperlink>
        </w:p>
        <w:p w14:paraId="41E84B0B" w14:textId="399DA8E9" w:rsidR="00F533FD" w:rsidRDefault="00F533FD">
          <w:pPr>
            <w:pStyle w:val="TOC3"/>
            <w:tabs>
              <w:tab w:val="right" w:leader="dot" w:pos="10308"/>
            </w:tabs>
            <w:rPr>
              <w:rFonts w:asciiTheme="minorHAnsi" w:eastAsiaTheme="minorEastAsia" w:hAnsiTheme="minorHAnsi" w:cstheme="minorBidi"/>
              <w:noProof/>
              <w:lang w:eastAsia="en-AU"/>
            </w:rPr>
          </w:pPr>
          <w:hyperlink w:anchor="_Toc112051866" w:history="1">
            <w:r w:rsidRPr="009C799F">
              <w:rPr>
                <w:rStyle w:val="Hyperlink"/>
                <w:noProof/>
              </w:rPr>
              <w:t>4.3.4. Requirement to consider the risk of DFV</w:t>
            </w:r>
            <w:r>
              <w:rPr>
                <w:noProof/>
                <w:webHidden/>
              </w:rPr>
              <w:tab/>
            </w:r>
            <w:r>
              <w:rPr>
                <w:noProof/>
                <w:webHidden/>
              </w:rPr>
              <w:fldChar w:fldCharType="begin"/>
            </w:r>
            <w:r>
              <w:rPr>
                <w:noProof/>
                <w:webHidden/>
              </w:rPr>
              <w:instrText xml:space="preserve"> PAGEREF _Toc112051866 \h </w:instrText>
            </w:r>
            <w:r>
              <w:rPr>
                <w:noProof/>
                <w:webHidden/>
              </w:rPr>
            </w:r>
            <w:r>
              <w:rPr>
                <w:noProof/>
                <w:webHidden/>
              </w:rPr>
              <w:fldChar w:fldCharType="separate"/>
            </w:r>
            <w:r>
              <w:rPr>
                <w:noProof/>
                <w:webHidden/>
              </w:rPr>
              <w:t>91</w:t>
            </w:r>
            <w:r>
              <w:rPr>
                <w:noProof/>
                <w:webHidden/>
              </w:rPr>
              <w:fldChar w:fldCharType="end"/>
            </w:r>
          </w:hyperlink>
        </w:p>
        <w:p w14:paraId="0793B2DA" w14:textId="4D60B2B6" w:rsidR="00F533FD" w:rsidRDefault="00F533FD">
          <w:pPr>
            <w:pStyle w:val="TOC3"/>
            <w:tabs>
              <w:tab w:val="right" w:leader="dot" w:pos="10308"/>
            </w:tabs>
            <w:rPr>
              <w:rFonts w:asciiTheme="minorHAnsi" w:eastAsiaTheme="minorEastAsia" w:hAnsiTheme="minorHAnsi" w:cstheme="minorBidi"/>
              <w:noProof/>
              <w:lang w:eastAsia="en-AU"/>
            </w:rPr>
          </w:pPr>
          <w:hyperlink w:anchor="_Toc112051867" w:history="1">
            <w:r w:rsidRPr="009C799F">
              <w:rPr>
                <w:rStyle w:val="Hyperlink"/>
                <w:noProof/>
              </w:rPr>
              <w:t>4.3.5. Cross examination of DFV and sexual offence victims on the content of victim impact statements</w:t>
            </w:r>
            <w:r>
              <w:rPr>
                <w:noProof/>
                <w:webHidden/>
              </w:rPr>
              <w:tab/>
            </w:r>
            <w:r>
              <w:rPr>
                <w:noProof/>
                <w:webHidden/>
              </w:rPr>
              <w:fldChar w:fldCharType="begin"/>
            </w:r>
            <w:r>
              <w:rPr>
                <w:noProof/>
                <w:webHidden/>
              </w:rPr>
              <w:instrText xml:space="preserve"> PAGEREF _Toc112051867 \h </w:instrText>
            </w:r>
            <w:r>
              <w:rPr>
                <w:noProof/>
                <w:webHidden/>
              </w:rPr>
            </w:r>
            <w:r>
              <w:rPr>
                <w:noProof/>
                <w:webHidden/>
              </w:rPr>
              <w:fldChar w:fldCharType="separate"/>
            </w:r>
            <w:r>
              <w:rPr>
                <w:noProof/>
                <w:webHidden/>
              </w:rPr>
              <w:t>91</w:t>
            </w:r>
            <w:r>
              <w:rPr>
                <w:noProof/>
                <w:webHidden/>
              </w:rPr>
              <w:fldChar w:fldCharType="end"/>
            </w:r>
          </w:hyperlink>
        </w:p>
        <w:p w14:paraId="4840FE1B" w14:textId="6DCD0405" w:rsidR="00F533FD" w:rsidRDefault="00F533FD">
          <w:pPr>
            <w:pStyle w:val="TOC2"/>
            <w:rPr>
              <w:rFonts w:asciiTheme="minorHAnsi" w:eastAsiaTheme="minorEastAsia" w:hAnsiTheme="minorHAnsi" w:cstheme="minorBidi"/>
              <w:noProof/>
              <w:lang w:eastAsia="en-AU"/>
            </w:rPr>
          </w:pPr>
          <w:hyperlink w:anchor="_Toc112051868" w:history="1">
            <w:r w:rsidRPr="009C799F">
              <w:rPr>
                <w:rStyle w:val="Hyperlink"/>
                <w:noProof/>
                <w:lang w:eastAsia="en-AU"/>
              </w:rPr>
              <w:t>4.4. Proposed amendments to the Criminal Code</w:t>
            </w:r>
            <w:r>
              <w:rPr>
                <w:noProof/>
                <w:webHidden/>
              </w:rPr>
              <w:tab/>
            </w:r>
            <w:r>
              <w:rPr>
                <w:noProof/>
                <w:webHidden/>
              </w:rPr>
              <w:fldChar w:fldCharType="begin"/>
            </w:r>
            <w:r>
              <w:rPr>
                <w:noProof/>
                <w:webHidden/>
              </w:rPr>
              <w:instrText xml:space="preserve"> PAGEREF _Toc112051868 \h </w:instrText>
            </w:r>
            <w:r>
              <w:rPr>
                <w:noProof/>
                <w:webHidden/>
              </w:rPr>
            </w:r>
            <w:r>
              <w:rPr>
                <w:noProof/>
                <w:webHidden/>
              </w:rPr>
              <w:fldChar w:fldCharType="separate"/>
            </w:r>
            <w:r>
              <w:rPr>
                <w:noProof/>
                <w:webHidden/>
              </w:rPr>
              <w:t>92</w:t>
            </w:r>
            <w:r>
              <w:rPr>
                <w:noProof/>
                <w:webHidden/>
              </w:rPr>
              <w:fldChar w:fldCharType="end"/>
            </w:r>
          </w:hyperlink>
        </w:p>
        <w:p w14:paraId="00613265" w14:textId="2964EE61" w:rsidR="00F533FD" w:rsidRDefault="00F533FD">
          <w:pPr>
            <w:pStyle w:val="TOC3"/>
            <w:tabs>
              <w:tab w:val="right" w:leader="dot" w:pos="10308"/>
            </w:tabs>
            <w:rPr>
              <w:rFonts w:asciiTheme="minorHAnsi" w:eastAsiaTheme="minorEastAsia" w:hAnsiTheme="minorHAnsi" w:cstheme="minorBidi"/>
              <w:noProof/>
              <w:lang w:eastAsia="en-AU"/>
            </w:rPr>
          </w:pPr>
          <w:hyperlink w:anchor="_Toc112051869" w:history="1">
            <w:r w:rsidRPr="009C799F">
              <w:rPr>
                <w:rStyle w:val="Hyperlink"/>
                <w:noProof/>
                <w:lang w:eastAsia="en-AU"/>
              </w:rPr>
              <w:t>4.4.1. Definition of harm</w:t>
            </w:r>
            <w:r>
              <w:rPr>
                <w:noProof/>
                <w:webHidden/>
              </w:rPr>
              <w:tab/>
            </w:r>
            <w:r>
              <w:rPr>
                <w:noProof/>
                <w:webHidden/>
              </w:rPr>
              <w:fldChar w:fldCharType="begin"/>
            </w:r>
            <w:r>
              <w:rPr>
                <w:noProof/>
                <w:webHidden/>
              </w:rPr>
              <w:instrText xml:space="preserve"> PAGEREF _Toc112051869 \h </w:instrText>
            </w:r>
            <w:r>
              <w:rPr>
                <w:noProof/>
                <w:webHidden/>
              </w:rPr>
            </w:r>
            <w:r>
              <w:rPr>
                <w:noProof/>
                <w:webHidden/>
              </w:rPr>
              <w:fldChar w:fldCharType="separate"/>
            </w:r>
            <w:r>
              <w:rPr>
                <w:noProof/>
                <w:webHidden/>
              </w:rPr>
              <w:t>92</w:t>
            </w:r>
            <w:r>
              <w:rPr>
                <w:noProof/>
                <w:webHidden/>
              </w:rPr>
              <w:fldChar w:fldCharType="end"/>
            </w:r>
          </w:hyperlink>
        </w:p>
        <w:p w14:paraId="2BD70557" w14:textId="6C002750" w:rsidR="00F533FD" w:rsidRDefault="00F533FD">
          <w:pPr>
            <w:pStyle w:val="TOC3"/>
            <w:tabs>
              <w:tab w:val="right" w:leader="dot" w:pos="10308"/>
            </w:tabs>
            <w:rPr>
              <w:rFonts w:asciiTheme="minorHAnsi" w:eastAsiaTheme="minorEastAsia" w:hAnsiTheme="minorHAnsi" w:cstheme="minorBidi"/>
              <w:noProof/>
              <w:lang w:eastAsia="en-AU"/>
            </w:rPr>
          </w:pPr>
          <w:hyperlink w:anchor="_Toc112051870" w:history="1">
            <w:r w:rsidRPr="009C799F">
              <w:rPr>
                <w:rStyle w:val="Hyperlink"/>
                <w:noProof/>
                <w:lang w:eastAsia="en-AU"/>
              </w:rPr>
              <w:t>4.4.2. Assault with aggravating features</w:t>
            </w:r>
            <w:r>
              <w:rPr>
                <w:noProof/>
                <w:webHidden/>
              </w:rPr>
              <w:tab/>
            </w:r>
            <w:r>
              <w:rPr>
                <w:noProof/>
                <w:webHidden/>
              </w:rPr>
              <w:fldChar w:fldCharType="begin"/>
            </w:r>
            <w:r>
              <w:rPr>
                <w:noProof/>
                <w:webHidden/>
              </w:rPr>
              <w:instrText xml:space="preserve"> PAGEREF _Toc112051870 \h </w:instrText>
            </w:r>
            <w:r>
              <w:rPr>
                <w:noProof/>
                <w:webHidden/>
              </w:rPr>
            </w:r>
            <w:r>
              <w:rPr>
                <w:noProof/>
                <w:webHidden/>
              </w:rPr>
              <w:fldChar w:fldCharType="separate"/>
            </w:r>
            <w:r>
              <w:rPr>
                <w:noProof/>
                <w:webHidden/>
              </w:rPr>
              <w:t>92</w:t>
            </w:r>
            <w:r>
              <w:rPr>
                <w:noProof/>
                <w:webHidden/>
              </w:rPr>
              <w:fldChar w:fldCharType="end"/>
            </w:r>
          </w:hyperlink>
        </w:p>
        <w:p w14:paraId="72F49A5E" w14:textId="7FD284EA" w:rsidR="00F533FD" w:rsidRDefault="00F533FD">
          <w:pPr>
            <w:pStyle w:val="TOC2"/>
            <w:rPr>
              <w:rFonts w:asciiTheme="minorHAnsi" w:eastAsiaTheme="minorEastAsia" w:hAnsiTheme="minorHAnsi" w:cstheme="minorBidi"/>
              <w:noProof/>
              <w:lang w:eastAsia="en-AU"/>
            </w:rPr>
          </w:pPr>
          <w:hyperlink w:anchor="_Toc112051871" w:history="1">
            <w:r w:rsidRPr="009C799F">
              <w:rPr>
                <w:rStyle w:val="Hyperlink"/>
                <w:noProof/>
                <w:lang w:eastAsia="en-AU"/>
              </w:rPr>
              <w:t xml:space="preserve">4.5. Proposed amendments to the </w:t>
            </w:r>
            <w:r w:rsidRPr="009C799F">
              <w:rPr>
                <w:rStyle w:val="Hyperlink"/>
                <w:i/>
                <w:noProof/>
                <w:lang w:eastAsia="en-AU"/>
              </w:rPr>
              <w:t>Evidence Act 1939</w:t>
            </w:r>
            <w:r>
              <w:rPr>
                <w:noProof/>
                <w:webHidden/>
              </w:rPr>
              <w:tab/>
            </w:r>
            <w:r>
              <w:rPr>
                <w:noProof/>
                <w:webHidden/>
              </w:rPr>
              <w:fldChar w:fldCharType="begin"/>
            </w:r>
            <w:r>
              <w:rPr>
                <w:noProof/>
                <w:webHidden/>
              </w:rPr>
              <w:instrText xml:space="preserve"> PAGEREF _Toc112051871 \h </w:instrText>
            </w:r>
            <w:r>
              <w:rPr>
                <w:noProof/>
                <w:webHidden/>
              </w:rPr>
            </w:r>
            <w:r>
              <w:rPr>
                <w:noProof/>
                <w:webHidden/>
              </w:rPr>
              <w:fldChar w:fldCharType="separate"/>
            </w:r>
            <w:r>
              <w:rPr>
                <w:noProof/>
                <w:webHidden/>
              </w:rPr>
              <w:t>93</w:t>
            </w:r>
            <w:r>
              <w:rPr>
                <w:noProof/>
                <w:webHidden/>
              </w:rPr>
              <w:fldChar w:fldCharType="end"/>
            </w:r>
          </w:hyperlink>
        </w:p>
        <w:p w14:paraId="2CD3067B" w14:textId="0B4D07EA" w:rsidR="00F533FD" w:rsidRDefault="00F533FD">
          <w:pPr>
            <w:pStyle w:val="TOC3"/>
            <w:tabs>
              <w:tab w:val="right" w:leader="dot" w:pos="10308"/>
            </w:tabs>
            <w:rPr>
              <w:rFonts w:asciiTheme="minorHAnsi" w:eastAsiaTheme="minorEastAsia" w:hAnsiTheme="minorHAnsi" w:cstheme="minorBidi"/>
              <w:noProof/>
              <w:lang w:eastAsia="en-AU"/>
            </w:rPr>
          </w:pPr>
          <w:hyperlink w:anchor="_Toc112051872" w:history="1">
            <w:r w:rsidRPr="009C799F">
              <w:rPr>
                <w:rStyle w:val="Hyperlink"/>
                <w:noProof/>
              </w:rPr>
              <w:t>4.5.1. Recorded statements</w:t>
            </w:r>
            <w:r>
              <w:rPr>
                <w:noProof/>
                <w:webHidden/>
              </w:rPr>
              <w:tab/>
            </w:r>
            <w:r>
              <w:rPr>
                <w:noProof/>
                <w:webHidden/>
              </w:rPr>
              <w:fldChar w:fldCharType="begin"/>
            </w:r>
            <w:r>
              <w:rPr>
                <w:noProof/>
                <w:webHidden/>
              </w:rPr>
              <w:instrText xml:space="preserve"> PAGEREF _Toc112051872 \h </w:instrText>
            </w:r>
            <w:r>
              <w:rPr>
                <w:noProof/>
                <w:webHidden/>
              </w:rPr>
            </w:r>
            <w:r>
              <w:rPr>
                <w:noProof/>
                <w:webHidden/>
              </w:rPr>
              <w:fldChar w:fldCharType="separate"/>
            </w:r>
            <w:r>
              <w:rPr>
                <w:noProof/>
                <w:webHidden/>
              </w:rPr>
              <w:t>93</w:t>
            </w:r>
            <w:r>
              <w:rPr>
                <w:noProof/>
                <w:webHidden/>
              </w:rPr>
              <w:fldChar w:fldCharType="end"/>
            </w:r>
          </w:hyperlink>
        </w:p>
        <w:p w14:paraId="36AC59C0" w14:textId="73FEF783" w:rsidR="00F533FD" w:rsidRDefault="00F533FD">
          <w:pPr>
            <w:pStyle w:val="TOC3"/>
            <w:tabs>
              <w:tab w:val="right" w:leader="dot" w:pos="10308"/>
            </w:tabs>
            <w:rPr>
              <w:rFonts w:asciiTheme="minorHAnsi" w:eastAsiaTheme="minorEastAsia" w:hAnsiTheme="minorHAnsi" w:cstheme="minorBidi"/>
              <w:noProof/>
              <w:lang w:eastAsia="en-AU"/>
            </w:rPr>
          </w:pPr>
          <w:hyperlink w:anchor="_Toc112051873" w:history="1">
            <w:r w:rsidRPr="009C799F">
              <w:rPr>
                <w:rStyle w:val="Hyperlink"/>
                <w:noProof/>
              </w:rPr>
              <w:t>4.5.2. Expert evidence on DFV</w:t>
            </w:r>
            <w:r>
              <w:rPr>
                <w:noProof/>
                <w:webHidden/>
              </w:rPr>
              <w:tab/>
            </w:r>
            <w:r>
              <w:rPr>
                <w:noProof/>
                <w:webHidden/>
              </w:rPr>
              <w:fldChar w:fldCharType="begin"/>
            </w:r>
            <w:r>
              <w:rPr>
                <w:noProof/>
                <w:webHidden/>
              </w:rPr>
              <w:instrText xml:space="preserve"> PAGEREF _Toc112051873 \h </w:instrText>
            </w:r>
            <w:r>
              <w:rPr>
                <w:noProof/>
                <w:webHidden/>
              </w:rPr>
            </w:r>
            <w:r>
              <w:rPr>
                <w:noProof/>
                <w:webHidden/>
              </w:rPr>
              <w:fldChar w:fldCharType="separate"/>
            </w:r>
            <w:r>
              <w:rPr>
                <w:noProof/>
                <w:webHidden/>
              </w:rPr>
              <w:t>95</w:t>
            </w:r>
            <w:r>
              <w:rPr>
                <w:noProof/>
                <w:webHidden/>
              </w:rPr>
              <w:fldChar w:fldCharType="end"/>
            </w:r>
          </w:hyperlink>
        </w:p>
        <w:p w14:paraId="0CFBF604" w14:textId="145BD077" w:rsidR="00F533FD" w:rsidRDefault="00F533FD">
          <w:pPr>
            <w:pStyle w:val="TOC3"/>
            <w:tabs>
              <w:tab w:val="right" w:leader="dot" w:pos="10308"/>
            </w:tabs>
            <w:rPr>
              <w:rFonts w:asciiTheme="minorHAnsi" w:eastAsiaTheme="minorEastAsia" w:hAnsiTheme="minorHAnsi" w:cstheme="minorBidi"/>
              <w:noProof/>
              <w:lang w:eastAsia="en-AU"/>
            </w:rPr>
          </w:pPr>
          <w:hyperlink w:anchor="_Toc112051874" w:history="1">
            <w:r w:rsidRPr="009C799F">
              <w:rPr>
                <w:rStyle w:val="Hyperlink"/>
                <w:noProof/>
              </w:rPr>
              <w:t>4.5.3. Jury directions on DFV</w:t>
            </w:r>
            <w:r>
              <w:rPr>
                <w:noProof/>
                <w:webHidden/>
              </w:rPr>
              <w:tab/>
            </w:r>
            <w:r>
              <w:rPr>
                <w:noProof/>
                <w:webHidden/>
              </w:rPr>
              <w:fldChar w:fldCharType="begin"/>
            </w:r>
            <w:r>
              <w:rPr>
                <w:noProof/>
                <w:webHidden/>
              </w:rPr>
              <w:instrText xml:space="preserve"> PAGEREF _Toc112051874 \h </w:instrText>
            </w:r>
            <w:r>
              <w:rPr>
                <w:noProof/>
                <w:webHidden/>
              </w:rPr>
            </w:r>
            <w:r>
              <w:rPr>
                <w:noProof/>
                <w:webHidden/>
              </w:rPr>
              <w:fldChar w:fldCharType="separate"/>
            </w:r>
            <w:r>
              <w:rPr>
                <w:noProof/>
                <w:webHidden/>
              </w:rPr>
              <w:t>96</w:t>
            </w:r>
            <w:r>
              <w:rPr>
                <w:noProof/>
                <w:webHidden/>
              </w:rPr>
              <w:fldChar w:fldCharType="end"/>
            </w:r>
          </w:hyperlink>
        </w:p>
        <w:p w14:paraId="3919B412" w14:textId="399D057A" w:rsidR="00F533FD" w:rsidRDefault="00F533FD">
          <w:pPr>
            <w:pStyle w:val="TOC2"/>
            <w:rPr>
              <w:rFonts w:asciiTheme="minorHAnsi" w:eastAsiaTheme="minorEastAsia" w:hAnsiTheme="minorHAnsi" w:cstheme="minorBidi"/>
              <w:noProof/>
              <w:lang w:eastAsia="en-AU"/>
            </w:rPr>
          </w:pPr>
          <w:hyperlink w:anchor="_Toc112051875" w:history="1">
            <w:r w:rsidRPr="009C799F">
              <w:rPr>
                <w:rStyle w:val="Hyperlink"/>
                <w:noProof/>
              </w:rPr>
              <w:t xml:space="preserve">4.6. Proposed amendments to the </w:t>
            </w:r>
            <w:r w:rsidRPr="009C799F">
              <w:rPr>
                <w:rStyle w:val="Hyperlink"/>
                <w:i/>
                <w:noProof/>
              </w:rPr>
              <w:t>Evidence (National Uniform Legislation) Act 2011</w:t>
            </w:r>
            <w:r>
              <w:rPr>
                <w:noProof/>
                <w:webHidden/>
              </w:rPr>
              <w:tab/>
            </w:r>
            <w:r>
              <w:rPr>
                <w:noProof/>
                <w:webHidden/>
              </w:rPr>
              <w:fldChar w:fldCharType="begin"/>
            </w:r>
            <w:r>
              <w:rPr>
                <w:noProof/>
                <w:webHidden/>
              </w:rPr>
              <w:instrText xml:space="preserve"> PAGEREF _Toc112051875 \h </w:instrText>
            </w:r>
            <w:r>
              <w:rPr>
                <w:noProof/>
                <w:webHidden/>
              </w:rPr>
            </w:r>
            <w:r>
              <w:rPr>
                <w:noProof/>
                <w:webHidden/>
              </w:rPr>
              <w:fldChar w:fldCharType="separate"/>
            </w:r>
            <w:r>
              <w:rPr>
                <w:noProof/>
                <w:webHidden/>
              </w:rPr>
              <w:t>96</w:t>
            </w:r>
            <w:r>
              <w:rPr>
                <w:noProof/>
                <w:webHidden/>
              </w:rPr>
              <w:fldChar w:fldCharType="end"/>
            </w:r>
          </w:hyperlink>
        </w:p>
        <w:p w14:paraId="2A1DEE5B" w14:textId="5DB5E940" w:rsidR="00F533FD" w:rsidRDefault="00F533FD">
          <w:pPr>
            <w:pStyle w:val="TOC2"/>
            <w:rPr>
              <w:rFonts w:asciiTheme="minorHAnsi" w:eastAsiaTheme="minorEastAsia" w:hAnsiTheme="minorHAnsi" w:cstheme="minorBidi"/>
              <w:noProof/>
              <w:lang w:eastAsia="en-AU"/>
            </w:rPr>
          </w:pPr>
          <w:hyperlink w:anchor="_Toc112051876" w:history="1">
            <w:r w:rsidRPr="009C799F">
              <w:rPr>
                <w:rStyle w:val="Hyperlink"/>
                <w:noProof/>
              </w:rPr>
              <w:t xml:space="preserve">4.7. Proposed amendments to the </w:t>
            </w:r>
            <w:r w:rsidRPr="009C799F">
              <w:rPr>
                <w:rStyle w:val="Hyperlink"/>
                <w:i/>
                <w:noProof/>
              </w:rPr>
              <w:t>Local Court (Criminal Procedure) Act 1928</w:t>
            </w:r>
            <w:r>
              <w:rPr>
                <w:noProof/>
                <w:webHidden/>
              </w:rPr>
              <w:tab/>
            </w:r>
            <w:r>
              <w:rPr>
                <w:noProof/>
                <w:webHidden/>
              </w:rPr>
              <w:fldChar w:fldCharType="begin"/>
            </w:r>
            <w:r>
              <w:rPr>
                <w:noProof/>
                <w:webHidden/>
              </w:rPr>
              <w:instrText xml:space="preserve"> PAGEREF _Toc112051876 \h </w:instrText>
            </w:r>
            <w:r>
              <w:rPr>
                <w:noProof/>
                <w:webHidden/>
              </w:rPr>
            </w:r>
            <w:r>
              <w:rPr>
                <w:noProof/>
                <w:webHidden/>
              </w:rPr>
              <w:fldChar w:fldCharType="separate"/>
            </w:r>
            <w:r>
              <w:rPr>
                <w:noProof/>
                <w:webHidden/>
              </w:rPr>
              <w:t>99</w:t>
            </w:r>
            <w:r>
              <w:rPr>
                <w:noProof/>
                <w:webHidden/>
              </w:rPr>
              <w:fldChar w:fldCharType="end"/>
            </w:r>
          </w:hyperlink>
        </w:p>
        <w:p w14:paraId="594DEE67" w14:textId="5BA0EA82" w:rsidR="00F533FD" w:rsidRDefault="00F533FD">
          <w:pPr>
            <w:pStyle w:val="TOC2"/>
            <w:rPr>
              <w:rFonts w:asciiTheme="minorHAnsi" w:eastAsiaTheme="minorEastAsia" w:hAnsiTheme="minorHAnsi" w:cstheme="minorBidi"/>
              <w:noProof/>
              <w:lang w:eastAsia="en-AU"/>
            </w:rPr>
          </w:pPr>
          <w:hyperlink w:anchor="_Toc112051877" w:history="1">
            <w:r w:rsidRPr="009C799F">
              <w:rPr>
                <w:rStyle w:val="Hyperlink"/>
                <w:noProof/>
                <w:lang w:eastAsia="en-AU"/>
              </w:rPr>
              <w:t>4.8. Questions – Legislative reforms</w:t>
            </w:r>
            <w:r>
              <w:rPr>
                <w:noProof/>
                <w:webHidden/>
              </w:rPr>
              <w:tab/>
            </w:r>
            <w:r>
              <w:rPr>
                <w:noProof/>
                <w:webHidden/>
              </w:rPr>
              <w:fldChar w:fldCharType="begin"/>
            </w:r>
            <w:r>
              <w:rPr>
                <w:noProof/>
                <w:webHidden/>
              </w:rPr>
              <w:instrText xml:space="preserve"> PAGEREF _Toc112051877 \h </w:instrText>
            </w:r>
            <w:r>
              <w:rPr>
                <w:noProof/>
                <w:webHidden/>
              </w:rPr>
            </w:r>
            <w:r>
              <w:rPr>
                <w:noProof/>
                <w:webHidden/>
              </w:rPr>
              <w:fldChar w:fldCharType="separate"/>
            </w:r>
            <w:r>
              <w:rPr>
                <w:noProof/>
                <w:webHidden/>
              </w:rPr>
              <w:t>100</w:t>
            </w:r>
            <w:r>
              <w:rPr>
                <w:noProof/>
                <w:webHidden/>
              </w:rPr>
              <w:fldChar w:fldCharType="end"/>
            </w:r>
          </w:hyperlink>
        </w:p>
        <w:p w14:paraId="1DBFBAFD" w14:textId="3076CCA7" w:rsidR="00F533FD" w:rsidRDefault="00F533FD">
          <w:pPr>
            <w:pStyle w:val="TOC1"/>
            <w:rPr>
              <w:rFonts w:asciiTheme="minorHAnsi" w:eastAsiaTheme="minorEastAsia" w:hAnsiTheme="minorHAnsi" w:cstheme="minorBidi"/>
              <w:b w:val="0"/>
              <w:noProof/>
              <w:lang w:eastAsia="en-AU"/>
            </w:rPr>
          </w:pPr>
          <w:hyperlink w:anchor="_Toc112051878" w:history="1">
            <w:r w:rsidRPr="009C799F">
              <w:rPr>
                <w:rStyle w:val="Hyperlink"/>
                <w:noProof/>
                <w:lang w:eastAsia="en-AU"/>
              </w:rPr>
              <w:t>5. Systemic reforms to address DFV</w:t>
            </w:r>
            <w:r>
              <w:rPr>
                <w:noProof/>
                <w:webHidden/>
              </w:rPr>
              <w:tab/>
            </w:r>
            <w:r>
              <w:rPr>
                <w:noProof/>
                <w:webHidden/>
              </w:rPr>
              <w:fldChar w:fldCharType="begin"/>
            </w:r>
            <w:r>
              <w:rPr>
                <w:noProof/>
                <w:webHidden/>
              </w:rPr>
              <w:instrText xml:space="preserve"> PAGEREF _Toc112051878 \h </w:instrText>
            </w:r>
            <w:r>
              <w:rPr>
                <w:noProof/>
                <w:webHidden/>
              </w:rPr>
            </w:r>
            <w:r>
              <w:rPr>
                <w:noProof/>
                <w:webHidden/>
              </w:rPr>
              <w:fldChar w:fldCharType="separate"/>
            </w:r>
            <w:r>
              <w:rPr>
                <w:noProof/>
                <w:webHidden/>
              </w:rPr>
              <w:t>101</w:t>
            </w:r>
            <w:r>
              <w:rPr>
                <w:noProof/>
                <w:webHidden/>
              </w:rPr>
              <w:fldChar w:fldCharType="end"/>
            </w:r>
          </w:hyperlink>
        </w:p>
        <w:p w14:paraId="5F754005" w14:textId="0FA5CE4F" w:rsidR="00F533FD" w:rsidRDefault="00F533FD">
          <w:pPr>
            <w:pStyle w:val="TOC2"/>
            <w:rPr>
              <w:rFonts w:asciiTheme="minorHAnsi" w:eastAsiaTheme="minorEastAsia" w:hAnsiTheme="minorHAnsi" w:cstheme="minorBidi"/>
              <w:noProof/>
              <w:lang w:eastAsia="en-AU"/>
            </w:rPr>
          </w:pPr>
          <w:hyperlink w:anchor="_Toc112051879" w:history="1">
            <w:r w:rsidRPr="009C799F">
              <w:rPr>
                <w:rStyle w:val="Hyperlink"/>
                <w:noProof/>
                <w:lang w:eastAsia="en-AU"/>
              </w:rPr>
              <w:t>5.1. The primacy of implementation</w:t>
            </w:r>
            <w:r>
              <w:rPr>
                <w:noProof/>
                <w:webHidden/>
              </w:rPr>
              <w:tab/>
            </w:r>
            <w:r>
              <w:rPr>
                <w:noProof/>
                <w:webHidden/>
              </w:rPr>
              <w:fldChar w:fldCharType="begin"/>
            </w:r>
            <w:r>
              <w:rPr>
                <w:noProof/>
                <w:webHidden/>
              </w:rPr>
              <w:instrText xml:space="preserve"> PAGEREF _Toc112051879 \h </w:instrText>
            </w:r>
            <w:r>
              <w:rPr>
                <w:noProof/>
                <w:webHidden/>
              </w:rPr>
            </w:r>
            <w:r>
              <w:rPr>
                <w:noProof/>
                <w:webHidden/>
              </w:rPr>
              <w:fldChar w:fldCharType="separate"/>
            </w:r>
            <w:r>
              <w:rPr>
                <w:noProof/>
                <w:webHidden/>
              </w:rPr>
              <w:t>101</w:t>
            </w:r>
            <w:r>
              <w:rPr>
                <w:noProof/>
                <w:webHidden/>
              </w:rPr>
              <w:fldChar w:fldCharType="end"/>
            </w:r>
          </w:hyperlink>
        </w:p>
        <w:p w14:paraId="3025DDED" w14:textId="08418507" w:rsidR="00F533FD" w:rsidRDefault="00F533FD">
          <w:pPr>
            <w:pStyle w:val="TOC2"/>
            <w:rPr>
              <w:rFonts w:asciiTheme="minorHAnsi" w:eastAsiaTheme="minorEastAsia" w:hAnsiTheme="minorHAnsi" w:cstheme="minorBidi"/>
              <w:noProof/>
              <w:lang w:eastAsia="en-AU"/>
            </w:rPr>
          </w:pPr>
          <w:hyperlink w:anchor="_Toc112051880" w:history="1">
            <w:r w:rsidRPr="009C799F">
              <w:rPr>
                <w:rStyle w:val="Hyperlink"/>
                <w:noProof/>
                <w:lang w:eastAsia="en-AU"/>
              </w:rPr>
              <w:t>5.2. Inter-agency co-ordination and reform</w:t>
            </w:r>
            <w:r>
              <w:rPr>
                <w:noProof/>
                <w:webHidden/>
              </w:rPr>
              <w:tab/>
            </w:r>
            <w:r>
              <w:rPr>
                <w:noProof/>
                <w:webHidden/>
              </w:rPr>
              <w:fldChar w:fldCharType="begin"/>
            </w:r>
            <w:r>
              <w:rPr>
                <w:noProof/>
                <w:webHidden/>
              </w:rPr>
              <w:instrText xml:space="preserve"> PAGEREF _Toc112051880 \h </w:instrText>
            </w:r>
            <w:r>
              <w:rPr>
                <w:noProof/>
                <w:webHidden/>
              </w:rPr>
            </w:r>
            <w:r>
              <w:rPr>
                <w:noProof/>
                <w:webHidden/>
              </w:rPr>
              <w:fldChar w:fldCharType="separate"/>
            </w:r>
            <w:r>
              <w:rPr>
                <w:noProof/>
                <w:webHidden/>
              </w:rPr>
              <w:t>102</w:t>
            </w:r>
            <w:r>
              <w:rPr>
                <w:noProof/>
                <w:webHidden/>
              </w:rPr>
              <w:fldChar w:fldCharType="end"/>
            </w:r>
          </w:hyperlink>
        </w:p>
        <w:p w14:paraId="37BFAC55" w14:textId="1F8B01B1" w:rsidR="00F533FD" w:rsidRDefault="00F533FD">
          <w:pPr>
            <w:pStyle w:val="TOC3"/>
            <w:tabs>
              <w:tab w:val="right" w:leader="dot" w:pos="10308"/>
            </w:tabs>
            <w:rPr>
              <w:rFonts w:asciiTheme="minorHAnsi" w:eastAsiaTheme="minorEastAsia" w:hAnsiTheme="minorHAnsi" w:cstheme="minorBidi"/>
              <w:noProof/>
              <w:lang w:eastAsia="en-AU"/>
            </w:rPr>
          </w:pPr>
          <w:hyperlink w:anchor="_Toc112051881" w:history="1">
            <w:r w:rsidRPr="009C799F">
              <w:rPr>
                <w:rStyle w:val="Hyperlink"/>
                <w:noProof/>
                <w:lang w:eastAsia="en-AU"/>
              </w:rPr>
              <w:t>5.2.1. The Inter-agency Co-ordination and Reform Office (DFSV-ICRO)</w:t>
            </w:r>
            <w:r>
              <w:rPr>
                <w:noProof/>
                <w:webHidden/>
              </w:rPr>
              <w:tab/>
            </w:r>
            <w:r>
              <w:rPr>
                <w:noProof/>
                <w:webHidden/>
              </w:rPr>
              <w:fldChar w:fldCharType="begin"/>
            </w:r>
            <w:r>
              <w:rPr>
                <w:noProof/>
                <w:webHidden/>
              </w:rPr>
              <w:instrText xml:space="preserve"> PAGEREF _Toc112051881 \h </w:instrText>
            </w:r>
            <w:r>
              <w:rPr>
                <w:noProof/>
                <w:webHidden/>
              </w:rPr>
            </w:r>
            <w:r>
              <w:rPr>
                <w:noProof/>
                <w:webHidden/>
              </w:rPr>
              <w:fldChar w:fldCharType="separate"/>
            </w:r>
            <w:r>
              <w:rPr>
                <w:noProof/>
                <w:webHidden/>
              </w:rPr>
              <w:t>102</w:t>
            </w:r>
            <w:r>
              <w:rPr>
                <w:noProof/>
                <w:webHidden/>
              </w:rPr>
              <w:fldChar w:fldCharType="end"/>
            </w:r>
          </w:hyperlink>
        </w:p>
        <w:p w14:paraId="4F430D8C" w14:textId="7B2F0307" w:rsidR="00F533FD" w:rsidRDefault="00F533FD">
          <w:pPr>
            <w:pStyle w:val="TOC3"/>
            <w:tabs>
              <w:tab w:val="right" w:leader="dot" w:pos="10308"/>
            </w:tabs>
            <w:rPr>
              <w:rFonts w:asciiTheme="minorHAnsi" w:eastAsiaTheme="minorEastAsia" w:hAnsiTheme="minorHAnsi" w:cstheme="minorBidi"/>
              <w:noProof/>
              <w:lang w:eastAsia="en-AU"/>
            </w:rPr>
          </w:pPr>
          <w:hyperlink w:anchor="_Toc112051882" w:history="1">
            <w:r w:rsidRPr="009C799F">
              <w:rPr>
                <w:rStyle w:val="Hyperlink"/>
                <w:noProof/>
              </w:rPr>
              <w:t>5.2.2. Aboriginal Justice Agreement (AJA)</w:t>
            </w:r>
            <w:r>
              <w:rPr>
                <w:noProof/>
                <w:webHidden/>
              </w:rPr>
              <w:tab/>
            </w:r>
            <w:r>
              <w:rPr>
                <w:noProof/>
                <w:webHidden/>
              </w:rPr>
              <w:fldChar w:fldCharType="begin"/>
            </w:r>
            <w:r>
              <w:rPr>
                <w:noProof/>
                <w:webHidden/>
              </w:rPr>
              <w:instrText xml:space="preserve"> PAGEREF _Toc112051882 \h </w:instrText>
            </w:r>
            <w:r>
              <w:rPr>
                <w:noProof/>
                <w:webHidden/>
              </w:rPr>
            </w:r>
            <w:r>
              <w:rPr>
                <w:noProof/>
                <w:webHidden/>
              </w:rPr>
              <w:fldChar w:fldCharType="separate"/>
            </w:r>
            <w:r>
              <w:rPr>
                <w:noProof/>
                <w:webHidden/>
              </w:rPr>
              <w:t>103</w:t>
            </w:r>
            <w:r>
              <w:rPr>
                <w:noProof/>
                <w:webHidden/>
              </w:rPr>
              <w:fldChar w:fldCharType="end"/>
            </w:r>
          </w:hyperlink>
        </w:p>
        <w:p w14:paraId="5A6B9770" w14:textId="16D74423" w:rsidR="00F533FD" w:rsidRDefault="00F533FD">
          <w:pPr>
            <w:pStyle w:val="TOC3"/>
            <w:tabs>
              <w:tab w:val="right" w:leader="dot" w:pos="10308"/>
            </w:tabs>
            <w:rPr>
              <w:rFonts w:asciiTheme="minorHAnsi" w:eastAsiaTheme="minorEastAsia" w:hAnsiTheme="minorHAnsi" w:cstheme="minorBidi"/>
              <w:noProof/>
              <w:lang w:eastAsia="en-AU"/>
            </w:rPr>
          </w:pPr>
          <w:hyperlink w:anchor="_Toc112051883" w:history="1">
            <w:r w:rsidRPr="009C799F">
              <w:rPr>
                <w:rStyle w:val="Hyperlink"/>
                <w:noProof/>
              </w:rPr>
              <w:t>5.2.3. Mandatory Sentencing and Reform of Community Based Sentencing Options</w:t>
            </w:r>
            <w:r>
              <w:rPr>
                <w:noProof/>
                <w:webHidden/>
              </w:rPr>
              <w:tab/>
            </w:r>
            <w:r>
              <w:rPr>
                <w:noProof/>
                <w:webHidden/>
              </w:rPr>
              <w:fldChar w:fldCharType="begin"/>
            </w:r>
            <w:r>
              <w:rPr>
                <w:noProof/>
                <w:webHidden/>
              </w:rPr>
              <w:instrText xml:space="preserve"> PAGEREF _Toc112051883 \h </w:instrText>
            </w:r>
            <w:r>
              <w:rPr>
                <w:noProof/>
                <w:webHidden/>
              </w:rPr>
            </w:r>
            <w:r>
              <w:rPr>
                <w:noProof/>
                <w:webHidden/>
              </w:rPr>
              <w:fldChar w:fldCharType="separate"/>
            </w:r>
            <w:r>
              <w:rPr>
                <w:noProof/>
                <w:webHidden/>
              </w:rPr>
              <w:t>104</w:t>
            </w:r>
            <w:r>
              <w:rPr>
                <w:noProof/>
                <w:webHidden/>
              </w:rPr>
              <w:fldChar w:fldCharType="end"/>
            </w:r>
          </w:hyperlink>
        </w:p>
        <w:p w14:paraId="6C9D8CE2" w14:textId="5EEB781C" w:rsidR="00F533FD" w:rsidRDefault="00F533FD">
          <w:pPr>
            <w:pStyle w:val="TOC3"/>
            <w:tabs>
              <w:tab w:val="right" w:leader="dot" w:pos="10308"/>
            </w:tabs>
            <w:rPr>
              <w:rFonts w:asciiTheme="minorHAnsi" w:eastAsiaTheme="minorEastAsia" w:hAnsiTheme="minorHAnsi" w:cstheme="minorBidi"/>
              <w:noProof/>
              <w:lang w:eastAsia="en-AU"/>
            </w:rPr>
          </w:pPr>
          <w:hyperlink w:anchor="_Toc112051884" w:history="1">
            <w:r w:rsidRPr="009C799F">
              <w:rPr>
                <w:rStyle w:val="Hyperlink"/>
                <w:noProof/>
              </w:rPr>
              <w:t>5.2.4. DFV analysis to inform Government initiatives</w:t>
            </w:r>
            <w:r>
              <w:rPr>
                <w:noProof/>
                <w:webHidden/>
              </w:rPr>
              <w:tab/>
            </w:r>
            <w:r>
              <w:rPr>
                <w:noProof/>
                <w:webHidden/>
              </w:rPr>
              <w:fldChar w:fldCharType="begin"/>
            </w:r>
            <w:r>
              <w:rPr>
                <w:noProof/>
                <w:webHidden/>
              </w:rPr>
              <w:instrText xml:space="preserve"> PAGEREF _Toc112051884 \h </w:instrText>
            </w:r>
            <w:r>
              <w:rPr>
                <w:noProof/>
                <w:webHidden/>
              </w:rPr>
            </w:r>
            <w:r>
              <w:rPr>
                <w:noProof/>
                <w:webHidden/>
              </w:rPr>
              <w:fldChar w:fldCharType="separate"/>
            </w:r>
            <w:r>
              <w:rPr>
                <w:noProof/>
                <w:webHidden/>
              </w:rPr>
              <w:t>105</w:t>
            </w:r>
            <w:r>
              <w:rPr>
                <w:noProof/>
                <w:webHidden/>
              </w:rPr>
              <w:fldChar w:fldCharType="end"/>
            </w:r>
          </w:hyperlink>
        </w:p>
        <w:p w14:paraId="7332BB33" w14:textId="562A880B" w:rsidR="00F533FD" w:rsidRDefault="00F533FD">
          <w:pPr>
            <w:pStyle w:val="TOC2"/>
            <w:rPr>
              <w:rFonts w:asciiTheme="minorHAnsi" w:eastAsiaTheme="minorEastAsia" w:hAnsiTheme="minorHAnsi" w:cstheme="minorBidi"/>
              <w:noProof/>
              <w:lang w:eastAsia="en-AU"/>
            </w:rPr>
          </w:pPr>
          <w:hyperlink w:anchor="_Toc112051885" w:history="1">
            <w:r w:rsidRPr="009C799F">
              <w:rPr>
                <w:rStyle w:val="Hyperlink"/>
                <w:noProof/>
                <w:lang w:eastAsia="en-AU"/>
              </w:rPr>
              <w:t>5.3. Building a more integrated system</w:t>
            </w:r>
            <w:r>
              <w:rPr>
                <w:noProof/>
                <w:webHidden/>
              </w:rPr>
              <w:tab/>
            </w:r>
            <w:r>
              <w:rPr>
                <w:noProof/>
                <w:webHidden/>
              </w:rPr>
              <w:fldChar w:fldCharType="begin"/>
            </w:r>
            <w:r>
              <w:rPr>
                <w:noProof/>
                <w:webHidden/>
              </w:rPr>
              <w:instrText xml:space="preserve"> PAGEREF _Toc112051885 \h </w:instrText>
            </w:r>
            <w:r>
              <w:rPr>
                <w:noProof/>
                <w:webHidden/>
              </w:rPr>
            </w:r>
            <w:r>
              <w:rPr>
                <w:noProof/>
                <w:webHidden/>
              </w:rPr>
              <w:fldChar w:fldCharType="separate"/>
            </w:r>
            <w:r>
              <w:rPr>
                <w:noProof/>
                <w:webHidden/>
              </w:rPr>
              <w:t>105</w:t>
            </w:r>
            <w:r>
              <w:rPr>
                <w:noProof/>
                <w:webHidden/>
              </w:rPr>
              <w:fldChar w:fldCharType="end"/>
            </w:r>
          </w:hyperlink>
        </w:p>
        <w:p w14:paraId="7C449287" w14:textId="5EF98684" w:rsidR="00F533FD" w:rsidRDefault="00F533FD">
          <w:pPr>
            <w:pStyle w:val="TOC3"/>
            <w:tabs>
              <w:tab w:val="right" w:leader="dot" w:pos="10308"/>
            </w:tabs>
            <w:rPr>
              <w:rFonts w:asciiTheme="minorHAnsi" w:eastAsiaTheme="minorEastAsia" w:hAnsiTheme="minorHAnsi" w:cstheme="minorBidi"/>
              <w:noProof/>
              <w:lang w:eastAsia="en-AU"/>
            </w:rPr>
          </w:pPr>
          <w:hyperlink w:anchor="_Toc112051886" w:history="1">
            <w:r w:rsidRPr="009C799F">
              <w:rPr>
                <w:rStyle w:val="Hyperlink"/>
                <w:noProof/>
                <w:lang w:eastAsia="en-AU"/>
              </w:rPr>
              <w:t>5.3.1. The experience of victim-survivors</w:t>
            </w:r>
            <w:r>
              <w:rPr>
                <w:noProof/>
                <w:webHidden/>
              </w:rPr>
              <w:tab/>
            </w:r>
            <w:r>
              <w:rPr>
                <w:noProof/>
                <w:webHidden/>
              </w:rPr>
              <w:fldChar w:fldCharType="begin"/>
            </w:r>
            <w:r>
              <w:rPr>
                <w:noProof/>
                <w:webHidden/>
              </w:rPr>
              <w:instrText xml:space="preserve"> PAGEREF _Toc112051886 \h </w:instrText>
            </w:r>
            <w:r>
              <w:rPr>
                <w:noProof/>
                <w:webHidden/>
              </w:rPr>
            </w:r>
            <w:r>
              <w:rPr>
                <w:noProof/>
                <w:webHidden/>
              </w:rPr>
              <w:fldChar w:fldCharType="separate"/>
            </w:r>
            <w:r>
              <w:rPr>
                <w:noProof/>
                <w:webHidden/>
              </w:rPr>
              <w:t>105</w:t>
            </w:r>
            <w:r>
              <w:rPr>
                <w:noProof/>
                <w:webHidden/>
              </w:rPr>
              <w:fldChar w:fldCharType="end"/>
            </w:r>
          </w:hyperlink>
        </w:p>
        <w:p w14:paraId="6DB640BF" w14:textId="1F1831DE" w:rsidR="00F533FD" w:rsidRDefault="00F533FD">
          <w:pPr>
            <w:pStyle w:val="TOC3"/>
            <w:tabs>
              <w:tab w:val="right" w:leader="dot" w:pos="10308"/>
            </w:tabs>
            <w:rPr>
              <w:rFonts w:asciiTheme="minorHAnsi" w:eastAsiaTheme="minorEastAsia" w:hAnsiTheme="minorHAnsi" w:cstheme="minorBidi"/>
              <w:noProof/>
              <w:lang w:eastAsia="en-AU"/>
            </w:rPr>
          </w:pPr>
          <w:hyperlink w:anchor="_Toc112051887" w:history="1">
            <w:r w:rsidRPr="009C799F">
              <w:rPr>
                <w:rStyle w:val="Hyperlink"/>
                <w:noProof/>
                <w:lang w:eastAsia="en-AU"/>
              </w:rPr>
              <w:t>5.3.2. Shared expectations of the justice responses</w:t>
            </w:r>
            <w:r>
              <w:rPr>
                <w:noProof/>
                <w:webHidden/>
              </w:rPr>
              <w:tab/>
            </w:r>
            <w:r>
              <w:rPr>
                <w:noProof/>
                <w:webHidden/>
              </w:rPr>
              <w:fldChar w:fldCharType="begin"/>
            </w:r>
            <w:r>
              <w:rPr>
                <w:noProof/>
                <w:webHidden/>
              </w:rPr>
              <w:instrText xml:space="preserve"> PAGEREF _Toc112051887 \h </w:instrText>
            </w:r>
            <w:r>
              <w:rPr>
                <w:noProof/>
                <w:webHidden/>
              </w:rPr>
            </w:r>
            <w:r>
              <w:rPr>
                <w:noProof/>
                <w:webHidden/>
              </w:rPr>
              <w:fldChar w:fldCharType="separate"/>
            </w:r>
            <w:r>
              <w:rPr>
                <w:noProof/>
                <w:webHidden/>
              </w:rPr>
              <w:t>105</w:t>
            </w:r>
            <w:r>
              <w:rPr>
                <w:noProof/>
                <w:webHidden/>
              </w:rPr>
              <w:fldChar w:fldCharType="end"/>
            </w:r>
          </w:hyperlink>
        </w:p>
        <w:p w14:paraId="03DEDB66" w14:textId="66327469" w:rsidR="00F533FD" w:rsidRDefault="00F533FD">
          <w:pPr>
            <w:pStyle w:val="TOC3"/>
            <w:tabs>
              <w:tab w:val="right" w:leader="dot" w:pos="10308"/>
            </w:tabs>
            <w:rPr>
              <w:rFonts w:asciiTheme="minorHAnsi" w:eastAsiaTheme="minorEastAsia" w:hAnsiTheme="minorHAnsi" w:cstheme="minorBidi"/>
              <w:noProof/>
              <w:lang w:eastAsia="en-AU"/>
            </w:rPr>
          </w:pPr>
          <w:hyperlink w:anchor="_Toc112051888" w:history="1">
            <w:r w:rsidRPr="009C799F">
              <w:rPr>
                <w:rStyle w:val="Hyperlink"/>
                <w:noProof/>
              </w:rPr>
              <w:t>5.3.3. An ‘integrated’ response to DFV</w:t>
            </w:r>
            <w:r>
              <w:rPr>
                <w:noProof/>
                <w:webHidden/>
              </w:rPr>
              <w:tab/>
            </w:r>
            <w:r>
              <w:rPr>
                <w:noProof/>
                <w:webHidden/>
              </w:rPr>
              <w:fldChar w:fldCharType="begin"/>
            </w:r>
            <w:r>
              <w:rPr>
                <w:noProof/>
                <w:webHidden/>
              </w:rPr>
              <w:instrText xml:space="preserve"> PAGEREF _Toc112051888 \h </w:instrText>
            </w:r>
            <w:r>
              <w:rPr>
                <w:noProof/>
                <w:webHidden/>
              </w:rPr>
            </w:r>
            <w:r>
              <w:rPr>
                <w:noProof/>
                <w:webHidden/>
              </w:rPr>
              <w:fldChar w:fldCharType="separate"/>
            </w:r>
            <w:r>
              <w:rPr>
                <w:noProof/>
                <w:webHidden/>
              </w:rPr>
              <w:t>107</w:t>
            </w:r>
            <w:r>
              <w:rPr>
                <w:noProof/>
                <w:webHidden/>
              </w:rPr>
              <w:fldChar w:fldCharType="end"/>
            </w:r>
          </w:hyperlink>
        </w:p>
        <w:p w14:paraId="17937CD9" w14:textId="404E4D1A" w:rsidR="00F533FD" w:rsidRDefault="00F533FD">
          <w:pPr>
            <w:pStyle w:val="TOC2"/>
            <w:rPr>
              <w:rFonts w:asciiTheme="minorHAnsi" w:eastAsiaTheme="minorEastAsia" w:hAnsiTheme="minorHAnsi" w:cstheme="minorBidi"/>
              <w:noProof/>
              <w:lang w:eastAsia="en-AU"/>
            </w:rPr>
          </w:pPr>
          <w:hyperlink w:anchor="_Toc112051889" w:history="1">
            <w:r w:rsidRPr="009C799F">
              <w:rPr>
                <w:rStyle w:val="Hyperlink"/>
                <w:noProof/>
                <w:lang w:eastAsia="en-AU"/>
              </w:rPr>
              <w:t>5.1. Coercive Control Prevention and Reform</w:t>
            </w:r>
            <w:r>
              <w:rPr>
                <w:noProof/>
                <w:webHidden/>
              </w:rPr>
              <w:tab/>
            </w:r>
            <w:r>
              <w:rPr>
                <w:noProof/>
                <w:webHidden/>
              </w:rPr>
              <w:fldChar w:fldCharType="begin"/>
            </w:r>
            <w:r>
              <w:rPr>
                <w:noProof/>
                <w:webHidden/>
              </w:rPr>
              <w:instrText xml:space="preserve"> PAGEREF _Toc112051889 \h </w:instrText>
            </w:r>
            <w:r>
              <w:rPr>
                <w:noProof/>
                <w:webHidden/>
              </w:rPr>
            </w:r>
            <w:r>
              <w:rPr>
                <w:noProof/>
                <w:webHidden/>
              </w:rPr>
              <w:fldChar w:fldCharType="separate"/>
            </w:r>
            <w:r>
              <w:rPr>
                <w:noProof/>
                <w:webHidden/>
              </w:rPr>
              <w:t>108</w:t>
            </w:r>
            <w:r>
              <w:rPr>
                <w:noProof/>
                <w:webHidden/>
              </w:rPr>
              <w:fldChar w:fldCharType="end"/>
            </w:r>
          </w:hyperlink>
        </w:p>
        <w:p w14:paraId="10294B6E" w14:textId="6346C450" w:rsidR="00F533FD" w:rsidRDefault="00F533FD">
          <w:pPr>
            <w:pStyle w:val="TOC2"/>
            <w:rPr>
              <w:rFonts w:asciiTheme="minorHAnsi" w:eastAsiaTheme="minorEastAsia" w:hAnsiTheme="minorHAnsi" w:cstheme="minorBidi"/>
              <w:noProof/>
              <w:lang w:eastAsia="en-AU"/>
            </w:rPr>
          </w:pPr>
          <w:hyperlink w:anchor="_Toc112051890" w:history="1">
            <w:r w:rsidRPr="009C799F">
              <w:rPr>
                <w:rStyle w:val="Hyperlink"/>
                <w:noProof/>
                <w:lang w:eastAsia="en-AU"/>
              </w:rPr>
              <w:t>5.2. Specialist DFV court approaches</w:t>
            </w:r>
            <w:r>
              <w:rPr>
                <w:noProof/>
                <w:webHidden/>
              </w:rPr>
              <w:tab/>
            </w:r>
            <w:r>
              <w:rPr>
                <w:noProof/>
                <w:webHidden/>
              </w:rPr>
              <w:fldChar w:fldCharType="begin"/>
            </w:r>
            <w:r>
              <w:rPr>
                <w:noProof/>
                <w:webHidden/>
              </w:rPr>
              <w:instrText xml:space="preserve"> PAGEREF _Toc112051890 \h </w:instrText>
            </w:r>
            <w:r>
              <w:rPr>
                <w:noProof/>
                <w:webHidden/>
              </w:rPr>
            </w:r>
            <w:r>
              <w:rPr>
                <w:noProof/>
                <w:webHidden/>
              </w:rPr>
              <w:fldChar w:fldCharType="separate"/>
            </w:r>
            <w:r>
              <w:rPr>
                <w:noProof/>
                <w:webHidden/>
              </w:rPr>
              <w:t>109</w:t>
            </w:r>
            <w:r>
              <w:rPr>
                <w:noProof/>
                <w:webHidden/>
              </w:rPr>
              <w:fldChar w:fldCharType="end"/>
            </w:r>
          </w:hyperlink>
        </w:p>
        <w:p w14:paraId="1B3F7016" w14:textId="48B61A52" w:rsidR="00F533FD" w:rsidRDefault="00F533FD">
          <w:pPr>
            <w:pStyle w:val="TOC3"/>
            <w:tabs>
              <w:tab w:val="right" w:leader="dot" w:pos="10308"/>
            </w:tabs>
            <w:rPr>
              <w:rFonts w:asciiTheme="minorHAnsi" w:eastAsiaTheme="minorEastAsia" w:hAnsiTheme="minorHAnsi" w:cstheme="minorBidi"/>
              <w:noProof/>
              <w:lang w:eastAsia="en-AU"/>
            </w:rPr>
          </w:pPr>
          <w:hyperlink w:anchor="_Toc112051891" w:history="1">
            <w:r w:rsidRPr="009C799F">
              <w:rPr>
                <w:rStyle w:val="Hyperlink"/>
                <w:noProof/>
              </w:rPr>
              <w:t>5.2.1. Features of specialist DFV courts</w:t>
            </w:r>
            <w:r>
              <w:rPr>
                <w:noProof/>
                <w:webHidden/>
              </w:rPr>
              <w:tab/>
            </w:r>
            <w:r>
              <w:rPr>
                <w:noProof/>
                <w:webHidden/>
              </w:rPr>
              <w:fldChar w:fldCharType="begin"/>
            </w:r>
            <w:r>
              <w:rPr>
                <w:noProof/>
                <w:webHidden/>
              </w:rPr>
              <w:instrText xml:space="preserve"> PAGEREF _Toc112051891 \h </w:instrText>
            </w:r>
            <w:r>
              <w:rPr>
                <w:noProof/>
                <w:webHidden/>
              </w:rPr>
            </w:r>
            <w:r>
              <w:rPr>
                <w:noProof/>
                <w:webHidden/>
              </w:rPr>
              <w:fldChar w:fldCharType="separate"/>
            </w:r>
            <w:r>
              <w:rPr>
                <w:noProof/>
                <w:webHidden/>
              </w:rPr>
              <w:t>109</w:t>
            </w:r>
            <w:r>
              <w:rPr>
                <w:noProof/>
                <w:webHidden/>
              </w:rPr>
              <w:fldChar w:fldCharType="end"/>
            </w:r>
          </w:hyperlink>
        </w:p>
        <w:p w14:paraId="6BBBCD83" w14:textId="41085691" w:rsidR="00F533FD" w:rsidRDefault="00F533FD">
          <w:pPr>
            <w:pStyle w:val="TOC3"/>
            <w:tabs>
              <w:tab w:val="right" w:leader="dot" w:pos="10308"/>
            </w:tabs>
            <w:rPr>
              <w:rFonts w:asciiTheme="minorHAnsi" w:eastAsiaTheme="minorEastAsia" w:hAnsiTheme="minorHAnsi" w:cstheme="minorBidi"/>
              <w:noProof/>
              <w:lang w:eastAsia="en-AU"/>
            </w:rPr>
          </w:pPr>
          <w:hyperlink w:anchor="_Toc112051892" w:history="1">
            <w:r w:rsidRPr="009C799F">
              <w:rPr>
                <w:rStyle w:val="Hyperlink"/>
                <w:noProof/>
              </w:rPr>
              <w:t>5.2.2. The Alice Springs Specialist Approach to DFV</w:t>
            </w:r>
            <w:r>
              <w:rPr>
                <w:noProof/>
                <w:webHidden/>
              </w:rPr>
              <w:tab/>
            </w:r>
            <w:r>
              <w:rPr>
                <w:noProof/>
                <w:webHidden/>
              </w:rPr>
              <w:fldChar w:fldCharType="begin"/>
            </w:r>
            <w:r>
              <w:rPr>
                <w:noProof/>
                <w:webHidden/>
              </w:rPr>
              <w:instrText xml:space="preserve"> PAGEREF _Toc112051892 \h </w:instrText>
            </w:r>
            <w:r>
              <w:rPr>
                <w:noProof/>
                <w:webHidden/>
              </w:rPr>
            </w:r>
            <w:r>
              <w:rPr>
                <w:noProof/>
                <w:webHidden/>
              </w:rPr>
              <w:fldChar w:fldCharType="separate"/>
            </w:r>
            <w:r>
              <w:rPr>
                <w:noProof/>
                <w:webHidden/>
              </w:rPr>
              <w:t>110</w:t>
            </w:r>
            <w:r>
              <w:rPr>
                <w:noProof/>
                <w:webHidden/>
              </w:rPr>
              <w:fldChar w:fldCharType="end"/>
            </w:r>
          </w:hyperlink>
        </w:p>
        <w:p w14:paraId="1EC80C69" w14:textId="1F141D04" w:rsidR="00F533FD" w:rsidRDefault="00F533FD">
          <w:pPr>
            <w:pStyle w:val="TOC2"/>
            <w:rPr>
              <w:rFonts w:asciiTheme="minorHAnsi" w:eastAsiaTheme="minorEastAsia" w:hAnsiTheme="minorHAnsi" w:cstheme="minorBidi"/>
              <w:noProof/>
              <w:lang w:eastAsia="en-AU"/>
            </w:rPr>
          </w:pPr>
          <w:hyperlink w:anchor="_Toc112051893" w:history="1">
            <w:r w:rsidRPr="009C799F">
              <w:rPr>
                <w:rStyle w:val="Hyperlink"/>
                <w:noProof/>
              </w:rPr>
              <w:t>5.3. Improved policing of DFV</w:t>
            </w:r>
            <w:r>
              <w:rPr>
                <w:noProof/>
                <w:webHidden/>
              </w:rPr>
              <w:tab/>
            </w:r>
            <w:r>
              <w:rPr>
                <w:noProof/>
                <w:webHidden/>
              </w:rPr>
              <w:fldChar w:fldCharType="begin"/>
            </w:r>
            <w:r>
              <w:rPr>
                <w:noProof/>
                <w:webHidden/>
              </w:rPr>
              <w:instrText xml:space="preserve"> PAGEREF _Toc112051893 \h </w:instrText>
            </w:r>
            <w:r>
              <w:rPr>
                <w:noProof/>
                <w:webHidden/>
              </w:rPr>
            </w:r>
            <w:r>
              <w:rPr>
                <w:noProof/>
                <w:webHidden/>
              </w:rPr>
              <w:fldChar w:fldCharType="separate"/>
            </w:r>
            <w:r>
              <w:rPr>
                <w:noProof/>
                <w:webHidden/>
              </w:rPr>
              <w:t>114</w:t>
            </w:r>
            <w:r>
              <w:rPr>
                <w:noProof/>
                <w:webHidden/>
              </w:rPr>
              <w:fldChar w:fldCharType="end"/>
            </w:r>
          </w:hyperlink>
        </w:p>
        <w:p w14:paraId="7B90C852" w14:textId="653A2768" w:rsidR="00F533FD" w:rsidRDefault="00F533FD">
          <w:pPr>
            <w:pStyle w:val="TOC3"/>
            <w:tabs>
              <w:tab w:val="right" w:leader="dot" w:pos="10308"/>
            </w:tabs>
            <w:rPr>
              <w:rFonts w:asciiTheme="minorHAnsi" w:eastAsiaTheme="minorEastAsia" w:hAnsiTheme="minorHAnsi" w:cstheme="minorBidi"/>
              <w:noProof/>
              <w:lang w:eastAsia="en-AU"/>
            </w:rPr>
          </w:pPr>
          <w:hyperlink w:anchor="_Toc112051894" w:history="1">
            <w:r w:rsidRPr="009C799F">
              <w:rPr>
                <w:rStyle w:val="Hyperlink"/>
                <w:noProof/>
              </w:rPr>
              <w:t>5.3.1. The experience of victim-survivors</w:t>
            </w:r>
            <w:r>
              <w:rPr>
                <w:noProof/>
                <w:webHidden/>
              </w:rPr>
              <w:tab/>
            </w:r>
            <w:r>
              <w:rPr>
                <w:noProof/>
                <w:webHidden/>
              </w:rPr>
              <w:fldChar w:fldCharType="begin"/>
            </w:r>
            <w:r>
              <w:rPr>
                <w:noProof/>
                <w:webHidden/>
              </w:rPr>
              <w:instrText xml:space="preserve"> PAGEREF _Toc112051894 \h </w:instrText>
            </w:r>
            <w:r>
              <w:rPr>
                <w:noProof/>
                <w:webHidden/>
              </w:rPr>
            </w:r>
            <w:r>
              <w:rPr>
                <w:noProof/>
                <w:webHidden/>
              </w:rPr>
              <w:fldChar w:fldCharType="separate"/>
            </w:r>
            <w:r>
              <w:rPr>
                <w:noProof/>
                <w:webHidden/>
              </w:rPr>
              <w:t>114</w:t>
            </w:r>
            <w:r>
              <w:rPr>
                <w:noProof/>
                <w:webHidden/>
              </w:rPr>
              <w:fldChar w:fldCharType="end"/>
            </w:r>
          </w:hyperlink>
        </w:p>
        <w:p w14:paraId="7C61EA1F" w14:textId="63C77701" w:rsidR="00F533FD" w:rsidRDefault="00F533FD">
          <w:pPr>
            <w:pStyle w:val="TOC3"/>
            <w:tabs>
              <w:tab w:val="right" w:leader="dot" w:pos="10308"/>
            </w:tabs>
            <w:rPr>
              <w:rFonts w:asciiTheme="minorHAnsi" w:eastAsiaTheme="minorEastAsia" w:hAnsiTheme="minorHAnsi" w:cstheme="minorBidi"/>
              <w:noProof/>
              <w:lang w:eastAsia="en-AU"/>
            </w:rPr>
          </w:pPr>
          <w:hyperlink w:anchor="_Toc112051895" w:history="1">
            <w:r w:rsidRPr="009C799F">
              <w:rPr>
                <w:rStyle w:val="Hyperlink"/>
                <w:noProof/>
              </w:rPr>
              <w:t>5.3.2. Issues raised in this review</w:t>
            </w:r>
            <w:r>
              <w:rPr>
                <w:noProof/>
                <w:webHidden/>
              </w:rPr>
              <w:tab/>
            </w:r>
            <w:r>
              <w:rPr>
                <w:noProof/>
                <w:webHidden/>
              </w:rPr>
              <w:fldChar w:fldCharType="begin"/>
            </w:r>
            <w:r>
              <w:rPr>
                <w:noProof/>
                <w:webHidden/>
              </w:rPr>
              <w:instrText xml:space="preserve"> PAGEREF _Toc112051895 \h </w:instrText>
            </w:r>
            <w:r>
              <w:rPr>
                <w:noProof/>
                <w:webHidden/>
              </w:rPr>
            </w:r>
            <w:r>
              <w:rPr>
                <w:noProof/>
                <w:webHidden/>
              </w:rPr>
              <w:fldChar w:fldCharType="separate"/>
            </w:r>
            <w:r>
              <w:rPr>
                <w:noProof/>
                <w:webHidden/>
              </w:rPr>
              <w:t>114</w:t>
            </w:r>
            <w:r>
              <w:rPr>
                <w:noProof/>
                <w:webHidden/>
              </w:rPr>
              <w:fldChar w:fldCharType="end"/>
            </w:r>
          </w:hyperlink>
        </w:p>
        <w:p w14:paraId="535F9CAC" w14:textId="1092CE1E" w:rsidR="00F533FD" w:rsidRDefault="00F533FD">
          <w:pPr>
            <w:pStyle w:val="TOC3"/>
            <w:tabs>
              <w:tab w:val="right" w:leader="dot" w:pos="10308"/>
            </w:tabs>
            <w:rPr>
              <w:rFonts w:asciiTheme="minorHAnsi" w:eastAsiaTheme="minorEastAsia" w:hAnsiTheme="minorHAnsi" w:cstheme="minorBidi"/>
              <w:noProof/>
              <w:lang w:eastAsia="en-AU"/>
            </w:rPr>
          </w:pPr>
          <w:hyperlink w:anchor="_Toc112051896" w:history="1">
            <w:r w:rsidRPr="009C799F">
              <w:rPr>
                <w:rStyle w:val="Hyperlink"/>
                <w:noProof/>
              </w:rPr>
              <w:t>5.3.3. Experience in other jurisdictions</w:t>
            </w:r>
            <w:r>
              <w:rPr>
                <w:noProof/>
                <w:webHidden/>
              </w:rPr>
              <w:tab/>
            </w:r>
            <w:r>
              <w:rPr>
                <w:noProof/>
                <w:webHidden/>
              </w:rPr>
              <w:fldChar w:fldCharType="begin"/>
            </w:r>
            <w:r>
              <w:rPr>
                <w:noProof/>
                <w:webHidden/>
              </w:rPr>
              <w:instrText xml:space="preserve"> PAGEREF _Toc112051896 \h </w:instrText>
            </w:r>
            <w:r>
              <w:rPr>
                <w:noProof/>
                <w:webHidden/>
              </w:rPr>
            </w:r>
            <w:r>
              <w:rPr>
                <w:noProof/>
                <w:webHidden/>
              </w:rPr>
              <w:fldChar w:fldCharType="separate"/>
            </w:r>
            <w:r>
              <w:rPr>
                <w:noProof/>
                <w:webHidden/>
              </w:rPr>
              <w:t>116</w:t>
            </w:r>
            <w:r>
              <w:rPr>
                <w:noProof/>
                <w:webHidden/>
              </w:rPr>
              <w:fldChar w:fldCharType="end"/>
            </w:r>
          </w:hyperlink>
        </w:p>
        <w:p w14:paraId="160A649A" w14:textId="6D1BEEEF" w:rsidR="00F533FD" w:rsidRDefault="00F533FD">
          <w:pPr>
            <w:pStyle w:val="TOC3"/>
            <w:tabs>
              <w:tab w:val="right" w:leader="dot" w:pos="10308"/>
            </w:tabs>
            <w:rPr>
              <w:rFonts w:asciiTheme="minorHAnsi" w:eastAsiaTheme="minorEastAsia" w:hAnsiTheme="minorHAnsi" w:cstheme="minorBidi"/>
              <w:noProof/>
              <w:lang w:eastAsia="en-AU"/>
            </w:rPr>
          </w:pPr>
          <w:hyperlink w:anchor="_Toc112051897" w:history="1">
            <w:r w:rsidRPr="009C799F">
              <w:rPr>
                <w:rStyle w:val="Hyperlink"/>
                <w:noProof/>
              </w:rPr>
              <w:t>5.3.4. Police responses ‘change lives and save lives’</w:t>
            </w:r>
            <w:r>
              <w:rPr>
                <w:noProof/>
                <w:webHidden/>
              </w:rPr>
              <w:tab/>
            </w:r>
            <w:r>
              <w:rPr>
                <w:noProof/>
                <w:webHidden/>
              </w:rPr>
              <w:fldChar w:fldCharType="begin"/>
            </w:r>
            <w:r>
              <w:rPr>
                <w:noProof/>
                <w:webHidden/>
              </w:rPr>
              <w:instrText xml:space="preserve"> PAGEREF _Toc112051897 \h </w:instrText>
            </w:r>
            <w:r>
              <w:rPr>
                <w:noProof/>
                <w:webHidden/>
              </w:rPr>
            </w:r>
            <w:r>
              <w:rPr>
                <w:noProof/>
                <w:webHidden/>
              </w:rPr>
              <w:fldChar w:fldCharType="separate"/>
            </w:r>
            <w:r>
              <w:rPr>
                <w:noProof/>
                <w:webHidden/>
              </w:rPr>
              <w:t>116</w:t>
            </w:r>
            <w:r>
              <w:rPr>
                <w:noProof/>
                <w:webHidden/>
              </w:rPr>
              <w:fldChar w:fldCharType="end"/>
            </w:r>
          </w:hyperlink>
        </w:p>
        <w:p w14:paraId="27C233ED" w14:textId="5EE638D4" w:rsidR="00F533FD" w:rsidRDefault="00F533FD">
          <w:pPr>
            <w:pStyle w:val="TOC3"/>
            <w:tabs>
              <w:tab w:val="right" w:leader="dot" w:pos="10308"/>
            </w:tabs>
            <w:rPr>
              <w:rFonts w:asciiTheme="minorHAnsi" w:eastAsiaTheme="minorEastAsia" w:hAnsiTheme="minorHAnsi" w:cstheme="minorBidi"/>
              <w:noProof/>
              <w:lang w:eastAsia="en-AU"/>
            </w:rPr>
          </w:pPr>
          <w:hyperlink w:anchor="_Toc112051898" w:history="1">
            <w:r w:rsidRPr="009C799F">
              <w:rPr>
                <w:rStyle w:val="Hyperlink"/>
                <w:noProof/>
              </w:rPr>
              <w:t>5.3.5. Police powers for proactive policing of DFV</w:t>
            </w:r>
            <w:r>
              <w:rPr>
                <w:noProof/>
                <w:webHidden/>
              </w:rPr>
              <w:tab/>
            </w:r>
            <w:r>
              <w:rPr>
                <w:noProof/>
                <w:webHidden/>
              </w:rPr>
              <w:fldChar w:fldCharType="begin"/>
            </w:r>
            <w:r>
              <w:rPr>
                <w:noProof/>
                <w:webHidden/>
              </w:rPr>
              <w:instrText xml:space="preserve"> PAGEREF _Toc112051898 \h </w:instrText>
            </w:r>
            <w:r>
              <w:rPr>
                <w:noProof/>
                <w:webHidden/>
              </w:rPr>
            </w:r>
            <w:r>
              <w:rPr>
                <w:noProof/>
                <w:webHidden/>
              </w:rPr>
              <w:fldChar w:fldCharType="separate"/>
            </w:r>
            <w:r>
              <w:rPr>
                <w:noProof/>
                <w:webHidden/>
              </w:rPr>
              <w:t>117</w:t>
            </w:r>
            <w:r>
              <w:rPr>
                <w:noProof/>
                <w:webHidden/>
              </w:rPr>
              <w:fldChar w:fldCharType="end"/>
            </w:r>
          </w:hyperlink>
        </w:p>
        <w:p w14:paraId="604EC59D" w14:textId="58F993C4" w:rsidR="00F533FD" w:rsidRDefault="00F533FD">
          <w:pPr>
            <w:pStyle w:val="TOC3"/>
            <w:tabs>
              <w:tab w:val="right" w:leader="dot" w:pos="10308"/>
            </w:tabs>
            <w:rPr>
              <w:rFonts w:asciiTheme="minorHAnsi" w:eastAsiaTheme="minorEastAsia" w:hAnsiTheme="minorHAnsi" w:cstheme="minorBidi"/>
              <w:noProof/>
              <w:lang w:eastAsia="en-AU"/>
            </w:rPr>
          </w:pPr>
          <w:hyperlink w:anchor="_Toc112051899" w:history="1">
            <w:r w:rsidRPr="009C799F">
              <w:rPr>
                <w:rStyle w:val="Hyperlink"/>
                <w:noProof/>
              </w:rPr>
              <w:t>5.3.6. Coronial recommendations</w:t>
            </w:r>
            <w:r>
              <w:rPr>
                <w:noProof/>
                <w:webHidden/>
              </w:rPr>
              <w:tab/>
            </w:r>
            <w:r>
              <w:rPr>
                <w:noProof/>
                <w:webHidden/>
              </w:rPr>
              <w:fldChar w:fldCharType="begin"/>
            </w:r>
            <w:r>
              <w:rPr>
                <w:noProof/>
                <w:webHidden/>
              </w:rPr>
              <w:instrText xml:space="preserve"> PAGEREF _Toc112051899 \h </w:instrText>
            </w:r>
            <w:r>
              <w:rPr>
                <w:noProof/>
                <w:webHidden/>
              </w:rPr>
            </w:r>
            <w:r>
              <w:rPr>
                <w:noProof/>
                <w:webHidden/>
              </w:rPr>
              <w:fldChar w:fldCharType="separate"/>
            </w:r>
            <w:r>
              <w:rPr>
                <w:noProof/>
                <w:webHidden/>
              </w:rPr>
              <w:t>118</w:t>
            </w:r>
            <w:r>
              <w:rPr>
                <w:noProof/>
                <w:webHidden/>
              </w:rPr>
              <w:fldChar w:fldCharType="end"/>
            </w:r>
          </w:hyperlink>
        </w:p>
        <w:p w14:paraId="490012EB" w14:textId="60E5407B" w:rsidR="00F533FD" w:rsidRDefault="00F533FD">
          <w:pPr>
            <w:pStyle w:val="TOC3"/>
            <w:tabs>
              <w:tab w:val="right" w:leader="dot" w:pos="10308"/>
            </w:tabs>
            <w:rPr>
              <w:rFonts w:asciiTheme="minorHAnsi" w:eastAsiaTheme="minorEastAsia" w:hAnsiTheme="minorHAnsi" w:cstheme="minorBidi"/>
              <w:noProof/>
              <w:lang w:eastAsia="en-AU"/>
            </w:rPr>
          </w:pPr>
          <w:hyperlink w:anchor="_Toc112051900" w:history="1">
            <w:r w:rsidRPr="009C799F">
              <w:rPr>
                <w:rStyle w:val="Hyperlink"/>
                <w:noProof/>
              </w:rPr>
              <w:t>5.3.7. Proposals in relation to policing</w:t>
            </w:r>
            <w:r>
              <w:rPr>
                <w:noProof/>
                <w:webHidden/>
              </w:rPr>
              <w:tab/>
            </w:r>
            <w:r>
              <w:rPr>
                <w:noProof/>
                <w:webHidden/>
              </w:rPr>
              <w:fldChar w:fldCharType="begin"/>
            </w:r>
            <w:r>
              <w:rPr>
                <w:noProof/>
                <w:webHidden/>
              </w:rPr>
              <w:instrText xml:space="preserve"> PAGEREF _Toc112051900 \h </w:instrText>
            </w:r>
            <w:r>
              <w:rPr>
                <w:noProof/>
                <w:webHidden/>
              </w:rPr>
            </w:r>
            <w:r>
              <w:rPr>
                <w:noProof/>
                <w:webHidden/>
              </w:rPr>
              <w:fldChar w:fldCharType="separate"/>
            </w:r>
            <w:r>
              <w:rPr>
                <w:noProof/>
                <w:webHidden/>
              </w:rPr>
              <w:t>118</w:t>
            </w:r>
            <w:r>
              <w:rPr>
                <w:noProof/>
                <w:webHidden/>
              </w:rPr>
              <w:fldChar w:fldCharType="end"/>
            </w:r>
          </w:hyperlink>
        </w:p>
        <w:p w14:paraId="22E29704" w14:textId="1156A39D" w:rsidR="00F533FD" w:rsidRDefault="00F533FD">
          <w:pPr>
            <w:pStyle w:val="TOC2"/>
            <w:rPr>
              <w:rFonts w:asciiTheme="minorHAnsi" w:eastAsiaTheme="minorEastAsia" w:hAnsiTheme="minorHAnsi" w:cstheme="minorBidi"/>
              <w:noProof/>
              <w:lang w:eastAsia="en-AU"/>
            </w:rPr>
          </w:pPr>
          <w:hyperlink w:anchor="_Toc112051901" w:history="1">
            <w:r w:rsidRPr="009C799F">
              <w:rPr>
                <w:rStyle w:val="Hyperlink"/>
                <w:noProof/>
              </w:rPr>
              <w:t>5.4. Police referral to 24-hour specialist referral service</w:t>
            </w:r>
            <w:r>
              <w:rPr>
                <w:noProof/>
                <w:webHidden/>
              </w:rPr>
              <w:tab/>
            </w:r>
            <w:r>
              <w:rPr>
                <w:noProof/>
                <w:webHidden/>
              </w:rPr>
              <w:fldChar w:fldCharType="begin"/>
            </w:r>
            <w:r>
              <w:rPr>
                <w:noProof/>
                <w:webHidden/>
              </w:rPr>
              <w:instrText xml:space="preserve"> PAGEREF _Toc112051901 \h </w:instrText>
            </w:r>
            <w:r>
              <w:rPr>
                <w:noProof/>
                <w:webHidden/>
              </w:rPr>
            </w:r>
            <w:r>
              <w:rPr>
                <w:noProof/>
                <w:webHidden/>
              </w:rPr>
              <w:fldChar w:fldCharType="separate"/>
            </w:r>
            <w:r>
              <w:rPr>
                <w:noProof/>
                <w:webHidden/>
              </w:rPr>
              <w:t>120</w:t>
            </w:r>
            <w:r>
              <w:rPr>
                <w:noProof/>
                <w:webHidden/>
              </w:rPr>
              <w:fldChar w:fldCharType="end"/>
            </w:r>
          </w:hyperlink>
        </w:p>
        <w:p w14:paraId="69C83F87" w14:textId="1FFA00E9" w:rsidR="00F533FD" w:rsidRDefault="00F533FD">
          <w:pPr>
            <w:pStyle w:val="TOC2"/>
            <w:rPr>
              <w:rFonts w:asciiTheme="minorHAnsi" w:eastAsiaTheme="minorEastAsia" w:hAnsiTheme="minorHAnsi" w:cstheme="minorBidi"/>
              <w:noProof/>
              <w:lang w:eastAsia="en-AU"/>
            </w:rPr>
          </w:pPr>
          <w:hyperlink w:anchor="_Toc112051902" w:history="1">
            <w:r w:rsidRPr="009C799F">
              <w:rPr>
                <w:rStyle w:val="Hyperlink"/>
                <w:noProof/>
                <w:lang w:eastAsia="en-AU"/>
              </w:rPr>
              <w:t>5.5. Improved prosecution of DFV offences</w:t>
            </w:r>
            <w:r>
              <w:rPr>
                <w:noProof/>
                <w:webHidden/>
              </w:rPr>
              <w:tab/>
            </w:r>
            <w:r>
              <w:rPr>
                <w:noProof/>
                <w:webHidden/>
              </w:rPr>
              <w:fldChar w:fldCharType="begin"/>
            </w:r>
            <w:r>
              <w:rPr>
                <w:noProof/>
                <w:webHidden/>
              </w:rPr>
              <w:instrText xml:space="preserve"> PAGEREF _Toc112051902 \h </w:instrText>
            </w:r>
            <w:r>
              <w:rPr>
                <w:noProof/>
                <w:webHidden/>
              </w:rPr>
            </w:r>
            <w:r>
              <w:rPr>
                <w:noProof/>
                <w:webHidden/>
              </w:rPr>
              <w:fldChar w:fldCharType="separate"/>
            </w:r>
            <w:r>
              <w:rPr>
                <w:noProof/>
                <w:webHidden/>
              </w:rPr>
              <w:t>121</w:t>
            </w:r>
            <w:r>
              <w:rPr>
                <w:noProof/>
                <w:webHidden/>
              </w:rPr>
              <w:fldChar w:fldCharType="end"/>
            </w:r>
          </w:hyperlink>
        </w:p>
        <w:p w14:paraId="423A1E65" w14:textId="5BF7F0B0" w:rsidR="00F533FD" w:rsidRDefault="00F533FD">
          <w:pPr>
            <w:pStyle w:val="TOC2"/>
            <w:rPr>
              <w:rFonts w:asciiTheme="minorHAnsi" w:eastAsiaTheme="minorEastAsia" w:hAnsiTheme="minorHAnsi" w:cstheme="minorBidi"/>
              <w:noProof/>
              <w:lang w:eastAsia="en-AU"/>
            </w:rPr>
          </w:pPr>
          <w:hyperlink w:anchor="_Toc112051903" w:history="1">
            <w:r w:rsidRPr="009C799F">
              <w:rPr>
                <w:rStyle w:val="Hyperlink"/>
                <w:noProof/>
                <w:lang w:eastAsia="en-AU"/>
              </w:rPr>
              <w:t>5.6. Legal assistance for parties in DFV proceedings</w:t>
            </w:r>
            <w:r>
              <w:rPr>
                <w:noProof/>
                <w:webHidden/>
              </w:rPr>
              <w:tab/>
            </w:r>
            <w:r>
              <w:rPr>
                <w:noProof/>
                <w:webHidden/>
              </w:rPr>
              <w:fldChar w:fldCharType="begin"/>
            </w:r>
            <w:r>
              <w:rPr>
                <w:noProof/>
                <w:webHidden/>
              </w:rPr>
              <w:instrText xml:space="preserve"> PAGEREF _Toc112051903 \h </w:instrText>
            </w:r>
            <w:r>
              <w:rPr>
                <w:noProof/>
                <w:webHidden/>
              </w:rPr>
            </w:r>
            <w:r>
              <w:rPr>
                <w:noProof/>
                <w:webHidden/>
              </w:rPr>
              <w:fldChar w:fldCharType="separate"/>
            </w:r>
            <w:r>
              <w:rPr>
                <w:noProof/>
                <w:webHidden/>
              </w:rPr>
              <w:t>122</w:t>
            </w:r>
            <w:r>
              <w:rPr>
                <w:noProof/>
                <w:webHidden/>
              </w:rPr>
              <w:fldChar w:fldCharType="end"/>
            </w:r>
          </w:hyperlink>
        </w:p>
        <w:p w14:paraId="4AACE84D" w14:textId="0FC27B57" w:rsidR="00F533FD" w:rsidRDefault="00F533FD">
          <w:pPr>
            <w:pStyle w:val="TOC2"/>
            <w:rPr>
              <w:rFonts w:asciiTheme="minorHAnsi" w:eastAsiaTheme="minorEastAsia" w:hAnsiTheme="minorHAnsi" w:cstheme="minorBidi"/>
              <w:noProof/>
              <w:lang w:eastAsia="en-AU"/>
            </w:rPr>
          </w:pPr>
          <w:hyperlink w:anchor="_Toc112051904" w:history="1">
            <w:r w:rsidRPr="009C799F">
              <w:rPr>
                <w:rStyle w:val="Hyperlink"/>
                <w:noProof/>
                <w:lang w:eastAsia="en-AU"/>
              </w:rPr>
              <w:t>5.7. Non-legal support and assistance at Court</w:t>
            </w:r>
            <w:r>
              <w:rPr>
                <w:noProof/>
                <w:webHidden/>
              </w:rPr>
              <w:tab/>
            </w:r>
            <w:r>
              <w:rPr>
                <w:noProof/>
                <w:webHidden/>
              </w:rPr>
              <w:fldChar w:fldCharType="begin"/>
            </w:r>
            <w:r>
              <w:rPr>
                <w:noProof/>
                <w:webHidden/>
              </w:rPr>
              <w:instrText xml:space="preserve"> PAGEREF _Toc112051904 \h </w:instrText>
            </w:r>
            <w:r>
              <w:rPr>
                <w:noProof/>
                <w:webHidden/>
              </w:rPr>
            </w:r>
            <w:r>
              <w:rPr>
                <w:noProof/>
                <w:webHidden/>
              </w:rPr>
              <w:fldChar w:fldCharType="separate"/>
            </w:r>
            <w:r>
              <w:rPr>
                <w:noProof/>
                <w:webHidden/>
              </w:rPr>
              <w:t>124</w:t>
            </w:r>
            <w:r>
              <w:rPr>
                <w:noProof/>
                <w:webHidden/>
              </w:rPr>
              <w:fldChar w:fldCharType="end"/>
            </w:r>
          </w:hyperlink>
        </w:p>
        <w:p w14:paraId="6658A31E" w14:textId="00E4FEE0" w:rsidR="00F533FD" w:rsidRDefault="00F533FD">
          <w:pPr>
            <w:pStyle w:val="TOC2"/>
            <w:rPr>
              <w:rFonts w:asciiTheme="minorHAnsi" w:eastAsiaTheme="minorEastAsia" w:hAnsiTheme="minorHAnsi" w:cstheme="minorBidi"/>
              <w:noProof/>
              <w:lang w:eastAsia="en-AU"/>
            </w:rPr>
          </w:pPr>
          <w:hyperlink w:anchor="_Toc112051905" w:history="1">
            <w:r w:rsidRPr="009C799F">
              <w:rPr>
                <w:rStyle w:val="Hyperlink"/>
                <w:noProof/>
                <w:lang w:eastAsia="en-AU"/>
              </w:rPr>
              <w:t>5.8. Access to quality DFV perpetrator programs and services</w:t>
            </w:r>
            <w:r>
              <w:rPr>
                <w:noProof/>
                <w:webHidden/>
              </w:rPr>
              <w:tab/>
            </w:r>
            <w:r>
              <w:rPr>
                <w:noProof/>
                <w:webHidden/>
              </w:rPr>
              <w:fldChar w:fldCharType="begin"/>
            </w:r>
            <w:r>
              <w:rPr>
                <w:noProof/>
                <w:webHidden/>
              </w:rPr>
              <w:instrText xml:space="preserve"> PAGEREF _Toc112051905 \h </w:instrText>
            </w:r>
            <w:r>
              <w:rPr>
                <w:noProof/>
                <w:webHidden/>
              </w:rPr>
            </w:r>
            <w:r>
              <w:rPr>
                <w:noProof/>
                <w:webHidden/>
              </w:rPr>
              <w:fldChar w:fldCharType="separate"/>
            </w:r>
            <w:r>
              <w:rPr>
                <w:noProof/>
                <w:webHidden/>
              </w:rPr>
              <w:t>125</w:t>
            </w:r>
            <w:r>
              <w:rPr>
                <w:noProof/>
                <w:webHidden/>
              </w:rPr>
              <w:fldChar w:fldCharType="end"/>
            </w:r>
          </w:hyperlink>
        </w:p>
        <w:p w14:paraId="7176AB3C" w14:textId="010FC42E" w:rsidR="00F533FD" w:rsidRDefault="00F533FD">
          <w:pPr>
            <w:pStyle w:val="TOC2"/>
            <w:rPr>
              <w:rFonts w:asciiTheme="minorHAnsi" w:eastAsiaTheme="minorEastAsia" w:hAnsiTheme="minorHAnsi" w:cstheme="minorBidi"/>
              <w:noProof/>
              <w:lang w:eastAsia="en-AU"/>
            </w:rPr>
          </w:pPr>
          <w:hyperlink w:anchor="_Toc112051906" w:history="1">
            <w:r w:rsidRPr="009C799F">
              <w:rPr>
                <w:rStyle w:val="Hyperlink"/>
                <w:noProof/>
                <w:lang w:eastAsia="en-AU"/>
              </w:rPr>
              <w:t>5.9. Identifying DFV and managing risk of DFV</w:t>
            </w:r>
            <w:r>
              <w:rPr>
                <w:noProof/>
                <w:webHidden/>
              </w:rPr>
              <w:tab/>
            </w:r>
            <w:r>
              <w:rPr>
                <w:noProof/>
                <w:webHidden/>
              </w:rPr>
              <w:fldChar w:fldCharType="begin"/>
            </w:r>
            <w:r>
              <w:rPr>
                <w:noProof/>
                <w:webHidden/>
              </w:rPr>
              <w:instrText xml:space="preserve"> PAGEREF _Toc112051906 \h </w:instrText>
            </w:r>
            <w:r>
              <w:rPr>
                <w:noProof/>
                <w:webHidden/>
              </w:rPr>
            </w:r>
            <w:r>
              <w:rPr>
                <w:noProof/>
                <w:webHidden/>
              </w:rPr>
              <w:fldChar w:fldCharType="separate"/>
            </w:r>
            <w:r>
              <w:rPr>
                <w:noProof/>
                <w:webHidden/>
              </w:rPr>
              <w:t>130</w:t>
            </w:r>
            <w:r>
              <w:rPr>
                <w:noProof/>
                <w:webHidden/>
              </w:rPr>
              <w:fldChar w:fldCharType="end"/>
            </w:r>
          </w:hyperlink>
        </w:p>
        <w:p w14:paraId="709407DE" w14:textId="691C972A" w:rsidR="00F533FD" w:rsidRDefault="00F533FD">
          <w:pPr>
            <w:pStyle w:val="TOC2"/>
            <w:rPr>
              <w:rFonts w:asciiTheme="minorHAnsi" w:eastAsiaTheme="minorEastAsia" w:hAnsiTheme="minorHAnsi" w:cstheme="minorBidi"/>
              <w:noProof/>
              <w:lang w:eastAsia="en-AU"/>
            </w:rPr>
          </w:pPr>
          <w:hyperlink w:anchor="_Toc112051907" w:history="1">
            <w:r w:rsidRPr="009C799F">
              <w:rPr>
                <w:rStyle w:val="Hyperlink"/>
                <w:noProof/>
                <w:lang w:eastAsia="en-AU"/>
              </w:rPr>
              <w:t>5.10. Family Safety Framework (FSF)</w:t>
            </w:r>
            <w:r>
              <w:rPr>
                <w:noProof/>
                <w:webHidden/>
              </w:rPr>
              <w:tab/>
            </w:r>
            <w:r>
              <w:rPr>
                <w:noProof/>
                <w:webHidden/>
              </w:rPr>
              <w:fldChar w:fldCharType="begin"/>
            </w:r>
            <w:r>
              <w:rPr>
                <w:noProof/>
                <w:webHidden/>
              </w:rPr>
              <w:instrText xml:space="preserve"> PAGEREF _Toc112051907 \h </w:instrText>
            </w:r>
            <w:r>
              <w:rPr>
                <w:noProof/>
                <w:webHidden/>
              </w:rPr>
            </w:r>
            <w:r>
              <w:rPr>
                <w:noProof/>
                <w:webHidden/>
              </w:rPr>
              <w:fldChar w:fldCharType="separate"/>
            </w:r>
            <w:r>
              <w:rPr>
                <w:noProof/>
                <w:webHidden/>
              </w:rPr>
              <w:t>131</w:t>
            </w:r>
            <w:r>
              <w:rPr>
                <w:noProof/>
                <w:webHidden/>
              </w:rPr>
              <w:fldChar w:fldCharType="end"/>
            </w:r>
          </w:hyperlink>
        </w:p>
        <w:p w14:paraId="79FEBF37" w14:textId="334E0E62" w:rsidR="00F533FD" w:rsidRDefault="00F533FD">
          <w:pPr>
            <w:pStyle w:val="TOC2"/>
            <w:rPr>
              <w:rFonts w:asciiTheme="minorHAnsi" w:eastAsiaTheme="minorEastAsia" w:hAnsiTheme="minorHAnsi" w:cstheme="minorBidi"/>
              <w:noProof/>
              <w:lang w:eastAsia="en-AU"/>
            </w:rPr>
          </w:pPr>
          <w:hyperlink w:anchor="_Toc112051908" w:history="1">
            <w:r w:rsidRPr="009C799F">
              <w:rPr>
                <w:rStyle w:val="Hyperlink"/>
                <w:noProof/>
                <w:lang w:eastAsia="en-AU"/>
              </w:rPr>
              <w:t>5.11. Multi-Agency Children and Community Safety Teams / Framework</w:t>
            </w:r>
            <w:r>
              <w:rPr>
                <w:noProof/>
                <w:webHidden/>
              </w:rPr>
              <w:tab/>
            </w:r>
            <w:r>
              <w:rPr>
                <w:noProof/>
                <w:webHidden/>
              </w:rPr>
              <w:fldChar w:fldCharType="begin"/>
            </w:r>
            <w:r>
              <w:rPr>
                <w:noProof/>
                <w:webHidden/>
              </w:rPr>
              <w:instrText xml:space="preserve"> PAGEREF _Toc112051908 \h </w:instrText>
            </w:r>
            <w:r>
              <w:rPr>
                <w:noProof/>
                <w:webHidden/>
              </w:rPr>
            </w:r>
            <w:r>
              <w:rPr>
                <w:noProof/>
                <w:webHidden/>
              </w:rPr>
              <w:fldChar w:fldCharType="separate"/>
            </w:r>
            <w:r>
              <w:rPr>
                <w:noProof/>
                <w:webHidden/>
              </w:rPr>
              <w:t>132</w:t>
            </w:r>
            <w:r>
              <w:rPr>
                <w:noProof/>
                <w:webHidden/>
              </w:rPr>
              <w:fldChar w:fldCharType="end"/>
            </w:r>
          </w:hyperlink>
        </w:p>
        <w:p w14:paraId="3CFA8CA7" w14:textId="31349EB4" w:rsidR="00F533FD" w:rsidRDefault="00F533FD">
          <w:pPr>
            <w:pStyle w:val="TOC2"/>
            <w:rPr>
              <w:rFonts w:asciiTheme="minorHAnsi" w:eastAsiaTheme="minorEastAsia" w:hAnsiTheme="minorHAnsi" w:cstheme="minorBidi"/>
              <w:noProof/>
              <w:lang w:eastAsia="en-AU"/>
            </w:rPr>
          </w:pPr>
          <w:hyperlink w:anchor="_Toc112051909" w:history="1">
            <w:r w:rsidRPr="009C799F">
              <w:rPr>
                <w:rStyle w:val="Hyperlink"/>
                <w:noProof/>
                <w:lang w:eastAsia="en-AU"/>
              </w:rPr>
              <w:t>5.12. Systems DFV Death Review Process</w:t>
            </w:r>
            <w:r>
              <w:rPr>
                <w:noProof/>
                <w:webHidden/>
              </w:rPr>
              <w:tab/>
            </w:r>
            <w:r>
              <w:rPr>
                <w:noProof/>
                <w:webHidden/>
              </w:rPr>
              <w:fldChar w:fldCharType="begin"/>
            </w:r>
            <w:r>
              <w:rPr>
                <w:noProof/>
                <w:webHidden/>
              </w:rPr>
              <w:instrText xml:space="preserve"> PAGEREF _Toc112051909 \h </w:instrText>
            </w:r>
            <w:r>
              <w:rPr>
                <w:noProof/>
                <w:webHidden/>
              </w:rPr>
            </w:r>
            <w:r>
              <w:rPr>
                <w:noProof/>
                <w:webHidden/>
              </w:rPr>
              <w:fldChar w:fldCharType="separate"/>
            </w:r>
            <w:r>
              <w:rPr>
                <w:noProof/>
                <w:webHidden/>
              </w:rPr>
              <w:t>132</w:t>
            </w:r>
            <w:r>
              <w:rPr>
                <w:noProof/>
                <w:webHidden/>
              </w:rPr>
              <w:fldChar w:fldCharType="end"/>
            </w:r>
          </w:hyperlink>
        </w:p>
        <w:p w14:paraId="72F2BD41" w14:textId="576E97FF" w:rsidR="00F533FD" w:rsidRDefault="00F533FD">
          <w:pPr>
            <w:pStyle w:val="TOC2"/>
            <w:rPr>
              <w:rFonts w:asciiTheme="minorHAnsi" w:eastAsiaTheme="minorEastAsia" w:hAnsiTheme="minorHAnsi" w:cstheme="minorBidi"/>
              <w:noProof/>
              <w:lang w:eastAsia="en-AU"/>
            </w:rPr>
          </w:pPr>
          <w:hyperlink w:anchor="_Toc112051910" w:history="1">
            <w:r w:rsidRPr="009C799F">
              <w:rPr>
                <w:rStyle w:val="Hyperlink"/>
                <w:noProof/>
                <w:lang w:eastAsia="en-AU"/>
              </w:rPr>
              <w:t>5.13. Ongoing inter-agency leadership and governance</w:t>
            </w:r>
            <w:r>
              <w:rPr>
                <w:noProof/>
                <w:webHidden/>
              </w:rPr>
              <w:tab/>
            </w:r>
            <w:r>
              <w:rPr>
                <w:noProof/>
                <w:webHidden/>
              </w:rPr>
              <w:fldChar w:fldCharType="begin"/>
            </w:r>
            <w:r>
              <w:rPr>
                <w:noProof/>
                <w:webHidden/>
              </w:rPr>
              <w:instrText xml:space="preserve"> PAGEREF _Toc112051910 \h </w:instrText>
            </w:r>
            <w:r>
              <w:rPr>
                <w:noProof/>
                <w:webHidden/>
              </w:rPr>
            </w:r>
            <w:r>
              <w:rPr>
                <w:noProof/>
                <w:webHidden/>
              </w:rPr>
              <w:fldChar w:fldCharType="separate"/>
            </w:r>
            <w:r>
              <w:rPr>
                <w:noProof/>
                <w:webHidden/>
              </w:rPr>
              <w:t>133</w:t>
            </w:r>
            <w:r>
              <w:rPr>
                <w:noProof/>
                <w:webHidden/>
              </w:rPr>
              <w:fldChar w:fldCharType="end"/>
            </w:r>
          </w:hyperlink>
        </w:p>
        <w:p w14:paraId="6553579A" w14:textId="2367F60B" w:rsidR="00F533FD" w:rsidRDefault="00F533FD">
          <w:pPr>
            <w:pStyle w:val="TOC2"/>
            <w:rPr>
              <w:rFonts w:asciiTheme="minorHAnsi" w:eastAsiaTheme="minorEastAsia" w:hAnsiTheme="minorHAnsi" w:cstheme="minorBidi"/>
              <w:noProof/>
              <w:lang w:eastAsia="en-AU"/>
            </w:rPr>
          </w:pPr>
          <w:hyperlink w:anchor="_Toc112051911" w:history="1">
            <w:r w:rsidRPr="009C799F">
              <w:rPr>
                <w:rStyle w:val="Hyperlink"/>
                <w:noProof/>
                <w:lang w:eastAsia="en-AU"/>
              </w:rPr>
              <w:t>5.14. Questions to consider – Systemic reforms</w:t>
            </w:r>
            <w:r>
              <w:rPr>
                <w:noProof/>
                <w:webHidden/>
              </w:rPr>
              <w:tab/>
            </w:r>
            <w:r>
              <w:rPr>
                <w:noProof/>
                <w:webHidden/>
              </w:rPr>
              <w:fldChar w:fldCharType="begin"/>
            </w:r>
            <w:r>
              <w:rPr>
                <w:noProof/>
                <w:webHidden/>
              </w:rPr>
              <w:instrText xml:space="preserve"> PAGEREF _Toc112051911 \h </w:instrText>
            </w:r>
            <w:r>
              <w:rPr>
                <w:noProof/>
                <w:webHidden/>
              </w:rPr>
            </w:r>
            <w:r>
              <w:rPr>
                <w:noProof/>
                <w:webHidden/>
              </w:rPr>
              <w:fldChar w:fldCharType="separate"/>
            </w:r>
            <w:r>
              <w:rPr>
                <w:noProof/>
                <w:webHidden/>
              </w:rPr>
              <w:t>134</w:t>
            </w:r>
            <w:r>
              <w:rPr>
                <w:noProof/>
                <w:webHidden/>
              </w:rPr>
              <w:fldChar w:fldCharType="end"/>
            </w:r>
          </w:hyperlink>
        </w:p>
        <w:p w14:paraId="4954ABDA" w14:textId="2B191201" w:rsidR="00F533FD" w:rsidRDefault="00F533FD">
          <w:pPr>
            <w:pStyle w:val="TOC1"/>
            <w:rPr>
              <w:rFonts w:asciiTheme="minorHAnsi" w:eastAsiaTheme="minorEastAsia" w:hAnsiTheme="minorHAnsi" w:cstheme="minorBidi"/>
              <w:b w:val="0"/>
              <w:noProof/>
              <w:lang w:eastAsia="en-AU"/>
            </w:rPr>
          </w:pPr>
          <w:hyperlink w:anchor="_Toc112051912" w:history="1">
            <w:r w:rsidRPr="009C799F">
              <w:rPr>
                <w:rStyle w:val="Hyperlink"/>
                <w:noProof/>
                <w:lang w:eastAsia="en-AU"/>
              </w:rPr>
              <w:t>6. References</w:t>
            </w:r>
            <w:r>
              <w:rPr>
                <w:noProof/>
                <w:webHidden/>
              </w:rPr>
              <w:tab/>
            </w:r>
            <w:r>
              <w:rPr>
                <w:noProof/>
                <w:webHidden/>
              </w:rPr>
              <w:fldChar w:fldCharType="begin"/>
            </w:r>
            <w:r>
              <w:rPr>
                <w:noProof/>
                <w:webHidden/>
              </w:rPr>
              <w:instrText xml:space="preserve"> PAGEREF _Toc112051912 \h </w:instrText>
            </w:r>
            <w:r>
              <w:rPr>
                <w:noProof/>
                <w:webHidden/>
              </w:rPr>
            </w:r>
            <w:r>
              <w:rPr>
                <w:noProof/>
                <w:webHidden/>
              </w:rPr>
              <w:fldChar w:fldCharType="separate"/>
            </w:r>
            <w:r>
              <w:rPr>
                <w:noProof/>
                <w:webHidden/>
              </w:rPr>
              <w:t>135</w:t>
            </w:r>
            <w:r>
              <w:rPr>
                <w:noProof/>
                <w:webHidden/>
              </w:rPr>
              <w:fldChar w:fldCharType="end"/>
            </w:r>
          </w:hyperlink>
        </w:p>
        <w:p w14:paraId="50519C2B" w14:textId="2584A026" w:rsidR="00F533FD" w:rsidRDefault="00F533FD">
          <w:pPr>
            <w:pStyle w:val="TOC1"/>
            <w:rPr>
              <w:rFonts w:asciiTheme="minorHAnsi" w:eastAsiaTheme="minorEastAsia" w:hAnsiTheme="minorHAnsi" w:cstheme="minorBidi"/>
              <w:b w:val="0"/>
              <w:noProof/>
              <w:lang w:eastAsia="en-AU"/>
            </w:rPr>
          </w:pPr>
          <w:hyperlink w:anchor="_Toc112051913" w:history="1">
            <w:r w:rsidRPr="009C799F">
              <w:rPr>
                <w:rStyle w:val="Hyperlink"/>
                <w:noProof/>
                <w:lang w:eastAsia="en-AU"/>
              </w:rPr>
              <w:t>7.</w:t>
            </w:r>
            <w:r w:rsidRPr="009C799F">
              <w:rPr>
                <w:rStyle w:val="Hyperlink"/>
                <w:noProof/>
              </w:rPr>
              <w:t xml:space="preserve"> Attachments</w:t>
            </w:r>
            <w:r>
              <w:rPr>
                <w:noProof/>
                <w:webHidden/>
              </w:rPr>
              <w:tab/>
            </w:r>
            <w:r>
              <w:rPr>
                <w:noProof/>
                <w:webHidden/>
              </w:rPr>
              <w:fldChar w:fldCharType="begin"/>
            </w:r>
            <w:r>
              <w:rPr>
                <w:noProof/>
                <w:webHidden/>
              </w:rPr>
              <w:instrText xml:space="preserve"> PAGEREF _Toc112051913 \h </w:instrText>
            </w:r>
            <w:r>
              <w:rPr>
                <w:noProof/>
                <w:webHidden/>
              </w:rPr>
            </w:r>
            <w:r>
              <w:rPr>
                <w:noProof/>
                <w:webHidden/>
              </w:rPr>
              <w:fldChar w:fldCharType="separate"/>
            </w:r>
            <w:r>
              <w:rPr>
                <w:noProof/>
                <w:webHidden/>
              </w:rPr>
              <w:t>138</w:t>
            </w:r>
            <w:r>
              <w:rPr>
                <w:noProof/>
                <w:webHidden/>
              </w:rPr>
              <w:fldChar w:fldCharType="end"/>
            </w:r>
          </w:hyperlink>
        </w:p>
        <w:p w14:paraId="65E0EC85" w14:textId="36844CCA" w:rsidR="00F533FD" w:rsidRDefault="00F533FD">
          <w:pPr>
            <w:pStyle w:val="TOC2"/>
            <w:rPr>
              <w:rFonts w:asciiTheme="minorHAnsi" w:eastAsiaTheme="minorEastAsia" w:hAnsiTheme="minorHAnsi" w:cstheme="minorBidi"/>
              <w:noProof/>
              <w:lang w:eastAsia="en-AU"/>
            </w:rPr>
          </w:pPr>
          <w:hyperlink w:anchor="_Toc112051914" w:history="1">
            <w:r w:rsidRPr="009C799F">
              <w:rPr>
                <w:rStyle w:val="Hyperlink"/>
                <w:noProof/>
                <w:lang w:eastAsia="en-AU"/>
              </w:rPr>
              <w:t>7.1. Recent DFV related legislative reforms in the NT</w:t>
            </w:r>
            <w:r>
              <w:rPr>
                <w:noProof/>
                <w:webHidden/>
              </w:rPr>
              <w:tab/>
            </w:r>
            <w:r>
              <w:rPr>
                <w:noProof/>
                <w:webHidden/>
              </w:rPr>
              <w:fldChar w:fldCharType="begin"/>
            </w:r>
            <w:r>
              <w:rPr>
                <w:noProof/>
                <w:webHidden/>
              </w:rPr>
              <w:instrText xml:space="preserve"> PAGEREF _Toc112051914 \h </w:instrText>
            </w:r>
            <w:r>
              <w:rPr>
                <w:noProof/>
                <w:webHidden/>
              </w:rPr>
            </w:r>
            <w:r>
              <w:rPr>
                <w:noProof/>
                <w:webHidden/>
              </w:rPr>
              <w:fldChar w:fldCharType="separate"/>
            </w:r>
            <w:r>
              <w:rPr>
                <w:noProof/>
                <w:webHidden/>
              </w:rPr>
              <w:t>138</w:t>
            </w:r>
            <w:r>
              <w:rPr>
                <w:noProof/>
                <w:webHidden/>
              </w:rPr>
              <w:fldChar w:fldCharType="end"/>
            </w:r>
          </w:hyperlink>
        </w:p>
        <w:p w14:paraId="00DE8E6D" w14:textId="39BFC9B7" w:rsidR="00F533FD" w:rsidRDefault="00F533FD">
          <w:pPr>
            <w:pStyle w:val="TOC2"/>
            <w:rPr>
              <w:rFonts w:asciiTheme="minorHAnsi" w:eastAsiaTheme="minorEastAsia" w:hAnsiTheme="minorHAnsi" w:cstheme="minorBidi"/>
              <w:noProof/>
              <w:lang w:eastAsia="en-AU"/>
            </w:rPr>
          </w:pPr>
          <w:hyperlink w:anchor="_Toc112051915" w:history="1">
            <w:r w:rsidRPr="009C799F">
              <w:rPr>
                <w:rStyle w:val="Hyperlink"/>
                <w:noProof/>
                <w:lang w:eastAsia="en-AU"/>
              </w:rPr>
              <w:t>7.2.</w:t>
            </w:r>
            <w:r w:rsidRPr="009C799F">
              <w:rPr>
                <w:rStyle w:val="Hyperlink"/>
                <w:i/>
                <w:noProof/>
                <w:lang w:eastAsia="en-AU"/>
              </w:rPr>
              <w:t xml:space="preserve"> Domestic Abuse </w:t>
            </w:r>
            <w:r w:rsidRPr="009C799F">
              <w:rPr>
                <w:rStyle w:val="Hyperlink"/>
                <w:noProof/>
                <w:lang w:eastAsia="en-AU"/>
              </w:rPr>
              <w:t xml:space="preserve">(Scotland) </w:t>
            </w:r>
            <w:r w:rsidRPr="009C799F">
              <w:rPr>
                <w:rStyle w:val="Hyperlink"/>
                <w:i/>
                <w:noProof/>
                <w:lang w:eastAsia="en-AU"/>
              </w:rPr>
              <w:t>Act 2018</w:t>
            </w:r>
            <w:r w:rsidRPr="009C799F">
              <w:rPr>
                <w:rStyle w:val="Hyperlink"/>
                <w:noProof/>
                <w:lang w:eastAsia="en-AU"/>
              </w:rPr>
              <w:t xml:space="preserve"> - Excerpts</w:t>
            </w:r>
            <w:r>
              <w:rPr>
                <w:noProof/>
                <w:webHidden/>
              </w:rPr>
              <w:tab/>
            </w:r>
            <w:r>
              <w:rPr>
                <w:noProof/>
                <w:webHidden/>
              </w:rPr>
              <w:fldChar w:fldCharType="begin"/>
            </w:r>
            <w:r>
              <w:rPr>
                <w:noProof/>
                <w:webHidden/>
              </w:rPr>
              <w:instrText xml:space="preserve"> PAGEREF _Toc112051915 \h </w:instrText>
            </w:r>
            <w:r>
              <w:rPr>
                <w:noProof/>
                <w:webHidden/>
              </w:rPr>
            </w:r>
            <w:r>
              <w:rPr>
                <w:noProof/>
                <w:webHidden/>
              </w:rPr>
              <w:fldChar w:fldCharType="separate"/>
            </w:r>
            <w:r>
              <w:rPr>
                <w:noProof/>
                <w:webHidden/>
              </w:rPr>
              <w:t>140</w:t>
            </w:r>
            <w:r>
              <w:rPr>
                <w:noProof/>
                <w:webHidden/>
              </w:rPr>
              <w:fldChar w:fldCharType="end"/>
            </w:r>
          </w:hyperlink>
        </w:p>
        <w:p w14:paraId="750A927C" w14:textId="4E82F7C2" w:rsidR="00F533FD" w:rsidRDefault="00F533FD">
          <w:pPr>
            <w:pStyle w:val="TOC2"/>
            <w:rPr>
              <w:rFonts w:asciiTheme="minorHAnsi" w:eastAsiaTheme="minorEastAsia" w:hAnsiTheme="minorHAnsi" w:cstheme="minorBidi"/>
              <w:noProof/>
              <w:lang w:eastAsia="en-AU"/>
            </w:rPr>
          </w:pPr>
          <w:hyperlink w:anchor="_Toc112051916" w:history="1">
            <w:r w:rsidRPr="009C799F">
              <w:rPr>
                <w:rStyle w:val="Hyperlink"/>
                <w:noProof/>
                <w:lang w:eastAsia="en-AU"/>
              </w:rPr>
              <w:t>7.3.</w:t>
            </w:r>
            <w:r w:rsidRPr="009C799F">
              <w:rPr>
                <w:rStyle w:val="Hyperlink"/>
                <w:i/>
                <w:noProof/>
              </w:rPr>
              <w:t xml:space="preserve"> Serious Crime Act 2015</w:t>
            </w:r>
            <w:r w:rsidRPr="009C799F">
              <w:rPr>
                <w:rStyle w:val="Hyperlink"/>
                <w:noProof/>
              </w:rPr>
              <w:t xml:space="preserve"> (England and Wales), section 76</w:t>
            </w:r>
            <w:r>
              <w:rPr>
                <w:noProof/>
                <w:webHidden/>
              </w:rPr>
              <w:tab/>
            </w:r>
            <w:r>
              <w:rPr>
                <w:noProof/>
                <w:webHidden/>
              </w:rPr>
              <w:fldChar w:fldCharType="begin"/>
            </w:r>
            <w:r>
              <w:rPr>
                <w:noProof/>
                <w:webHidden/>
              </w:rPr>
              <w:instrText xml:space="preserve"> PAGEREF _Toc112051916 \h </w:instrText>
            </w:r>
            <w:r>
              <w:rPr>
                <w:noProof/>
                <w:webHidden/>
              </w:rPr>
            </w:r>
            <w:r>
              <w:rPr>
                <w:noProof/>
                <w:webHidden/>
              </w:rPr>
              <w:fldChar w:fldCharType="separate"/>
            </w:r>
            <w:r>
              <w:rPr>
                <w:noProof/>
                <w:webHidden/>
              </w:rPr>
              <w:t>141</w:t>
            </w:r>
            <w:r>
              <w:rPr>
                <w:noProof/>
                <w:webHidden/>
              </w:rPr>
              <w:fldChar w:fldCharType="end"/>
            </w:r>
          </w:hyperlink>
        </w:p>
        <w:p w14:paraId="31A2834E" w14:textId="52A74D7A" w:rsidR="00F533FD" w:rsidRDefault="00F533FD">
          <w:pPr>
            <w:pStyle w:val="TOC2"/>
            <w:rPr>
              <w:rFonts w:asciiTheme="minorHAnsi" w:eastAsiaTheme="minorEastAsia" w:hAnsiTheme="minorHAnsi" w:cstheme="minorBidi"/>
              <w:noProof/>
              <w:lang w:eastAsia="en-AU"/>
            </w:rPr>
          </w:pPr>
          <w:hyperlink w:anchor="_Toc112051917" w:history="1">
            <w:r w:rsidRPr="009C799F">
              <w:rPr>
                <w:rStyle w:val="Hyperlink"/>
                <w:noProof/>
                <w:lang w:eastAsia="en-AU"/>
              </w:rPr>
              <w:t>7.4. Model definition of family violence – Law Council of Australia</w:t>
            </w:r>
            <w:r>
              <w:rPr>
                <w:noProof/>
                <w:webHidden/>
              </w:rPr>
              <w:tab/>
            </w:r>
            <w:r>
              <w:rPr>
                <w:noProof/>
                <w:webHidden/>
              </w:rPr>
              <w:fldChar w:fldCharType="begin"/>
            </w:r>
            <w:r>
              <w:rPr>
                <w:noProof/>
                <w:webHidden/>
              </w:rPr>
              <w:instrText xml:space="preserve"> PAGEREF _Toc112051917 \h </w:instrText>
            </w:r>
            <w:r>
              <w:rPr>
                <w:noProof/>
                <w:webHidden/>
              </w:rPr>
            </w:r>
            <w:r>
              <w:rPr>
                <w:noProof/>
                <w:webHidden/>
              </w:rPr>
              <w:fldChar w:fldCharType="separate"/>
            </w:r>
            <w:r>
              <w:rPr>
                <w:noProof/>
                <w:webHidden/>
              </w:rPr>
              <w:t>143</w:t>
            </w:r>
            <w:r>
              <w:rPr>
                <w:noProof/>
                <w:webHidden/>
              </w:rPr>
              <w:fldChar w:fldCharType="end"/>
            </w:r>
          </w:hyperlink>
        </w:p>
        <w:p w14:paraId="429407B3" w14:textId="73280727" w:rsidR="00F533FD" w:rsidRDefault="00F533FD">
          <w:pPr>
            <w:pStyle w:val="TOC2"/>
            <w:rPr>
              <w:rFonts w:asciiTheme="minorHAnsi" w:eastAsiaTheme="minorEastAsia" w:hAnsiTheme="minorHAnsi" w:cstheme="minorBidi"/>
              <w:noProof/>
              <w:lang w:eastAsia="en-AU"/>
            </w:rPr>
          </w:pPr>
          <w:hyperlink w:anchor="_Toc112051918" w:history="1">
            <w:r w:rsidRPr="009C799F">
              <w:rPr>
                <w:rStyle w:val="Hyperlink"/>
                <w:noProof/>
              </w:rPr>
              <w:t>7.5.</w:t>
            </w:r>
            <w:r w:rsidRPr="009C799F">
              <w:rPr>
                <w:rStyle w:val="Hyperlink"/>
                <w:i/>
                <w:noProof/>
              </w:rPr>
              <w:t xml:space="preserve"> Evidence Act 1906</w:t>
            </w:r>
            <w:r w:rsidRPr="009C799F">
              <w:rPr>
                <w:rStyle w:val="Hyperlink"/>
                <w:noProof/>
              </w:rPr>
              <w:t xml:space="preserve"> (WA) - Jury directions and expert evidence</w:t>
            </w:r>
            <w:r>
              <w:rPr>
                <w:noProof/>
                <w:webHidden/>
              </w:rPr>
              <w:tab/>
            </w:r>
            <w:r>
              <w:rPr>
                <w:noProof/>
                <w:webHidden/>
              </w:rPr>
              <w:fldChar w:fldCharType="begin"/>
            </w:r>
            <w:r>
              <w:rPr>
                <w:noProof/>
                <w:webHidden/>
              </w:rPr>
              <w:instrText xml:space="preserve"> PAGEREF _Toc112051918 \h </w:instrText>
            </w:r>
            <w:r>
              <w:rPr>
                <w:noProof/>
                <w:webHidden/>
              </w:rPr>
            </w:r>
            <w:r>
              <w:rPr>
                <w:noProof/>
                <w:webHidden/>
              </w:rPr>
              <w:fldChar w:fldCharType="separate"/>
            </w:r>
            <w:r>
              <w:rPr>
                <w:noProof/>
                <w:webHidden/>
              </w:rPr>
              <w:t>147</w:t>
            </w:r>
            <w:r>
              <w:rPr>
                <w:noProof/>
                <w:webHidden/>
              </w:rPr>
              <w:fldChar w:fldCharType="end"/>
            </w:r>
          </w:hyperlink>
        </w:p>
        <w:p w14:paraId="43F838FE" w14:textId="6436AA72" w:rsidR="00F533FD" w:rsidRDefault="00F533FD">
          <w:pPr>
            <w:pStyle w:val="TOC2"/>
            <w:rPr>
              <w:rFonts w:asciiTheme="minorHAnsi" w:eastAsiaTheme="minorEastAsia" w:hAnsiTheme="minorHAnsi" w:cstheme="minorBidi"/>
              <w:noProof/>
              <w:lang w:eastAsia="en-AU"/>
            </w:rPr>
          </w:pPr>
          <w:hyperlink w:anchor="_Toc112051919" w:history="1">
            <w:r w:rsidRPr="009C799F">
              <w:rPr>
                <w:rStyle w:val="Hyperlink"/>
                <w:noProof/>
                <w:lang w:eastAsia="en-AU"/>
              </w:rPr>
              <w:t>7.6.</w:t>
            </w:r>
            <w:r w:rsidRPr="009C799F">
              <w:rPr>
                <w:rStyle w:val="Hyperlink"/>
                <w:i/>
                <w:noProof/>
              </w:rPr>
              <w:t xml:space="preserve"> Juries Directions Act 2005 (Vic)</w:t>
            </w:r>
            <w:r w:rsidRPr="009C799F">
              <w:rPr>
                <w:rStyle w:val="Hyperlink"/>
                <w:noProof/>
              </w:rPr>
              <w:t xml:space="preserve"> – Jury Directions</w:t>
            </w:r>
            <w:r>
              <w:rPr>
                <w:noProof/>
                <w:webHidden/>
              </w:rPr>
              <w:tab/>
            </w:r>
            <w:r>
              <w:rPr>
                <w:noProof/>
                <w:webHidden/>
              </w:rPr>
              <w:fldChar w:fldCharType="begin"/>
            </w:r>
            <w:r>
              <w:rPr>
                <w:noProof/>
                <w:webHidden/>
              </w:rPr>
              <w:instrText xml:space="preserve"> PAGEREF _Toc112051919 \h </w:instrText>
            </w:r>
            <w:r>
              <w:rPr>
                <w:noProof/>
                <w:webHidden/>
              </w:rPr>
            </w:r>
            <w:r>
              <w:rPr>
                <w:noProof/>
                <w:webHidden/>
              </w:rPr>
              <w:fldChar w:fldCharType="separate"/>
            </w:r>
            <w:r>
              <w:rPr>
                <w:noProof/>
                <w:webHidden/>
              </w:rPr>
              <w:t>152</w:t>
            </w:r>
            <w:r>
              <w:rPr>
                <w:noProof/>
                <w:webHidden/>
              </w:rPr>
              <w:fldChar w:fldCharType="end"/>
            </w:r>
          </w:hyperlink>
        </w:p>
        <w:p w14:paraId="24AF2F62" w14:textId="70AD9E13" w:rsidR="00F533FD" w:rsidRDefault="00F533FD">
          <w:pPr>
            <w:pStyle w:val="TOC3"/>
            <w:tabs>
              <w:tab w:val="left" w:pos="1100"/>
              <w:tab w:val="right" w:leader="dot" w:pos="10308"/>
            </w:tabs>
            <w:rPr>
              <w:rFonts w:asciiTheme="minorHAnsi" w:eastAsiaTheme="minorEastAsia" w:hAnsiTheme="minorHAnsi" w:cstheme="minorBidi"/>
              <w:noProof/>
              <w:lang w:eastAsia="en-AU"/>
            </w:rPr>
          </w:pPr>
          <w:hyperlink w:anchor="_Toc112051920" w:history="1">
            <w:r w:rsidRPr="009C799F">
              <w:rPr>
                <w:rStyle w:val="Hyperlink"/>
                <w:noProof/>
              </w:rPr>
              <w:t>55</w:t>
            </w:r>
            <w:r>
              <w:rPr>
                <w:rFonts w:asciiTheme="minorHAnsi" w:eastAsiaTheme="minorEastAsia" w:hAnsiTheme="minorHAnsi" w:cstheme="minorBidi"/>
                <w:noProof/>
                <w:lang w:eastAsia="en-AU"/>
              </w:rPr>
              <w:tab/>
            </w:r>
            <w:r w:rsidRPr="009C799F">
              <w:rPr>
                <w:rStyle w:val="Hyperlink"/>
                <w:noProof/>
              </w:rPr>
              <w:t>Application of Part</w:t>
            </w:r>
            <w:r>
              <w:rPr>
                <w:noProof/>
                <w:webHidden/>
              </w:rPr>
              <w:tab/>
            </w:r>
            <w:r>
              <w:rPr>
                <w:noProof/>
                <w:webHidden/>
              </w:rPr>
              <w:fldChar w:fldCharType="begin"/>
            </w:r>
            <w:r>
              <w:rPr>
                <w:noProof/>
                <w:webHidden/>
              </w:rPr>
              <w:instrText xml:space="preserve"> PAGEREF _Toc112051920 \h </w:instrText>
            </w:r>
            <w:r>
              <w:rPr>
                <w:noProof/>
                <w:webHidden/>
              </w:rPr>
            </w:r>
            <w:r>
              <w:rPr>
                <w:noProof/>
                <w:webHidden/>
              </w:rPr>
              <w:fldChar w:fldCharType="separate"/>
            </w:r>
            <w:r>
              <w:rPr>
                <w:noProof/>
                <w:webHidden/>
              </w:rPr>
              <w:t>152</w:t>
            </w:r>
            <w:r>
              <w:rPr>
                <w:noProof/>
                <w:webHidden/>
              </w:rPr>
              <w:fldChar w:fldCharType="end"/>
            </w:r>
          </w:hyperlink>
        </w:p>
        <w:p w14:paraId="6FB98489" w14:textId="22A8E63A" w:rsidR="00F533FD" w:rsidRDefault="00F533FD">
          <w:pPr>
            <w:pStyle w:val="TOC3"/>
            <w:tabs>
              <w:tab w:val="left" w:pos="1100"/>
              <w:tab w:val="right" w:leader="dot" w:pos="10308"/>
            </w:tabs>
            <w:rPr>
              <w:rFonts w:asciiTheme="minorHAnsi" w:eastAsiaTheme="minorEastAsia" w:hAnsiTheme="minorHAnsi" w:cstheme="minorBidi"/>
              <w:noProof/>
              <w:lang w:eastAsia="en-AU"/>
            </w:rPr>
          </w:pPr>
          <w:hyperlink w:anchor="_Toc112051921" w:history="1">
            <w:r w:rsidRPr="009C799F">
              <w:rPr>
                <w:rStyle w:val="Hyperlink"/>
                <w:noProof/>
              </w:rPr>
              <w:t>56</w:t>
            </w:r>
            <w:r>
              <w:rPr>
                <w:rFonts w:asciiTheme="minorHAnsi" w:eastAsiaTheme="minorEastAsia" w:hAnsiTheme="minorHAnsi" w:cstheme="minorBidi"/>
                <w:noProof/>
                <w:lang w:eastAsia="en-AU"/>
              </w:rPr>
              <w:tab/>
            </w:r>
            <w:r w:rsidRPr="009C799F">
              <w:rPr>
                <w:rStyle w:val="Hyperlink"/>
                <w:noProof/>
              </w:rPr>
              <w:t>Part 3 does not apply</w:t>
            </w:r>
            <w:r>
              <w:rPr>
                <w:noProof/>
                <w:webHidden/>
              </w:rPr>
              <w:tab/>
            </w:r>
            <w:r>
              <w:rPr>
                <w:noProof/>
                <w:webHidden/>
              </w:rPr>
              <w:fldChar w:fldCharType="begin"/>
            </w:r>
            <w:r>
              <w:rPr>
                <w:noProof/>
                <w:webHidden/>
              </w:rPr>
              <w:instrText xml:space="preserve"> PAGEREF _Toc112051921 \h </w:instrText>
            </w:r>
            <w:r>
              <w:rPr>
                <w:noProof/>
                <w:webHidden/>
              </w:rPr>
            </w:r>
            <w:r>
              <w:rPr>
                <w:noProof/>
                <w:webHidden/>
              </w:rPr>
              <w:fldChar w:fldCharType="separate"/>
            </w:r>
            <w:r>
              <w:rPr>
                <w:noProof/>
                <w:webHidden/>
              </w:rPr>
              <w:t>152</w:t>
            </w:r>
            <w:r>
              <w:rPr>
                <w:noProof/>
                <w:webHidden/>
              </w:rPr>
              <w:fldChar w:fldCharType="end"/>
            </w:r>
          </w:hyperlink>
        </w:p>
        <w:p w14:paraId="3B1E75FA" w14:textId="780B61F2" w:rsidR="00F533FD" w:rsidRDefault="00F533FD">
          <w:pPr>
            <w:pStyle w:val="TOC3"/>
            <w:tabs>
              <w:tab w:val="left" w:pos="1100"/>
              <w:tab w:val="right" w:leader="dot" w:pos="10308"/>
            </w:tabs>
            <w:rPr>
              <w:rFonts w:asciiTheme="minorHAnsi" w:eastAsiaTheme="minorEastAsia" w:hAnsiTheme="minorHAnsi" w:cstheme="minorBidi"/>
              <w:noProof/>
              <w:lang w:eastAsia="en-AU"/>
            </w:rPr>
          </w:pPr>
          <w:hyperlink w:anchor="_Toc112051922" w:history="1">
            <w:r w:rsidRPr="009C799F">
              <w:rPr>
                <w:rStyle w:val="Hyperlink"/>
                <w:noProof/>
              </w:rPr>
              <w:t>57</w:t>
            </w:r>
            <w:r>
              <w:rPr>
                <w:rFonts w:asciiTheme="minorHAnsi" w:eastAsiaTheme="minorEastAsia" w:hAnsiTheme="minorHAnsi" w:cstheme="minorBidi"/>
                <w:noProof/>
                <w:lang w:eastAsia="en-AU"/>
              </w:rPr>
              <w:tab/>
            </w:r>
            <w:r w:rsidRPr="009C799F">
              <w:rPr>
                <w:rStyle w:val="Hyperlink"/>
                <w:noProof/>
              </w:rPr>
              <w:t>Definition</w:t>
            </w:r>
            <w:r>
              <w:rPr>
                <w:noProof/>
                <w:webHidden/>
              </w:rPr>
              <w:tab/>
            </w:r>
            <w:r>
              <w:rPr>
                <w:noProof/>
                <w:webHidden/>
              </w:rPr>
              <w:fldChar w:fldCharType="begin"/>
            </w:r>
            <w:r>
              <w:rPr>
                <w:noProof/>
                <w:webHidden/>
              </w:rPr>
              <w:instrText xml:space="preserve"> PAGEREF _Toc112051922 \h </w:instrText>
            </w:r>
            <w:r>
              <w:rPr>
                <w:noProof/>
                <w:webHidden/>
              </w:rPr>
            </w:r>
            <w:r>
              <w:rPr>
                <w:noProof/>
                <w:webHidden/>
              </w:rPr>
              <w:fldChar w:fldCharType="separate"/>
            </w:r>
            <w:r>
              <w:rPr>
                <w:noProof/>
                <w:webHidden/>
              </w:rPr>
              <w:t>152</w:t>
            </w:r>
            <w:r>
              <w:rPr>
                <w:noProof/>
                <w:webHidden/>
              </w:rPr>
              <w:fldChar w:fldCharType="end"/>
            </w:r>
          </w:hyperlink>
        </w:p>
        <w:p w14:paraId="1AA0DB8D" w14:textId="4156E752" w:rsidR="00F533FD" w:rsidRDefault="00F533FD">
          <w:pPr>
            <w:pStyle w:val="TOC3"/>
            <w:tabs>
              <w:tab w:val="left" w:pos="1100"/>
              <w:tab w:val="right" w:leader="dot" w:pos="10308"/>
            </w:tabs>
            <w:rPr>
              <w:rFonts w:asciiTheme="minorHAnsi" w:eastAsiaTheme="minorEastAsia" w:hAnsiTheme="minorHAnsi" w:cstheme="minorBidi"/>
              <w:noProof/>
              <w:lang w:eastAsia="en-AU"/>
            </w:rPr>
          </w:pPr>
          <w:hyperlink w:anchor="_Toc112051923" w:history="1">
            <w:r w:rsidRPr="009C799F">
              <w:rPr>
                <w:rStyle w:val="Hyperlink"/>
                <w:noProof/>
              </w:rPr>
              <w:t>58</w:t>
            </w:r>
            <w:r>
              <w:rPr>
                <w:rFonts w:asciiTheme="minorHAnsi" w:eastAsiaTheme="minorEastAsia" w:hAnsiTheme="minorHAnsi" w:cstheme="minorBidi"/>
                <w:noProof/>
                <w:lang w:eastAsia="en-AU"/>
              </w:rPr>
              <w:tab/>
            </w:r>
            <w:r w:rsidRPr="009C799F">
              <w:rPr>
                <w:rStyle w:val="Hyperlink"/>
                <w:noProof/>
              </w:rPr>
              <w:t>Request for direction on family violence</w:t>
            </w:r>
            <w:r>
              <w:rPr>
                <w:noProof/>
                <w:webHidden/>
              </w:rPr>
              <w:tab/>
            </w:r>
            <w:r>
              <w:rPr>
                <w:noProof/>
                <w:webHidden/>
              </w:rPr>
              <w:fldChar w:fldCharType="begin"/>
            </w:r>
            <w:r>
              <w:rPr>
                <w:noProof/>
                <w:webHidden/>
              </w:rPr>
              <w:instrText xml:space="preserve"> PAGEREF _Toc112051923 \h </w:instrText>
            </w:r>
            <w:r>
              <w:rPr>
                <w:noProof/>
                <w:webHidden/>
              </w:rPr>
            </w:r>
            <w:r>
              <w:rPr>
                <w:noProof/>
                <w:webHidden/>
              </w:rPr>
              <w:fldChar w:fldCharType="separate"/>
            </w:r>
            <w:r>
              <w:rPr>
                <w:noProof/>
                <w:webHidden/>
              </w:rPr>
              <w:t>152</w:t>
            </w:r>
            <w:r>
              <w:rPr>
                <w:noProof/>
                <w:webHidden/>
              </w:rPr>
              <w:fldChar w:fldCharType="end"/>
            </w:r>
          </w:hyperlink>
        </w:p>
        <w:p w14:paraId="281380FF" w14:textId="4DF3D25B" w:rsidR="00F533FD" w:rsidRDefault="00F533FD">
          <w:pPr>
            <w:pStyle w:val="TOC3"/>
            <w:tabs>
              <w:tab w:val="left" w:pos="1100"/>
              <w:tab w:val="right" w:leader="dot" w:pos="10308"/>
            </w:tabs>
            <w:rPr>
              <w:rFonts w:asciiTheme="minorHAnsi" w:eastAsiaTheme="minorEastAsia" w:hAnsiTheme="minorHAnsi" w:cstheme="minorBidi"/>
              <w:noProof/>
              <w:lang w:eastAsia="en-AU"/>
            </w:rPr>
          </w:pPr>
          <w:hyperlink w:anchor="_Toc112051924" w:history="1">
            <w:r w:rsidRPr="009C799F">
              <w:rPr>
                <w:rStyle w:val="Hyperlink"/>
                <w:noProof/>
              </w:rPr>
              <w:t>59</w:t>
            </w:r>
            <w:r>
              <w:rPr>
                <w:rFonts w:asciiTheme="minorHAnsi" w:eastAsiaTheme="minorEastAsia" w:hAnsiTheme="minorHAnsi" w:cstheme="minorBidi"/>
                <w:noProof/>
                <w:lang w:eastAsia="en-AU"/>
              </w:rPr>
              <w:tab/>
            </w:r>
            <w:r w:rsidRPr="009C799F">
              <w:rPr>
                <w:rStyle w:val="Hyperlink"/>
                <w:noProof/>
              </w:rPr>
              <w:t>Content of direction on family violence</w:t>
            </w:r>
            <w:r>
              <w:rPr>
                <w:noProof/>
                <w:webHidden/>
              </w:rPr>
              <w:tab/>
            </w:r>
            <w:r>
              <w:rPr>
                <w:noProof/>
                <w:webHidden/>
              </w:rPr>
              <w:fldChar w:fldCharType="begin"/>
            </w:r>
            <w:r>
              <w:rPr>
                <w:noProof/>
                <w:webHidden/>
              </w:rPr>
              <w:instrText xml:space="preserve"> PAGEREF _Toc112051924 \h </w:instrText>
            </w:r>
            <w:r>
              <w:rPr>
                <w:noProof/>
                <w:webHidden/>
              </w:rPr>
            </w:r>
            <w:r>
              <w:rPr>
                <w:noProof/>
                <w:webHidden/>
              </w:rPr>
              <w:fldChar w:fldCharType="separate"/>
            </w:r>
            <w:r>
              <w:rPr>
                <w:noProof/>
                <w:webHidden/>
              </w:rPr>
              <w:t>152</w:t>
            </w:r>
            <w:r>
              <w:rPr>
                <w:noProof/>
                <w:webHidden/>
              </w:rPr>
              <w:fldChar w:fldCharType="end"/>
            </w:r>
          </w:hyperlink>
        </w:p>
        <w:p w14:paraId="0F488923" w14:textId="362B6699" w:rsidR="00F533FD" w:rsidRDefault="00F533FD">
          <w:pPr>
            <w:pStyle w:val="TOC3"/>
            <w:tabs>
              <w:tab w:val="left" w:pos="1100"/>
              <w:tab w:val="right" w:leader="dot" w:pos="10308"/>
            </w:tabs>
            <w:rPr>
              <w:rFonts w:asciiTheme="minorHAnsi" w:eastAsiaTheme="minorEastAsia" w:hAnsiTheme="minorHAnsi" w:cstheme="minorBidi"/>
              <w:noProof/>
              <w:lang w:eastAsia="en-AU"/>
            </w:rPr>
          </w:pPr>
          <w:hyperlink w:anchor="_Toc112051925" w:history="1">
            <w:r w:rsidRPr="009C799F">
              <w:rPr>
                <w:rStyle w:val="Hyperlink"/>
                <w:noProof/>
              </w:rPr>
              <w:t>60</w:t>
            </w:r>
            <w:r>
              <w:rPr>
                <w:rFonts w:asciiTheme="minorHAnsi" w:eastAsiaTheme="minorEastAsia" w:hAnsiTheme="minorHAnsi" w:cstheme="minorBidi"/>
                <w:noProof/>
                <w:lang w:eastAsia="en-AU"/>
              </w:rPr>
              <w:tab/>
            </w:r>
            <w:r w:rsidRPr="009C799F">
              <w:rPr>
                <w:rStyle w:val="Hyperlink"/>
                <w:noProof/>
              </w:rPr>
              <w:t>Additional matters for direction on family violence</w:t>
            </w:r>
            <w:r>
              <w:rPr>
                <w:noProof/>
                <w:webHidden/>
              </w:rPr>
              <w:tab/>
            </w:r>
            <w:r>
              <w:rPr>
                <w:noProof/>
                <w:webHidden/>
              </w:rPr>
              <w:fldChar w:fldCharType="begin"/>
            </w:r>
            <w:r>
              <w:rPr>
                <w:noProof/>
                <w:webHidden/>
              </w:rPr>
              <w:instrText xml:space="preserve"> PAGEREF _Toc112051925 \h </w:instrText>
            </w:r>
            <w:r>
              <w:rPr>
                <w:noProof/>
                <w:webHidden/>
              </w:rPr>
            </w:r>
            <w:r>
              <w:rPr>
                <w:noProof/>
                <w:webHidden/>
              </w:rPr>
              <w:fldChar w:fldCharType="separate"/>
            </w:r>
            <w:r>
              <w:rPr>
                <w:noProof/>
                <w:webHidden/>
              </w:rPr>
              <w:t>153</w:t>
            </w:r>
            <w:r>
              <w:rPr>
                <w:noProof/>
                <w:webHidden/>
              </w:rPr>
              <w:fldChar w:fldCharType="end"/>
            </w:r>
          </w:hyperlink>
        </w:p>
        <w:p w14:paraId="6CC1B6AA" w14:textId="0A9A2564" w:rsidR="00F533FD" w:rsidRDefault="00F533FD">
          <w:pPr>
            <w:pStyle w:val="TOC2"/>
            <w:rPr>
              <w:rFonts w:asciiTheme="minorHAnsi" w:eastAsiaTheme="minorEastAsia" w:hAnsiTheme="minorHAnsi" w:cstheme="minorBidi"/>
              <w:noProof/>
              <w:lang w:eastAsia="en-AU"/>
            </w:rPr>
          </w:pPr>
          <w:hyperlink w:anchor="_Toc112051926" w:history="1">
            <w:r w:rsidRPr="009C799F">
              <w:rPr>
                <w:rStyle w:val="Hyperlink"/>
                <w:rFonts w:ascii="Calibri" w:hAnsi="Calibri"/>
                <w:noProof/>
              </w:rPr>
              <w:t>7.7.</w:t>
            </w:r>
            <w:r w:rsidRPr="009C799F">
              <w:rPr>
                <w:rStyle w:val="Hyperlink"/>
                <w:noProof/>
              </w:rPr>
              <w:t xml:space="preserve"> Orders of indefinite duration – Section 79B of the </w:t>
            </w:r>
            <w:r w:rsidRPr="009C799F">
              <w:rPr>
                <w:rStyle w:val="Hyperlink"/>
                <w:i/>
                <w:noProof/>
              </w:rPr>
              <w:t>Crimes (Domestic and Personal Violence) Act 2007</w:t>
            </w:r>
            <w:r w:rsidRPr="009C799F">
              <w:rPr>
                <w:rStyle w:val="Hyperlink"/>
                <w:noProof/>
              </w:rPr>
              <w:t xml:space="preserve"> (NSW)</w:t>
            </w:r>
            <w:r>
              <w:rPr>
                <w:noProof/>
                <w:webHidden/>
              </w:rPr>
              <w:tab/>
            </w:r>
            <w:r>
              <w:rPr>
                <w:noProof/>
                <w:webHidden/>
              </w:rPr>
              <w:fldChar w:fldCharType="begin"/>
            </w:r>
            <w:r>
              <w:rPr>
                <w:noProof/>
                <w:webHidden/>
              </w:rPr>
              <w:instrText xml:space="preserve"> PAGEREF _Toc112051926 \h </w:instrText>
            </w:r>
            <w:r>
              <w:rPr>
                <w:noProof/>
                <w:webHidden/>
              </w:rPr>
            </w:r>
            <w:r>
              <w:rPr>
                <w:noProof/>
                <w:webHidden/>
              </w:rPr>
              <w:fldChar w:fldCharType="separate"/>
            </w:r>
            <w:r>
              <w:rPr>
                <w:noProof/>
                <w:webHidden/>
              </w:rPr>
              <w:t>154</w:t>
            </w:r>
            <w:r>
              <w:rPr>
                <w:noProof/>
                <w:webHidden/>
              </w:rPr>
              <w:fldChar w:fldCharType="end"/>
            </w:r>
          </w:hyperlink>
        </w:p>
        <w:p w14:paraId="1B9E104A" w14:textId="253B73BA" w:rsidR="00C248C8" w:rsidRDefault="007C2400" w:rsidP="0049582A">
          <w:r>
            <w:rPr>
              <w:b/>
              <w:bCs/>
              <w:noProof/>
            </w:rPr>
            <w:fldChar w:fldCharType="end"/>
          </w:r>
        </w:p>
      </w:sdtContent>
    </w:sdt>
    <w:p w14:paraId="2CFF94BF" w14:textId="739268E6" w:rsidR="00C248C8" w:rsidRDefault="00C248C8" w:rsidP="0049582A">
      <w:pPr>
        <w:rPr>
          <w:noProof/>
        </w:rPr>
      </w:pPr>
    </w:p>
    <w:p w14:paraId="505D89A2" w14:textId="6C139772" w:rsidR="009160EA" w:rsidRPr="009160EA" w:rsidRDefault="009160EA" w:rsidP="0049582A">
      <w:pPr>
        <w:rPr>
          <w:b/>
          <w:noProof/>
        </w:rPr>
      </w:pPr>
      <w:r w:rsidRPr="009160EA">
        <w:rPr>
          <w:b/>
          <w:noProof/>
        </w:rPr>
        <w:t>Disclaimer</w:t>
      </w:r>
    </w:p>
    <w:p w14:paraId="3C938DCD" w14:textId="3A545F7C" w:rsidR="005478BF" w:rsidRDefault="009160EA" w:rsidP="0049582A">
      <w:pPr>
        <w:rPr>
          <w:noProof/>
        </w:rPr>
      </w:pPr>
      <w:r>
        <w:rPr>
          <w:noProof/>
        </w:rPr>
        <w:t xml:space="preserve">The Northern Territory Government does not accept any liability whatsoever for the information or use of information provided in this </w:t>
      </w:r>
      <w:r w:rsidR="00866493">
        <w:rPr>
          <w:noProof/>
        </w:rPr>
        <w:t>paper</w:t>
      </w:r>
      <w:r>
        <w:rPr>
          <w:noProof/>
        </w:rPr>
        <w:t xml:space="preserve"> or incorporated into them by reference. The content of this </w:t>
      </w:r>
      <w:r w:rsidR="00866493">
        <w:rPr>
          <w:noProof/>
        </w:rPr>
        <w:t>paper</w:t>
      </w:r>
      <w:r>
        <w:rPr>
          <w:noProof/>
        </w:rPr>
        <w:t xml:space="preserve"> is provided for strictly information purposes only, and to </w:t>
      </w:r>
      <w:r w:rsidR="0075378D">
        <w:rPr>
          <w:noProof/>
        </w:rPr>
        <w:t xml:space="preserve">inform general </w:t>
      </w:r>
      <w:r>
        <w:rPr>
          <w:noProof/>
        </w:rPr>
        <w:t>discussion about the issues. No claim or warrant</w:t>
      </w:r>
      <w:r w:rsidR="00390830">
        <w:rPr>
          <w:noProof/>
        </w:rPr>
        <w:t>y</w:t>
      </w:r>
      <w:r>
        <w:rPr>
          <w:noProof/>
        </w:rPr>
        <w:t xml:space="preserve"> is made as to the accuracy, completeness or currency of the content in this </w:t>
      </w:r>
      <w:r w:rsidR="000A786C">
        <w:rPr>
          <w:noProof/>
        </w:rPr>
        <w:t>paper</w:t>
      </w:r>
      <w:r>
        <w:rPr>
          <w:noProof/>
        </w:rPr>
        <w:t xml:space="preserve">. The </w:t>
      </w:r>
      <w:r w:rsidR="000A786C">
        <w:rPr>
          <w:noProof/>
        </w:rPr>
        <w:t>paper</w:t>
      </w:r>
      <w:r>
        <w:rPr>
          <w:noProof/>
        </w:rPr>
        <w:t xml:space="preserve"> is not intended for the purpose of providing legal advice. You should seek your own legal advice in relation to your statutory and legal obligations. </w:t>
      </w:r>
    </w:p>
    <w:p w14:paraId="177C56E0" w14:textId="7623A2FF" w:rsidR="0075378D" w:rsidRDefault="009160EA" w:rsidP="0049582A">
      <w:pPr>
        <w:rPr>
          <w:noProof/>
        </w:rPr>
      </w:pPr>
      <w:r>
        <w:rPr>
          <w:noProof/>
        </w:rPr>
        <w:t xml:space="preserve">Published by the Northern Territory Government, </w:t>
      </w:r>
      <w:r w:rsidR="00A9720F">
        <w:rPr>
          <w:noProof/>
        </w:rPr>
        <w:t>August</w:t>
      </w:r>
      <w:r>
        <w:rPr>
          <w:noProof/>
        </w:rPr>
        <w:t xml:space="preserve"> 2</w:t>
      </w:r>
      <w:r w:rsidR="0075378D">
        <w:rPr>
          <w:noProof/>
        </w:rPr>
        <w:t>022.</w:t>
      </w:r>
    </w:p>
    <w:p w14:paraId="381976FE" w14:textId="5B23F792" w:rsidR="0049582A" w:rsidRPr="0075378D" w:rsidRDefault="0075378D" w:rsidP="004E7885">
      <w:pPr>
        <w:rPr>
          <w:noProof/>
        </w:rPr>
      </w:pPr>
      <w:r>
        <w:rPr>
          <w:noProof/>
        </w:rPr>
        <w:t xml:space="preserve">Contact: Legal Policy, Department of the Attorney-General and Justice  </w:t>
      </w:r>
      <w:hyperlink r:id="rId14" w:history="1">
        <w:r>
          <w:rPr>
            <w:rStyle w:val="Hyperlink"/>
          </w:rPr>
          <w:t>Policy.AGD@nt.gov.au</w:t>
        </w:r>
      </w:hyperlink>
      <w:r>
        <w:rPr>
          <w:color w:val="1F497D"/>
        </w:rPr>
        <w:t>.</w:t>
      </w:r>
      <w:r w:rsidR="0049582A">
        <w:rPr>
          <w:noProof/>
        </w:rPr>
        <w:br w:type="page"/>
      </w:r>
    </w:p>
    <w:p w14:paraId="43F6BA40" w14:textId="77777777" w:rsidR="0049582A" w:rsidRDefault="0049582A" w:rsidP="004E7885">
      <w:pPr>
        <w:rPr>
          <w:rFonts w:eastAsiaTheme="minorEastAsia" w:cs="Arial"/>
          <w:b/>
          <w:lang w:eastAsia="en-AU"/>
        </w:rPr>
      </w:pPr>
    </w:p>
    <w:p w14:paraId="6B540A21" w14:textId="77777777" w:rsidR="0049582A" w:rsidRDefault="0049582A" w:rsidP="004E7885">
      <w:pPr>
        <w:rPr>
          <w:rFonts w:eastAsiaTheme="minorEastAsia" w:cs="Arial"/>
          <w:b/>
          <w:lang w:eastAsia="en-AU"/>
        </w:rPr>
      </w:pPr>
    </w:p>
    <w:p w14:paraId="12158EE0" w14:textId="77777777" w:rsidR="00802156" w:rsidRDefault="00802156" w:rsidP="004E7885">
      <w:pPr>
        <w:rPr>
          <w:rFonts w:eastAsiaTheme="minorEastAsia" w:cs="Arial"/>
          <w:b/>
          <w:lang w:eastAsia="en-AU"/>
        </w:rPr>
      </w:pPr>
    </w:p>
    <w:p w14:paraId="6016D6A7" w14:textId="14E16BA0" w:rsidR="0049582A" w:rsidRDefault="0049582A" w:rsidP="004E7885">
      <w:pPr>
        <w:rPr>
          <w:rFonts w:eastAsiaTheme="minorEastAsia" w:cs="Arial"/>
          <w:b/>
          <w:lang w:eastAsia="en-AU"/>
        </w:rPr>
      </w:pPr>
    </w:p>
    <w:p w14:paraId="26EA9B97" w14:textId="14045745" w:rsidR="00E45644" w:rsidRDefault="00E45644" w:rsidP="004E7885">
      <w:pPr>
        <w:rPr>
          <w:rFonts w:eastAsiaTheme="minorEastAsia" w:cs="Arial"/>
          <w:b/>
          <w:lang w:eastAsia="en-AU"/>
        </w:rPr>
      </w:pPr>
    </w:p>
    <w:p w14:paraId="1C259E2D" w14:textId="77F2A285" w:rsidR="00E45644" w:rsidRDefault="00E45644" w:rsidP="00E45644">
      <w:pPr>
        <w:rPr>
          <w:rFonts w:eastAsiaTheme="minorEastAsia" w:cs="Arial"/>
          <w:b/>
          <w:lang w:eastAsia="en-AU"/>
        </w:rPr>
      </w:pPr>
    </w:p>
    <w:p w14:paraId="6735B61B" w14:textId="5B3A250E" w:rsidR="0049582A" w:rsidRDefault="00E45644" w:rsidP="00E45644">
      <w:pPr>
        <w:rPr>
          <w:rFonts w:eastAsiaTheme="minorEastAsia" w:cs="Arial"/>
          <w:b/>
          <w:lang w:eastAsia="en-AU"/>
        </w:rPr>
      </w:pPr>
      <w:r>
        <w:rPr>
          <w:rFonts w:eastAsiaTheme="minorEastAsia" w:cs="Arial"/>
          <w:b/>
          <w:lang w:eastAsia="en-AU"/>
        </w:rPr>
        <w:t>Aboriginal acknowledgement</w:t>
      </w:r>
    </w:p>
    <w:p w14:paraId="745AC6CF" w14:textId="5964F861" w:rsidR="0049582A" w:rsidRDefault="00E45644" w:rsidP="00E45644">
      <w:pPr>
        <w:rPr>
          <w:rFonts w:eastAsiaTheme="minorEastAsia" w:cs="Arial"/>
          <w:lang w:eastAsia="en-AU"/>
        </w:rPr>
      </w:pPr>
      <w:r>
        <w:rPr>
          <w:rFonts w:eastAsiaTheme="minorEastAsia" w:cs="Arial"/>
          <w:lang w:eastAsia="en-AU"/>
        </w:rPr>
        <w:t>The Northern Territory Government respectfully acknowledges First Nations People of this country and recognises their continuing connection to their lands, waters and communities. We pay our respects to Aboriginal and Torres Strait Islander cultures and to their leaders past, present and emerging.</w:t>
      </w:r>
    </w:p>
    <w:p w14:paraId="11997C21" w14:textId="60FDF798" w:rsidR="00E45644" w:rsidRDefault="00E45644" w:rsidP="00E45644">
      <w:pPr>
        <w:rPr>
          <w:rFonts w:eastAsiaTheme="minorEastAsia" w:cs="Arial"/>
          <w:lang w:eastAsia="en-AU"/>
        </w:rPr>
      </w:pPr>
      <w:r>
        <w:rPr>
          <w:rFonts w:eastAsiaTheme="minorEastAsia" w:cs="Arial"/>
          <w:lang w:eastAsia="en-AU"/>
        </w:rPr>
        <w:t xml:space="preserve">While this review </w:t>
      </w:r>
      <w:r w:rsidR="00535982">
        <w:rPr>
          <w:rFonts w:eastAsiaTheme="minorEastAsia" w:cs="Arial"/>
          <w:lang w:eastAsia="en-AU"/>
        </w:rPr>
        <w:t xml:space="preserve">largely </w:t>
      </w:r>
      <w:r>
        <w:rPr>
          <w:rFonts w:eastAsiaTheme="minorEastAsia" w:cs="Arial"/>
          <w:lang w:eastAsia="en-AU"/>
        </w:rPr>
        <w:t>uses the term ‘Aboriginal’ we respectfully acknowledge that Torres Strait Islander peoples are First Nations people living in the Territory.  References to ‘Aboriginal’ Territorians should be read to include both Aboriginal and Torres Strait Islander Territorians.</w:t>
      </w:r>
    </w:p>
    <w:p w14:paraId="244F467B" w14:textId="4BCC141B" w:rsidR="00E45644" w:rsidRDefault="00E45644" w:rsidP="00E45644">
      <w:pPr>
        <w:rPr>
          <w:rFonts w:eastAsiaTheme="minorEastAsia" w:cs="Arial"/>
          <w:lang w:eastAsia="en-AU"/>
        </w:rPr>
      </w:pPr>
    </w:p>
    <w:p w14:paraId="6F2C31E3" w14:textId="359BB348" w:rsidR="00E45644" w:rsidRPr="00E45644" w:rsidRDefault="00E45644" w:rsidP="00E45644">
      <w:pPr>
        <w:rPr>
          <w:rFonts w:eastAsiaTheme="minorEastAsia" w:cs="Arial"/>
          <w:b/>
          <w:lang w:eastAsia="en-AU"/>
        </w:rPr>
      </w:pPr>
      <w:r w:rsidRPr="00E45644">
        <w:rPr>
          <w:rFonts w:eastAsiaTheme="minorEastAsia" w:cs="Arial"/>
          <w:b/>
          <w:lang w:eastAsia="en-AU"/>
        </w:rPr>
        <w:t>Victim-survivor acknowledgement</w:t>
      </w:r>
    </w:p>
    <w:p w14:paraId="015DE6F9" w14:textId="274EE3CE" w:rsidR="0075378D" w:rsidRDefault="0075378D" w:rsidP="00E45644">
      <w:pPr>
        <w:rPr>
          <w:rFonts w:eastAsiaTheme="minorEastAsia" w:cs="Arial"/>
          <w:lang w:eastAsia="en-AU"/>
        </w:rPr>
      </w:pPr>
      <w:r>
        <w:rPr>
          <w:rFonts w:eastAsiaTheme="minorEastAsia" w:cs="Arial"/>
          <w:lang w:eastAsia="en-AU"/>
        </w:rPr>
        <w:t xml:space="preserve">In this </w:t>
      </w:r>
      <w:r w:rsidR="00866493">
        <w:rPr>
          <w:rFonts w:eastAsiaTheme="minorEastAsia" w:cs="Arial"/>
          <w:lang w:eastAsia="en-AU"/>
        </w:rPr>
        <w:t>paper</w:t>
      </w:r>
      <w:r>
        <w:rPr>
          <w:rFonts w:eastAsiaTheme="minorEastAsia" w:cs="Arial"/>
          <w:lang w:eastAsia="en-AU"/>
        </w:rPr>
        <w:t xml:space="preserve">, we respectfully </w:t>
      </w:r>
      <w:r w:rsidR="00E45644">
        <w:rPr>
          <w:rFonts w:eastAsiaTheme="minorEastAsia" w:cs="Arial"/>
          <w:lang w:eastAsia="en-AU"/>
        </w:rPr>
        <w:t xml:space="preserve">acknowledge </w:t>
      </w:r>
      <w:r w:rsidR="006D0A72">
        <w:rPr>
          <w:rFonts w:eastAsiaTheme="minorEastAsia" w:cs="Arial"/>
          <w:lang w:eastAsia="en-AU"/>
        </w:rPr>
        <w:t xml:space="preserve">the courage and dignity of </w:t>
      </w:r>
      <w:r>
        <w:rPr>
          <w:rFonts w:eastAsiaTheme="minorEastAsia" w:cs="Arial"/>
          <w:lang w:eastAsia="en-AU"/>
        </w:rPr>
        <w:t>people</w:t>
      </w:r>
      <w:r w:rsidR="00822968">
        <w:rPr>
          <w:rFonts w:eastAsiaTheme="minorEastAsia" w:cs="Arial"/>
          <w:lang w:eastAsia="en-AU"/>
        </w:rPr>
        <w:t xml:space="preserve"> who are victim-survivors of domestic and family violence (DFV).  </w:t>
      </w:r>
      <w:r w:rsidR="00741DFF">
        <w:rPr>
          <w:rFonts w:eastAsiaTheme="minorEastAsia" w:cs="Arial"/>
          <w:lang w:eastAsia="en-AU"/>
        </w:rPr>
        <w:t xml:space="preserve">We acknowledge the disproportionate impact </w:t>
      </w:r>
      <w:r w:rsidR="007900F2">
        <w:rPr>
          <w:rFonts w:eastAsiaTheme="minorEastAsia" w:cs="Arial"/>
          <w:lang w:eastAsia="en-AU"/>
        </w:rPr>
        <w:t xml:space="preserve">of DFV </w:t>
      </w:r>
      <w:r w:rsidR="00741DFF">
        <w:rPr>
          <w:rFonts w:eastAsiaTheme="minorEastAsia" w:cs="Arial"/>
          <w:lang w:eastAsia="en-AU"/>
        </w:rPr>
        <w:t xml:space="preserve">on </w:t>
      </w:r>
      <w:r w:rsidR="007900F2">
        <w:rPr>
          <w:rFonts w:eastAsiaTheme="minorEastAsia" w:cs="Arial"/>
          <w:lang w:eastAsia="en-AU"/>
        </w:rPr>
        <w:t xml:space="preserve">women in the NT, particularly </w:t>
      </w:r>
      <w:r w:rsidR="00741DFF">
        <w:rPr>
          <w:rFonts w:eastAsiaTheme="minorEastAsia" w:cs="Arial"/>
          <w:lang w:eastAsia="en-AU"/>
        </w:rPr>
        <w:t>Aboriginal women.</w:t>
      </w:r>
    </w:p>
    <w:p w14:paraId="022C9BB9" w14:textId="140591E6" w:rsidR="009160EA" w:rsidRDefault="009160EA" w:rsidP="00E45644">
      <w:pPr>
        <w:rPr>
          <w:rFonts w:eastAsiaTheme="minorEastAsia" w:cs="Arial"/>
          <w:lang w:eastAsia="en-AU"/>
        </w:rPr>
      </w:pPr>
      <w:r>
        <w:rPr>
          <w:rFonts w:eastAsiaTheme="minorEastAsia" w:cs="Arial"/>
          <w:lang w:eastAsia="en-AU"/>
        </w:rPr>
        <w:t xml:space="preserve">We </w:t>
      </w:r>
      <w:r w:rsidR="006D0A72">
        <w:rPr>
          <w:rFonts w:eastAsiaTheme="minorEastAsia" w:cs="Arial"/>
          <w:lang w:eastAsia="en-AU"/>
        </w:rPr>
        <w:t xml:space="preserve">respectfully </w:t>
      </w:r>
      <w:r>
        <w:rPr>
          <w:rFonts w:eastAsiaTheme="minorEastAsia" w:cs="Arial"/>
          <w:lang w:eastAsia="en-AU"/>
        </w:rPr>
        <w:t xml:space="preserve">acknowledge the people who have died as a result of </w:t>
      </w:r>
      <w:r w:rsidR="0075378D">
        <w:rPr>
          <w:rFonts w:eastAsiaTheme="minorEastAsia" w:cs="Arial"/>
          <w:lang w:eastAsia="en-AU"/>
        </w:rPr>
        <w:t xml:space="preserve">DFV </w:t>
      </w:r>
      <w:r w:rsidR="006D0A72">
        <w:rPr>
          <w:rFonts w:eastAsiaTheme="minorEastAsia" w:cs="Arial"/>
          <w:lang w:eastAsia="en-AU"/>
        </w:rPr>
        <w:t>in the NT</w:t>
      </w:r>
      <w:r>
        <w:rPr>
          <w:rFonts w:eastAsiaTheme="minorEastAsia" w:cs="Arial"/>
          <w:lang w:eastAsia="en-AU"/>
        </w:rPr>
        <w:t>. This document has been informed by the experiences of people who have died as a result of DFV. We are committed to honouring the lives of those killed, learning from those tragedies and translating those learnings into law and action to prevent future harm.</w:t>
      </w:r>
    </w:p>
    <w:p w14:paraId="614E256B" w14:textId="6CCA15E2" w:rsidR="006D0A72" w:rsidRDefault="006D0A72" w:rsidP="00E45644">
      <w:pPr>
        <w:rPr>
          <w:rFonts w:eastAsiaTheme="minorEastAsia" w:cs="Arial"/>
          <w:lang w:eastAsia="en-AU"/>
        </w:rPr>
      </w:pPr>
    </w:p>
    <w:p w14:paraId="1FB676C4" w14:textId="3CDFB881" w:rsidR="006D0A72" w:rsidRPr="006D0A72" w:rsidRDefault="006D0A72" w:rsidP="00E45644">
      <w:pPr>
        <w:rPr>
          <w:rFonts w:eastAsiaTheme="minorEastAsia" w:cs="Arial"/>
          <w:b/>
          <w:lang w:eastAsia="en-AU"/>
        </w:rPr>
      </w:pPr>
      <w:r>
        <w:rPr>
          <w:rFonts w:eastAsiaTheme="minorEastAsia" w:cs="Arial"/>
          <w:b/>
          <w:lang w:eastAsia="en-AU"/>
        </w:rPr>
        <w:t>The courage to say n</w:t>
      </w:r>
      <w:r w:rsidRPr="006D0A72">
        <w:rPr>
          <w:rFonts w:eastAsiaTheme="minorEastAsia" w:cs="Arial"/>
          <w:b/>
          <w:lang w:eastAsia="en-AU"/>
        </w:rPr>
        <w:t>o to domestic violence</w:t>
      </w:r>
    </w:p>
    <w:p w14:paraId="6A1CF28D" w14:textId="65453909" w:rsidR="006D0A72" w:rsidRDefault="006D0A72" w:rsidP="006D0A72">
      <w:pPr>
        <w:rPr>
          <w:rFonts w:eastAsiaTheme="minorEastAsia" w:cs="Arial"/>
          <w:lang w:eastAsia="en-AU"/>
        </w:rPr>
      </w:pPr>
      <w:r>
        <w:rPr>
          <w:rFonts w:eastAsiaTheme="minorEastAsia" w:cs="Arial"/>
          <w:lang w:eastAsia="en-AU"/>
        </w:rPr>
        <w:t xml:space="preserve">We </w:t>
      </w:r>
      <w:r w:rsidR="0075378D">
        <w:rPr>
          <w:rFonts w:eastAsiaTheme="minorEastAsia" w:cs="Arial"/>
          <w:lang w:eastAsia="en-AU"/>
        </w:rPr>
        <w:t xml:space="preserve">acknowledge people who have </w:t>
      </w:r>
      <w:r w:rsidR="00822968">
        <w:rPr>
          <w:rFonts w:eastAsiaTheme="minorEastAsia" w:cs="Arial"/>
          <w:lang w:eastAsia="en-AU"/>
        </w:rPr>
        <w:t>taken</w:t>
      </w:r>
      <w:r w:rsidR="0075378D">
        <w:rPr>
          <w:rFonts w:eastAsiaTheme="minorEastAsia" w:cs="Arial"/>
          <w:lang w:eastAsia="en-AU"/>
        </w:rPr>
        <w:t xml:space="preserve"> responsibility for their actions and</w:t>
      </w:r>
      <w:r w:rsidR="00AE2E20">
        <w:rPr>
          <w:rFonts w:eastAsiaTheme="minorEastAsia" w:cs="Arial"/>
          <w:lang w:eastAsia="en-AU"/>
        </w:rPr>
        <w:t xml:space="preserve"> </w:t>
      </w:r>
      <w:r w:rsidR="0075378D">
        <w:rPr>
          <w:rFonts w:eastAsiaTheme="minorEastAsia" w:cs="Arial"/>
          <w:lang w:eastAsia="en-AU"/>
        </w:rPr>
        <w:t>stopped using violence</w:t>
      </w:r>
      <w:r w:rsidR="00822968">
        <w:rPr>
          <w:rFonts w:eastAsiaTheme="minorEastAsia" w:cs="Arial"/>
          <w:lang w:eastAsia="en-AU"/>
        </w:rPr>
        <w:t xml:space="preserve"> against their </w:t>
      </w:r>
      <w:r w:rsidR="00535982">
        <w:rPr>
          <w:rFonts w:eastAsiaTheme="minorEastAsia" w:cs="Arial"/>
          <w:lang w:eastAsia="en-AU"/>
        </w:rPr>
        <w:t xml:space="preserve">partners, ex-partners and </w:t>
      </w:r>
      <w:r w:rsidR="00822968">
        <w:rPr>
          <w:rFonts w:eastAsiaTheme="minorEastAsia" w:cs="Arial"/>
          <w:lang w:eastAsia="en-AU"/>
        </w:rPr>
        <w:t>family members</w:t>
      </w:r>
      <w:r w:rsidR="0075378D">
        <w:rPr>
          <w:rFonts w:eastAsiaTheme="minorEastAsia" w:cs="Arial"/>
          <w:lang w:eastAsia="en-AU"/>
        </w:rPr>
        <w:t>.</w:t>
      </w:r>
      <w:r w:rsidR="00822968">
        <w:rPr>
          <w:rFonts w:eastAsiaTheme="minorEastAsia" w:cs="Arial"/>
          <w:lang w:eastAsia="en-AU"/>
        </w:rPr>
        <w:t xml:space="preserve">  W</w:t>
      </w:r>
      <w:r>
        <w:rPr>
          <w:rFonts w:eastAsiaTheme="minorEastAsia" w:cs="Arial"/>
          <w:lang w:eastAsia="en-AU"/>
        </w:rPr>
        <w:t xml:space="preserve">e remain optimistic that </w:t>
      </w:r>
      <w:r w:rsidR="007900F2">
        <w:rPr>
          <w:rFonts w:eastAsiaTheme="minorEastAsia" w:cs="Arial"/>
          <w:lang w:eastAsia="en-AU"/>
        </w:rPr>
        <w:t>Territorians</w:t>
      </w:r>
      <w:r w:rsidR="00822968">
        <w:rPr>
          <w:rFonts w:eastAsiaTheme="minorEastAsia" w:cs="Arial"/>
          <w:lang w:eastAsia="en-AU"/>
        </w:rPr>
        <w:t xml:space="preserve"> can choose to live without using violence.</w:t>
      </w:r>
      <w:r>
        <w:rPr>
          <w:rFonts w:eastAsiaTheme="minorEastAsia" w:cs="Arial"/>
          <w:lang w:eastAsia="en-AU"/>
        </w:rPr>
        <w:t xml:space="preserve">  We acknowledge all those who stand up and say no to DFV.  </w:t>
      </w:r>
    </w:p>
    <w:p w14:paraId="0DE905E0" w14:textId="004C557E" w:rsidR="0075378D" w:rsidRDefault="0075378D" w:rsidP="00E45644">
      <w:pPr>
        <w:rPr>
          <w:rFonts w:eastAsiaTheme="minorEastAsia" w:cs="Arial"/>
          <w:lang w:eastAsia="en-AU"/>
        </w:rPr>
      </w:pPr>
    </w:p>
    <w:p w14:paraId="6556C7E1" w14:textId="77777777" w:rsidR="009160EA" w:rsidRDefault="009160EA" w:rsidP="00E45644">
      <w:pPr>
        <w:rPr>
          <w:rFonts w:eastAsiaTheme="minorEastAsia" w:cs="Arial"/>
          <w:lang w:eastAsia="en-AU"/>
        </w:rPr>
      </w:pPr>
    </w:p>
    <w:p w14:paraId="5989F965" w14:textId="77777777" w:rsidR="003974C7" w:rsidRDefault="003974C7" w:rsidP="0049582A">
      <w:pPr>
        <w:jc w:val="center"/>
        <w:rPr>
          <w:rFonts w:eastAsiaTheme="minorEastAsia" w:cs="Arial"/>
          <w:lang w:eastAsia="en-AU"/>
        </w:rPr>
      </w:pPr>
    </w:p>
    <w:p w14:paraId="1D317DD2" w14:textId="77777777" w:rsidR="003974C7" w:rsidRDefault="003974C7" w:rsidP="0049582A">
      <w:pPr>
        <w:jc w:val="center"/>
        <w:rPr>
          <w:rFonts w:eastAsiaTheme="minorEastAsia" w:cs="Arial"/>
          <w:lang w:eastAsia="en-AU"/>
        </w:rPr>
      </w:pPr>
    </w:p>
    <w:p w14:paraId="0EB4AADF" w14:textId="77777777" w:rsidR="003974C7" w:rsidRDefault="003974C7" w:rsidP="003974C7">
      <w:pPr>
        <w:pStyle w:val="Header"/>
        <w:framePr w:hSpace="180" w:wrap="around" w:vAnchor="text" w:hAnchor="text" w:y="1"/>
        <w:tabs>
          <w:tab w:val="left" w:pos="142"/>
          <w:tab w:val="right" w:pos="9639"/>
        </w:tabs>
        <w:rPr>
          <w:rFonts w:ascii="Arial" w:hAnsi="Arial"/>
          <w:sz w:val="20"/>
        </w:rPr>
      </w:pPr>
    </w:p>
    <w:p w14:paraId="440BEEB9" w14:textId="77777777" w:rsidR="003974C7" w:rsidRDefault="003974C7" w:rsidP="0049582A">
      <w:pPr>
        <w:jc w:val="center"/>
        <w:rPr>
          <w:rFonts w:eastAsiaTheme="minorEastAsia" w:cs="Arial"/>
          <w:lang w:eastAsia="en-AU"/>
        </w:rPr>
      </w:pPr>
    </w:p>
    <w:p w14:paraId="18D21483" w14:textId="77777777" w:rsidR="0049582A" w:rsidRDefault="0049582A" w:rsidP="0049582A">
      <w:pPr>
        <w:jc w:val="center"/>
        <w:rPr>
          <w:rFonts w:eastAsiaTheme="minorEastAsia" w:cs="Arial"/>
          <w:lang w:eastAsia="en-AU"/>
        </w:rPr>
      </w:pPr>
    </w:p>
    <w:p w14:paraId="4E69AF3E" w14:textId="77777777" w:rsidR="00901D2D" w:rsidRDefault="00901D2D" w:rsidP="0049582A">
      <w:pPr>
        <w:jc w:val="center"/>
        <w:rPr>
          <w:rFonts w:eastAsiaTheme="minorEastAsia" w:cs="Arial"/>
          <w:lang w:eastAsia="en-AU"/>
        </w:rPr>
      </w:pPr>
    </w:p>
    <w:p w14:paraId="66D8B7DB" w14:textId="0F042A6C" w:rsidR="0049582A" w:rsidRDefault="0049582A" w:rsidP="00C248C8">
      <w:pPr>
        <w:rPr>
          <w:rFonts w:eastAsiaTheme="minorEastAsia" w:cs="Arial"/>
          <w:lang w:eastAsia="en-AU"/>
        </w:rPr>
      </w:pPr>
    </w:p>
    <w:p w14:paraId="23123CF4" w14:textId="77777777" w:rsidR="0049582A" w:rsidRPr="0049582A" w:rsidRDefault="0049582A" w:rsidP="0049582A">
      <w:pPr>
        <w:jc w:val="center"/>
        <w:rPr>
          <w:rFonts w:eastAsiaTheme="minorEastAsia" w:cs="Arial"/>
          <w:lang w:eastAsia="en-AU"/>
        </w:rPr>
        <w:sectPr w:rsidR="0049582A" w:rsidRPr="0049582A" w:rsidSect="004E7885">
          <w:headerReference w:type="default" r:id="rId15"/>
          <w:footerReference w:type="default" r:id="rId16"/>
          <w:headerReference w:type="first" r:id="rId17"/>
          <w:footerReference w:type="first" r:id="rId18"/>
          <w:pgSz w:w="11906" w:h="16838" w:code="9"/>
          <w:pgMar w:top="794" w:right="794" w:bottom="794" w:left="794" w:header="794" w:footer="794" w:gutter="0"/>
          <w:cols w:space="708"/>
          <w:titlePg/>
          <w:docGrid w:linePitch="360"/>
        </w:sectPr>
      </w:pPr>
    </w:p>
    <w:p w14:paraId="222797ED" w14:textId="77777777" w:rsidR="00EB3D43" w:rsidRDefault="00F74C59" w:rsidP="00971795">
      <w:pPr>
        <w:pStyle w:val="Heading1"/>
        <w:ind w:left="567" w:hanging="567"/>
        <w:rPr>
          <w:noProof/>
          <w:lang w:eastAsia="en-AU"/>
        </w:rPr>
      </w:pPr>
      <w:bookmarkStart w:id="0" w:name="_Toc112051790"/>
      <w:r>
        <w:rPr>
          <w:noProof/>
          <w:lang w:eastAsia="en-AU"/>
        </w:rPr>
        <w:lastRenderedPageBreak/>
        <w:t>I</w:t>
      </w:r>
      <w:r w:rsidR="000C3DD0">
        <w:rPr>
          <w:noProof/>
          <w:lang w:eastAsia="en-AU"/>
        </w:rPr>
        <w:t>ntroduction</w:t>
      </w:r>
      <w:bookmarkEnd w:id="0"/>
    </w:p>
    <w:p w14:paraId="6D2F3352" w14:textId="14D959FA" w:rsidR="00A33B4E" w:rsidRDefault="00A162C4" w:rsidP="00183532">
      <w:pPr>
        <w:rPr>
          <w:lang w:eastAsia="en-AU"/>
        </w:rPr>
      </w:pPr>
      <w:r>
        <w:rPr>
          <w:lang w:eastAsia="en-AU"/>
        </w:rPr>
        <w:t>The majority of</w:t>
      </w:r>
      <w:r w:rsidR="00DD13CC">
        <w:rPr>
          <w:lang w:eastAsia="en-AU"/>
        </w:rPr>
        <w:t xml:space="preserve"> violent crime in the NT is caused by domestic and family violence (DFV)</w:t>
      </w:r>
      <w:r w:rsidR="009A1444">
        <w:rPr>
          <w:lang w:eastAsia="en-AU"/>
        </w:rPr>
        <w:t xml:space="preserve">. </w:t>
      </w:r>
    </w:p>
    <w:p w14:paraId="3BAA8D95" w14:textId="35EE593F" w:rsidR="00DD13CC" w:rsidRDefault="00BB0B78" w:rsidP="00183532">
      <w:pPr>
        <w:rPr>
          <w:lang w:eastAsia="en-AU"/>
        </w:rPr>
      </w:pPr>
      <w:r>
        <w:rPr>
          <w:lang w:eastAsia="en-AU"/>
        </w:rPr>
        <w:t xml:space="preserve">Sixty-three per cent </w:t>
      </w:r>
      <w:r w:rsidR="00DD13CC">
        <w:rPr>
          <w:lang w:eastAsia="en-AU"/>
        </w:rPr>
        <w:t>of assaults are DFV-related and 63</w:t>
      </w:r>
      <w:r w:rsidR="003E0BE5" w:rsidRPr="003E0BE5">
        <w:rPr>
          <w:lang w:eastAsia="en-AU"/>
        </w:rPr>
        <w:t xml:space="preserve"> </w:t>
      </w:r>
      <w:r w:rsidR="003E0BE5">
        <w:rPr>
          <w:lang w:eastAsia="en-AU"/>
        </w:rPr>
        <w:t>per cent</w:t>
      </w:r>
      <w:r w:rsidR="009A1444">
        <w:rPr>
          <w:lang w:eastAsia="en-AU"/>
        </w:rPr>
        <w:t xml:space="preserve"> of</w:t>
      </w:r>
      <w:r w:rsidR="00DD13CC">
        <w:rPr>
          <w:lang w:eastAsia="en-AU"/>
        </w:rPr>
        <w:t xml:space="preserve"> prisoners are held for DFV</w:t>
      </w:r>
      <w:r w:rsidR="003E0BE5">
        <w:rPr>
          <w:lang w:eastAsia="en-AU"/>
        </w:rPr>
        <w:noBreakHyphen/>
      </w:r>
      <w:r w:rsidR="00DD13CC">
        <w:rPr>
          <w:lang w:eastAsia="en-AU"/>
        </w:rPr>
        <w:t xml:space="preserve">related offences. </w:t>
      </w:r>
    </w:p>
    <w:p w14:paraId="410097F4" w14:textId="1B05077D" w:rsidR="006638D2" w:rsidRDefault="00183532" w:rsidP="00183532">
      <w:pPr>
        <w:rPr>
          <w:lang w:eastAsia="en-AU"/>
        </w:rPr>
      </w:pPr>
      <w:r>
        <w:rPr>
          <w:lang w:eastAsia="en-AU"/>
        </w:rPr>
        <w:t>The Northern Territory Government is committed to improving the justice response t</w:t>
      </w:r>
      <w:r w:rsidR="00DD13CC">
        <w:rPr>
          <w:lang w:eastAsia="en-AU"/>
        </w:rPr>
        <w:t>o DFV</w:t>
      </w:r>
      <w:r>
        <w:rPr>
          <w:lang w:eastAsia="en-AU"/>
        </w:rPr>
        <w:t xml:space="preserve">, with the expectation that a more consistent </w:t>
      </w:r>
      <w:r w:rsidR="008047D9">
        <w:rPr>
          <w:lang w:eastAsia="en-AU"/>
        </w:rPr>
        <w:t xml:space="preserve">and </w:t>
      </w:r>
      <w:r w:rsidR="00542756">
        <w:rPr>
          <w:lang w:eastAsia="en-AU"/>
        </w:rPr>
        <w:t>specialised</w:t>
      </w:r>
      <w:r w:rsidR="00EC5F12">
        <w:rPr>
          <w:lang w:eastAsia="en-AU"/>
        </w:rPr>
        <w:t xml:space="preserve"> </w:t>
      </w:r>
      <w:r>
        <w:rPr>
          <w:lang w:eastAsia="en-AU"/>
        </w:rPr>
        <w:t>focus on victim safety and offender accountability will help reduce the cycle</w:t>
      </w:r>
      <w:r w:rsidR="004257DD">
        <w:rPr>
          <w:lang w:eastAsia="en-AU"/>
        </w:rPr>
        <w:t xml:space="preserve"> of violence.  </w:t>
      </w:r>
    </w:p>
    <w:p w14:paraId="30D6B06C" w14:textId="63427AE9" w:rsidR="00614E6C" w:rsidRDefault="00CD0BC4" w:rsidP="001C7B46">
      <w:pPr>
        <w:rPr>
          <w:lang w:eastAsia="en-AU"/>
        </w:rPr>
      </w:pPr>
      <w:r>
        <w:rPr>
          <w:lang w:eastAsia="en-AU"/>
        </w:rPr>
        <w:t xml:space="preserve">DFV causes serious physical and psychological harm to many Territorians.  </w:t>
      </w:r>
      <w:r w:rsidR="002432AB">
        <w:rPr>
          <w:lang w:eastAsia="en-AU"/>
        </w:rPr>
        <w:t xml:space="preserve">While </w:t>
      </w:r>
      <w:r w:rsidR="008047D9">
        <w:rPr>
          <w:lang w:eastAsia="en-AU"/>
        </w:rPr>
        <w:t>DFV</w:t>
      </w:r>
      <w:r w:rsidR="002432AB">
        <w:rPr>
          <w:lang w:eastAsia="en-AU"/>
        </w:rPr>
        <w:t xml:space="preserve"> affect</w:t>
      </w:r>
      <w:r w:rsidR="006B0F1C">
        <w:rPr>
          <w:lang w:eastAsia="en-AU"/>
        </w:rPr>
        <w:t>s</w:t>
      </w:r>
      <w:r w:rsidR="002432AB">
        <w:rPr>
          <w:lang w:eastAsia="en-AU"/>
        </w:rPr>
        <w:t xml:space="preserve"> </w:t>
      </w:r>
      <w:r w:rsidR="00B80D4F">
        <w:rPr>
          <w:lang w:eastAsia="en-AU"/>
        </w:rPr>
        <w:t>people across all population groups</w:t>
      </w:r>
      <w:r w:rsidR="002432AB">
        <w:rPr>
          <w:lang w:eastAsia="en-AU"/>
        </w:rPr>
        <w:t xml:space="preserve">, it has a disproportionate impact on </w:t>
      </w:r>
      <w:r w:rsidR="006638D2">
        <w:rPr>
          <w:lang w:eastAsia="en-AU"/>
        </w:rPr>
        <w:t xml:space="preserve">women, particularly </w:t>
      </w:r>
      <w:r w:rsidR="002432AB">
        <w:rPr>
          <w:lang w:eastAsia="en-AU"/>
        </w:rPr>
        <w:t>Aboriginal women</w:t>
      </w:r>
      <w:r w:rsidR="006B0F1C">
        <w:rPr>
          <w:lang w:eastAsia="en-AU"/>
        </w:rPr>
        <w:t>.</w:t>
      </w:r>
      <w:r w:rsidR="007E6D71">
        <w:rPr>
          <w:lang w:eastAsia="en-AU"/>
        </w:rPr>
        <w:t xml:space="preserve"> </w:t>
      </w:r>
      <w:r w:rsidR="00DD13CC">
        <w:rPr>
          <w:lang w:eastAsia="en-AU"/>
        </w:rPr>
        <w:t xml:space="preserve"> </w:t>
      </w:r>
      <w:r w:rsidR="003A39E6">
        <w:rPr>
          <w:lang w:eastAsia="en-AU"/>
        </w:rPr>
        <w:t xml:space="preserve">The </w:t>
      </w:r>
      <w:r w:rsidR="00796DBD">
        <w:rPr>
          <w:lang w:eastAsia="en-AU"/>
        </w:rPr>
        <w:t xml:space="preserve">Territory </w:t>
      </w:r>
      <w:r w:rsidR="008047D9">
        <w:rPr>
          <w:lang w:eastAsia="en-AU"/>
        </w:rPr>
        <w:t>Coroner</w:t>
      </w:r>
      <w:r w:rsidR="000C7C73">
        <w:rPr>
          <w:lang w:eastAsia="en-AU"/>
        </w:rPr>
        <w:t xml:space="preserve"> </w:t>
      </w:r>
      <w:r w:rsidR="00DD13CC">
        <w:rPr>
          <w:lang w:eastAsia="en-AU"/>
        </w:rPr>
        <w:t xml:space="preserve">has </w:t>
      </w:r>
      <w:r w:rsidR="00B80D4F">
        <w:rPr>
          <w:lang w:eastAsia="en-AU"/>
        </w:rPr>
        <w:t>identified that from August 2000 th</w:t>
      </w:r>
      <w:r w:rsidR="003E5B83">
        <w:rPr>
          <w:lang w:eastAsia="en-AU"/>
        </w:rPr>
        <w:t xml:space="preserve">rough to August 2019 </w:t>
      </w:r>
      <w:r w:rsidR="00542756">
        <w:rPr>
          <w:lang w:eastAsia="en-AU"/>
        </w:rPr>
        <w:t xml:space="preserve">there were 65 Aboriginal women </w:t>
      </w:r>
      <w:r w:rsidR="00B80D4F">
        <w:rPr>
          <w:lang w:eastAsia="en-AU"/>
        </w:rPr>
        <w:t>killed by a current or former partner</w:t>
      </w:r>
      <w:r w:rsidR="00DD13CC">
        <w:rPr>
          <w:lang w:eastAsia="en-AU"/>
        </w:rPr>
        <w:t xml:space="preserve"> in the NT</w:t>
      </w:r>
      <w:r w:rsidR="00B80D4F">
        <w:rPr>
          <w:lang w:eastAsia="en-AU"/>
        </w:rPr>
        <w:t>.</w:t>
      </w:r>
      <w:r w:rsidR="00C35C49">
        <w:rPr>
          <w:lang w:eastAsia="en-AU"/>
        </w:rPr>
        <w:t xml:space="preserve"> </w:t>
      </w:r>
      <w:r w:rsidR="00A1582F">
        <w:rPr>
          <w:rStyle w:val="FootnoteReference"/>
          <w:lang w:eastAsia="en-AU"/>
        </w:rPr>
        <w:footnoteReference w:id="2"/>
      </w:r>
      <w:r w:rsidR="00614E6C">
        <w:rPr>
          <w:lang w:eastAsia="en-AU"/>
        </w:rPr>
        <w:t xml:space="preserve">  </w:t>
      </w:r>
    </w:p>
    <w:p w14:paraId="788B7558" w14:textId="4E9A54F2" w:rsidR="00DD13CC" w:rsidRDefault="00DD13CC" w:rsidP="001C7B46">
      <w:pPr>
        <w:rPr>
          <w:lang w:eastAsia="en-AU"/>
        </w:rPr>
      </w:pPr>
      <w:r>
        <w:rPr>
          <w:lang w:eastAsia="en-AU"/>
        </w:rPr>
        <w:t>Between 2000 and 2020</w:t>
      </w:r>
      <w:r w:rsidR="003E0BE5">
        <w:rPr>
          <w:lang w:eastAsia="en-AU"/>
        </w:rPr>
        <w:t>,</w:t>
      </w:r>
      <w:r>
        <w:rPr>
          <w:lang w:eastAsia="en-AU"/>
        </w:rPr>
        <w:t xml:space="preserve"> there were 160 DFV-related homicides in the NT (101 homicides by former or current partners and 59 homicides by other family members).</w:t>
      </w:r>
      <w:r>
        <w:rPr>
          <w:rStyle w:val="FootnoteReference"/>
          <w:lang w:eastAsia="en-AU"/>
        </w:rPr>
        <w:footnoteReference w:id="3"/>
      </w:r>
    </w:p>
    <w:p w14:paraId="5B9D3DD4" w14:textId="3184E143" w:rsidR="004C54F1" w:rsidRDefault="002E70F3" w:rsidP="001C7B46">
      <w:pPr>
        <w:rPr>
          <w:lang w:eastAsia="en-AU"/>
        </w:rPr>
      </w:pPr>
      <w:r>
        <w:rPr>
          <w:lang w:eastAsia="en-AU"/>
        </w:rPr>
        <w:t>Research documenting</w:t>
      </w:r>
      <w:r w:rsidR="00535982">
        <w:rPr>
          <w:lang w:eastAsia="en-AU"/>
        </w:rPr>
        <w:t xml:space="preserve"> the perspective of victim-</w:t>
      </w:r>
      <w:r w:rsidR="00061820">
        <w:rPr>
          <w:lang w:eastAsia="en-AU"/>
        </w:rPr>
        <w:t xml:space="preserve">survivors of DFV suggests that the </w:t>
      </w:r>
      <w:r w:rsidR="00C9337B">
        <w:rPr>
          <w:lang w:eastAsia="en-AU"/>
        </w:rPr>
        <w:t xml:space="preserve">justice </w:t>
      </w:r>
      <w:r w:rsidR="00061820">
        <w:rPr>
          <w:lang w:eastAsia="en-AU"/>
        </w:rPr>
        <w:t>system is disjointed an</w:t>
      </w:r>
      <w:r w:rsidR="002C4439">
        <w:rPr>
          <w:lang w:eastAsia="en-AU"/>
        </w:rPr>
        <w:t>d disconnected, is overloaded by</w:t>
      </w:r>
      <w:r w:rsidR="00061820">
        <w:rPr>
          <w:lang w:eastAsia="en-AU"/>
        </w:rPr>
        <w:t xml:space="preserve"> the volume of cases, </w:t>
      </w:r>
      <w:r w:rsidR="00535982">
        <w:rPr>
          <w:lang w:eastAsia="en-AU"/>
        </w:rPr>
        <w:t>does</w:t>
      </w:r>
      <w:r w:rsidR="00FC230D">
        <w:rPr>
          <w:lang w:eastAsia="en-AU"/>
        </w:rPr>
        <w:t xml:space="preserve"> not </w:t>
      </w:r>
      <w:r w:rsidR="00535982">
        <w:rPr>
          <w:lang w:eastAsia="en-AU"/>
        </w:rPr>
        <w:t xml:space="preserve">have </w:t>
      </w:r>
      <w:r w:rsidR="00FC230D">
        <w:rPr>
          <w:lang w:eastAsia="en-AU"/>
        </w:rPr>
        <w:t>sufficient</w:t>
      </w:r>
      <w:r w:rsidR="00061820">
        <w:rPr>
          <w:lang w:eastAsia="en-AU"/>
        </w:rPr>
        <w:t xml:space="preserve"> focus on victim safety or victim support, and </w:t>
      </w:r>
      <w:r w:rsidR="00535982">
        <w:rPr>
          <w:lang w:eastAsia="en-AU"/>
        </w:rPr>
        <w:t xml:space="preserve">does not hold defendants </w:t>
      </w:r>
      <w:r w:rsidR="00E77DEE">
        <w:rPr>
          <w:lang w:eastAsia="en-AU"/>
        </w:rPr>
        <w:t>to account.  Despite the best efforts of many professionals</w:t>
      </w:r>
      <w:r w:rsidR="003E0BE5">
        <w:rPr>
          <w:lang w:eastAsia="en-AU"/>
        </w:rPr>
        <w:t>,</w:t>
      </w:r>
      <w:r w:rsidR="00E77DEE">
        <w:rPr>
          <w:lang w:eastAsia="en-AU"/>
        </w:rPr>
        <w:t xml:space="preserve"> </w:t>
      </w:r>
      <w:r w:rsidR="00061820">
        <w:rPr>
          <w:lang w:eastAsia="en-AU"/>
        </w:rPr>
        <w:t xml:space="preserve">the system </w:t>
      </w:r>
      <w:r w:rsidR="000C4411">
        <w:rPr>
          <w:lang w:eastAsia="en-AU"/>
        </w:rPr>
        <w:t xml:space="preserve">as a whole </w:t>
      </w:r>
      <w:r w:rsidR="00061820">
        <w:rPr>
          <w:lang w:eastAsia="en-AU"/>
        </w:rPr>
        <w:t>is not effective in breaking the cycles of abuse.</w:t>
      </w:r>
      <w:r w:rsidR="000C4411">
        <w:rPr>
          <w:rStyle w:val="FootnoteReference"/>
          <w:lang w:eastAsia="en-AU"/>
        </w:rPr>
        <w:footnoteReference w:id="4"/>
      </w:r>
    </w:p>
    <w:p w14:paraId="219FAADF" w14:textId="38065417" w:rsidR="001F17CE" w:rsidRDefault="001352B6" w:rsidP="001C7B46">
      <w:pPr>
        <w:rPr>
          <w:lang w:eastAsia="en-AU"/>
        </w:rPr>
      </w:pPr>
      <w:r>
        <w:rPr>
          <w:lang w:eastAsia="en-AU"/>
        </w:rPr>
        <w:t xml:space="preserve">DFV has a </w:t>
      </w:r>
      <w:r w:rsidR="00F9653F">
        <w:rPr>
          <w:lang w:eastAsia="en-AU"/>
        </w:rPr>
        <w:t>high rate of reoffending whi</w:t>
      </w:r>
      <w:r w:rsidR="00CD0BC4">
        <w:rPr>
          <w:lang w:eastAsia="en-AU"/>
        </w:rPr>
        <w:t>ch must be addressed</w:t>
      </w:r>
      <w:r w:rsidR="00813EB8">
        <w:rPr>
          <w:lang w:eastAsia="en-AU"/>
        </w:rPr>
        <w:t xml:space="preserve">.  </w:t>
      </w:r>
      <w:r w:rsidR="001E5BC6">
        <w:rPr>
          <w:lang w:eastAsia="en-AU"/>
        </w:rPr>
        <w:t>Over three quarters of defendants found guilty of a DFV-related offence have a prior violent offence and 72 per cent have a prior DFV offence.</w:t>
      </w:r>
      <w:r w:rsidR="001E5BC6">
        <w:rPr>
          <w:rStyle w:val="FootnoteReference"/>
          <w:lang w:eastAsia="en-AU"/>
        </w:rPr>
        <w:footnoteReference w:id="5"/>
      </w:r>
      <w:r w:rsidR="001E5BC6">
        <w:rPr>
          <w:lang w:eastAsia="en-AU"/>
        </w:rPr>
        <w:t xml:space="preserve">  </w:t>
      </w:r>
    </w:p>
    <w:p w14:paraId="6CB414B2" w14:textId="5E8A4DDB" w:rsidR="001352B6" w:rsidRDefault="001352B6" w:rsidP="001352B6">
      <w:pPr>
        <w:rPr>
          <w:lang w:eastAsia="en-AU"/>
        </w:rPr>
      </w:pPr>
      <w:r w:rsidRPr="007E7C76">
        <w:rPr>
          <w:lang w:eastAsia="en-AU"/>
        </w:rPr>
        <w:t>The Department of the</w:t>
      </w:r>
      <w:r>
        <w:rPr>
          <w:lang w:eastAsia="en-AU"/>
        </w:rPr>
        <w:t xml:space="preserve"> Attorney-General and Justice (AGD) </w:t>
      </w:r>
      <w:r w:rsidR="00A33B4E">
        <w:rPr>
          <w:lang w:eastAsia="en-AU"/>
        </w:rPr>
        <w:t>i</w:t>
      </w:r>
      <w:r w:rsidR="00B80D4F">
        <w:rPr>
          <w:lang w:eastAsia="en-AU"/>
        </w:rPr>
        <w:t>s</w:t>
      </w:r>
      <w:r w:rsidRPr="007E7C76">
        <w:rPr>
          <w:lang w:eastAsia="en-AU"/>
        </w:rPr>
        <w:t xml:space="preserve"> </w:t>
      </w:r>
      <w:r>
        <w:rPr>
          <w:lang w:eastAsia="en-AU"/>
        </w:rPr>
        <w:t>undertak</w:t>
      </w:r>
      <w:r w:rsidR="00A33B4E">
        <w:rPr>
          <w:lang w:eastAsia="en-AU"/>
        </w:rPr>
        <w:t xml:space="preserve">ing </w:t>
      </w:r>
      <w:r>
        <w:rPr>
          <w:lang w:eastAsia="en-AU"/>
        </w:rPr>
        <w:t xml:space="preserve">a review </w:t>
      </w:r>
      <w:r w:rsidR="00161709">
        <w:rPr>
          <w:lang w:eastAsia="en-AU"/>
        </w:rPr>
        <w:t xml:space="preserve">of </w:t>
      </w:r>
      <w:r w:rsidRPr="007E7C76">
        <w:rPr>
          <w:lang w:eastAsia="en-AU"/>
        </w:rPr>
        <w:t>legisla</w:t>
      </w:r>
      <w:r w:rsidR="00161709">
        <w:rPr>
          <w:lang w:eastAsia="en-AU"/>
        </w:rPr>
        <w:t>ti</w:t>
      </w:r>
      <w:r w:rsidR="00A36CEB">
        <w:rPr>
          <w:lang w:eastAsia="en-AU"/>
        </w:rPr>
        <w:t>on</w:t>
      </w:r>
      <w:r w:rsidR="00B80D4F">
        <w:rPr>
          <w:lang w:eastAsia="en-AU"/>
        </w:rPr>
        <w:t xml:space="preserve"> </w:t>
      </w:r>
      <w:r w:rsidR="00A36CEB">
        <w:rPr>
          <w:lang w:eastAsia="en-AU"/>
        </w:rPr>
        <w:t xml:space="preserve">and the </w:t>
      </w:r>
      <w:r>
        <w:rPr>
          <w:lang w:eastAsia="en-AU"/>
        </w:rPr>
        <w:t>justice response to DFV</w:t>
      </w:r>
      <w:r w:rsidR="00161709">
        <w:rPr>
          <w:rStyle w:val="FootnoteReference"/>
          <w:lang w:eastAsia="en-AU"/>
        </w:rPr>
        <w:footnoteReference w:id="6"/>
      </w:r>
      <w:r>
        <w:rPr>
          <w:lang w:eastAsia="en-AU"/>
        </w:rPr>
        <w:t xml:space="preserve"> in the N</w:t>
      </w:r>
      <w:r w:rsidR="00C9337B">
        <w:rPr>
          <w:lang w:eastAsia="en-AU"/>
        </w:rPr>
        <w:t>orther</w:t>
      </w:r>
      <w:r w:rsidR="006638D2">
        <w:rPr>
          <w:lang w:eastAsia="en-AU"/>
        </w:rPr>
        <w:t>n</w:t>
      </w:r>
      <w:r w:rsidR="00C9337B">
        <w:rPr>
          <w:lang w:eastAsia="en-AU"/>
        </w:rPr>
        <w:t xml:space="preserve"> Territory (NT)</w:t>
      </w:r>
      <w:r w:rsidRPr="007E7C76">
        <w:rPr>
          <w:lang w:eastAsia="en-AU"/>
        </w:rPr>
        <w:t xml:space="preserve">.  </w:t>
      </w:r>
      <w:r w:rsidR="005F1088">
        <w:rPr>
          <w:lang w:eastAsia="en-AU"/>
        </w:rPr>
        <w:t>One of the elements being considered in t</w:t>
      </w:r>
      <w:r w:rsidR="00A33B4E">
        <w:rPr>
          <w:lang w:eastAsia="en-AU"/>
        </w:rPr>
        <w:t>he review is</w:t>
      </w:r>
      <w:r>
        <w:rPr>
          <w:lang w:eastAsia="en-AU"/>
        </w:rPr>
        <w:t xml:space="preserve"> whether coercive control should be criminalised in the Northern Territory </w:t>
      </w:r>
      <w:r w:rsidR="00C9337B">
        <w:rPr>
          <w:lang w:eastAsia="en-AU"/>
        </w:rPr>
        <w:t>as it is a high</w:t>
      </w:r>
      <w:r w:rsidR="006638D2">
        <w:rPr>
          <w:lang w:eastAsia="en-AU"/>
        </w:rPr>
        <w:t>-</w:t>
      </w:r>
      <w:r w:rsidR="00C9337B">
        <w:rPr>
          <w:lang w:eastAsia="en-AU"/>
        </w:rPr>
        <w:t>risk factor for serious harm and death.</w:t>
      </w:r>
    </w:p>
    <w:p w14:paraId="3A3CCBD5" w14:textId="7EC6CF71" w:rsidR="00DD13CC" w:rsidRDefault="001352B6" w:rsidP="001C7B46">
      <w:pPr>
        <w:rPr>
          <w:lang w:eastAsia="en-AU"/>
        </w:rPr>
      </w:pPr>
      <w:r>
        <w:rPr>
          <w:lang w:eastAsia="en-AU"/>
        </w:rPr>
        <w:t>This paper sets out</w:t>
      </w:r>
      <w:r w:rsidR="0027072F">
        <w:rPr>
          <w:lang w:eastAsia="en-AU"/>
        </w:rPr>
        <w:t xml:space="preserve"> </w:t>
      </w:r>
      <w:r w:rsidR="00E6647F">
        <w:rPr>
          <w:lang w:eastAsia="en-AU"/>
        </w:rPr>
        <w:t>prop</w:t>
      </w:r>
      <w:r w:rsidR="00161709">
        <w:rPr>
          <w:lang w:eastAsia="en-AU"/>
        </w:rPr>
        <w:t>osals for consultatio</w:t>
      </w:r>
      <w:r w:rsidR="006638D2">
        <w:rPr>
          <w:lang w:eastAsia="en-AU"/>
        </w:rPr>
        <w:t>n.</w:t>
      </w:r>
    </w:p>
    <w:p w14:paraId="2C111C8F" w14:textId="77777777" w:rsidR="00DD13CC" w:rsidRDefault="00DD13CC">
      <w:pPr>
        <w:rPr>
          <w:lang w:eastAsia="en-AU"/>
        </w:rPr>
      </w:pPr>
      <w:r>
        <w:rPr>
          <w:lang w:eastAsia="en-AU"/>
        </w:rPr>
        <w:br w:type="page"/>
      </w:r>
    </w:p>
    <w:p w14:paraId="1D7B9A65" w14:textId="77777777" w:rsidR="004E0FD7" w:rsidRDefault="006E2F5D" w:rsidP="00971795">
      <w:pPr>
        <w:pStyle w:val="Heading2"/>
        <w:keepNext/>
        <w:ind w:left="1134"/>
        <w:rPr>
          <w:lang w:eastAsia="en-AU"/>
        </w:rPr>
      </w:pPr>
      <w:bookmarkStart w:id="1" w:name="_Toc112051791"/>
      <w:r>
        <w:rPr>
          <w:lang w:eastAsia="en-AU"/>
        </w:rPr>
        <w:lastRenderedPageBreak/>
        <w:t>Purpose and scope of the review</w:t>
      </w:r>
      <w:bookmarkEnd w:id="1"/>
    </w:p>
    <w:p w14:paraId="29DEE086" w14:textId="514ADB39" w:rsidR="006E2F5D" w:rsidRDefault="00347434" w:rsidP="00971795">
      <w:pPr>
        <w:keepNext/>
        <w:rPr>
          <w:lang w:eastAsia="en-AU"/>
        </w:rPr>
      </w:pPr>
      <w:r>
        <w:rPr>
          <w:lang w:eastAsia="en-AU"/>
        </w:rPr>
        <w:t xml:space="preserve">This </w:t>
      </w:r>
      <w:r w:rsidR="00411458">
        <w:rPr>
          <w:lang w:eastAsia="en-AU"/>
        </w:rPr>
        <w:t>review</w:t>
      </w:r>
      <w:r>
        <w:rPr>
          <w:lang w:eastAsia="en-AU"/>
        </w:rPr>
        <w:t xml:space="preserve"> identifies </w:t>
      </w:r>
      <w:r w:rsidR="003B0F66">
        <w:rPr>
          <w:lang w:eastAsia="en-AU"/>
        </w:rPr>
        <w:t xml:space="preserve">proposed </w:t>
      </w:r>
      <w:r w:rsidR="00E135A7">
        <w:rPr>
          <w:lang w:eastAsia="en-AU"/>
        </w:rPr>
        <w:t xml:space="preserve">legislative and </w:t>
      </w:r>
      <w:r w:rsidR="00B86EE9">
        <w:rPr>
          <w:lang w:eastAsia="en-AU"/>
        </w:rPr>
        <w:t>systems</w:t>
      </w:r>
      <w:r w:rsidR="00B000EB">
        <w:rPr>
          <w:lang w:eastAsia="en-AU"/>
        </w:rPr>
        <w:t xml:space="preserve"> </w:t>
      </w:r>
      <w:r w:rsidR="003B0F66">
        <w:rPr>
          <w:lang w:eastAsia="en-AU"/>
        </w:rPr>
        <w:t>reforms</w:t>
      </w:r>
      <w:r>
        <w:rPr>
          <w:lang w:eastAsia="en-AU"/>
        </w:rPr>
        <w:t xml:space="preserve"> to:</w:t>
      </w:r>
    </w:p>
    <w:p w14:paraId="66582FA5" w14:textId="0ABC7458" w:rsidR="006E2F5D" w:rsidRDefault="003E0BE5" w:rsidP="00A07A23">
      <w:pPr>
        <w:pStyle w:val="ListParagraph"/>
        <w:numPr>
          <w:ilvl w:val="0"/>
          <w:numId w:val="10"/>
        </w:numPr>
        <w:ind w:left="567" w:hanging="567"/>
        <w:rPr>
          <w:lang w:eastAsia="en-AU"/>
        </w:rPr>
      </w:pPr>
      <w:r>
        <w:rPr>
          <w:lang w:eastAsia="en-AU"/>
        </w:rPr>
        <w:t xml:space="preserve">improve </w:t>
      </w:r>
      <w:r w:rsidR="006E2F5D">
        <w:rPr>
          <w:lang w:eastAsia="en-AU"/>
        </w:rPr>
        <w:t>the responsiveness of the justice system to victim</w:t>
      </w:r>
      <w:r w:rsidR="00C25261">
        <w:rPr>
          <w:lang w:eastAsia="en-AU"/>
        </w:rPr>
        <w:t>-survivor</w:t>
      </w:r>
      <w:r w:rsidR="00535982">
        <w:rPr>
          <w:lang w:eastAsia="en-AU"/>
        </w:rPr>
        <w:t>s and people who commit</w:t>
      </w:r>
      <w:r w:rsidR="006E2F5D">
        <w:rPr>
          <w:lang w:eastAsia="en-AU"/>
        </w:rPr>
        <w:t xml:space="preserve"> DFV;</w:t>
      </w:r>
    </w:p>
    <w:p w14:paraId="6028CB45" w14:textId="382F1C3E" w:rsidR="006E2F5D" w:rsidRDefault="003E0BE5" w:rsidP="00A07A23">
      <w:pPr>
        <w:pStyle w:val="ListParagraph"/>
        <w:numPr>
          <w:ilvl w:val="0"/>
          <w:numId w:val="10"/>
        </w:numPr>
        <w:ind w:left="567" w:hanging="567"/>
        <w:rPr>
          <w:lang w:eastAsia="en-AU"/>
        </w:rPr>
      </w:pPr>
      <w:r>
        <w:rPr>
          <w:lang w:eastAsia="en-AU"/>
        </w:rPr>
        <w:t xml:space="preserve">prioritise </w:t>
      </w:r>
      <w:r w:rsidR="006E2F5D">
        <w:rPr>
          <w:lang w:eastAsia="en-AU"/>
        </w:rPr>
        <w:t>the safety and well-being of DFV victim</w:t>
      </w:r>
      <w:r w:rsidR="00AB29FA">
        <w:rPr>
          <w:lang w:eastAsia="en-AU"/>
        </w:rPr>
        <w:t>-survivor</w:t>
      </w:r>
      <w:r w:rsidR="006E2F5D">
        <w:rPr>
          <w:lang w:eastAsia="en-AU"/>
        </w:rPr>
        <w:t>s, includ</w:t>
      </w:r>
      <w:r w:rsidR="00B4160A">
        <w:rPr>
          <w:lang w:eastAsia="en-AU"/>
        </w:rPr>
        <w:t xml:space="preserve">ing children who are exposed to, and impacted by, </w:t>
      </w:r>
      <w:r w:rsidR="006E2F5D">
        <w:rPr>
          <w:lang w:eastAsia="en-AU"/>
        </w:rPr>
        <w:t>DFV;</w:t>
      </w:r>
    </w:p>
    <w:p w14:paraId="180AF959" w14:textId="6FEEC95C" w:rsidR="006E2F5D" w:rsidRDefault="003E0BE5" w:rsidP="00A07A23">
      <w:pPr>
        <w:pStyle w:val="ListParagraph"/>
        <w:numPr>
          <w:ilvl w:val="0"/>
          <w:numId w:val="10"/>
        </w:numPr>
        <w:ind w:left="567" w:hanging="567"/>
        <w:rPr>
          <w:lang w:eastAsia="en-AU"/>
        </w:rPr>
      </w:pPr>
      <w:r>
        <w:rPr>
          <w:lang w:eastAsia="en-AU"/>
        </w:rPr>
        <w:t xml:space="preserve">increase </w:t>
      </w:r>
      <w:r w:rsidR="00AB29FA">
        <w:rPr>
          <w:lang w:eastAsia="en-AU"/>
        </w:rPr>
        <w:t xml:space="preserve">the </w:t>
      </w:r>
      <w:r w:rsidR="00C25261">
        <w:rPr>
          <w:lang w:eastAsia="en-AU"/>
        </w:rPr>
        <w:t>accountability of offenders for their conduct,</w:t>
      </w:r>
      <w:r w:rsidR="00AB29FA">
        <w:rPr>
          <w:lang w:eastAsia="en-AU"/>
        </w:rPr>
        <w:t xml:space="preserve"> </w:t>
      </w:r>
      <w:r w:rsidR="006E2F5D">
        <w:rPr>
          <w:lang w:eastAsia="en-AU"/>
        </w:rPr>
        <w:t xml:space="preserve">and increase opportunities and motivation for </w:t>
      </w:r>
      <w:r w:rsidR="00C25261">
        <w:rPr>
          <w:lang w:eastAsia="en-AU"/>
        </w:rPr>
        <w:t>them</w:t>
      </w:r>
      <w:r w:rsidR="006E2F5D">
        <w:rPr>
          <w:lang w:eastAsia="en-AU"/>
        </w:rPr>
        <w:t xml:space="preserve"> to change their behaviour;</w:t>
      </w:r>
    </w:p>
    <w:p w14:paraId="780C98A8" w14:textId="68E9EB98" w:rsidR="006E2F5D" w:rsidRDefault="00A07A23" w:rsidP="00A07A23">
      <w:pPr>
        <w:pStyle w:val="ListParagraph"/>
        <w:numPr>
          <w:ilvl w:val="0"/>
          <w:numId w:val="10"/>
        </w:numPr>
        <w:ind w:left="567" w:hanging="567"/>
        <w:rPr>
          <w:lang w:eastAsia="en-AU"/>
        </w:rPr>
      </w:pPr>
      <w:r>
        <w:rPr>
          <w:lang w:eastAsia="en-AU"/>
        </w:rPr>
        <w:t xml:space="preserve">take </w:t>
      </w:r>
      <w:r w:rsidR="006E2F5D">
        <w:rPr>
          <w:lang w:eastAsia="en-AU"/>
        </w:rPr>
        <w:t>into account the high percentage of Aboriginal families affected by DFV in the NT and ensure responses are culturally safe and appropriate and informed</w:t>
      </w:r>
      <w:r w:rsidR="00B000EB">
        <w:rPr>
          <w:lang w:eastAsia="en-AU"/>
        </w:rPr>
        <w:t xml:space="preserve"> by the principles in the </w:t>
      </w:r>
      <w:r w:rsidR="006E2F5D">
        <w:rPr>
          <w:lang w:eastAsia="en-AU"/>
        </w:rPr>
        <w:t>Aboriginal Justice Agreement (AJA);</w:t>
      </w:r>
      <w:r>
        <w:rPr>
          <w:lang w:eastAsia="en-AU"/>
        </w:rPr>
        <w:t xml:space="preserve"> and</w:t>
      </w:r>
    </w:p>
    <w:p w14:paraId="16495042" w14:textId="12E9B517" w:rsidR="006E2F5D" w:rsidRDefault="00A07A23" w:rsidP="00A07A23">
      <w:pPr>
        <w:pStyle w:val="ListParagraph"/>
        <w:numPr>
          <w:ilvl w:val="0"/>
          <w:numId w:val="10"/>
        </w:numPr>
        <w:spacing w:after="200"/>
        <w:ind w:left="567" w:hanging="567"/>
        <w:rPr>
          <w:lang w:eastAsia="en-AU"/>
        </w:rPr>
      </w:pPr>
      <w:r>
        <w:rPr>
          <w:lang w:eastAsia="en-AU"/>
        </w:rPr>
        <w:t xml:space="preserve">consider </w:t>
      </w:r>
      <w:r w:rsidR="006E2F5D">
        <w:rPr>
          <w:lang w:eastAsia="en-AU"/>
        </w:rPr>
        <w:t>whether criminalising coercive control</w:t>
      </w:r>
      <w:r w:rsidR="00E92557">
        <w:rPr>
          <w:lang w:eastAsia="en-AU"/>
        </w:rPr>
        <w:t xml:space="preserve"> is likely to</w:t>
      </w:r>
      <w:r w:rsidR="006E2F5D">
        <w:rPr>
          <w:lang w:eastAsia="en-AU"/>
        </w:rPr>
        <w:t xml:space="preserve"> contribute to improved responses to DFV in the NT</w:t>
      </w:r>
      <w:r w:rsidR="00CE20BB">
        <w:rPr>
          <w:lang w:eastAsia="en-AU"/>
        </w:rPr>
        <w:t>.</w:t>
      </w:r>
    </w:p>
    <w:p w14:paraId="16951FEF" w14:textId="4C8D1540" w:rsidR="00E37508" w:rsidRDefault="00535982">
      <w:pPr>
        <w:rPr>
          <w:lang w:eastAsia="en-AU"/>
        </w:rPr>
      </w:pPr>
      <w:r>
        <w:rPr>
          <w:lang w:eastAsia="en-AU"/>
        </w:rPr>
        <w:t>Th</w:t>
      </w:r>
      <w:r w:rsidR="00411458">
        <w:rPr>
          <w:lang w:eastAsia="en-AU"/>
        </w:rPr>
        <w:t>e</w:t>
      </w:r>
      <w:r>
        <w:rPr>
          <w:lang w:eastAsia="en-AU"/>
        </w:rPr>
        <w:t xml:space="preserve"> </w:t>
      </w:r>
      <w:r w:rsidR="00BF75C4">
        <w:rPr>
          <w:lang w:eastAsia="en-AU"/>
        </w:rPr>
        <w:t xml:space="preserve">review is </w:t>
      </w:r>
      <w:r w:rsidR="007961FB">
        <w:rPr>
          <w:lang w:eastAsia="en-AU"/>
        </w:rPr>
        <w:t>an initiative under</w:t>
      </w:r>
      <w:r>
        <w:rPr>
          <w:lang w:eastAsia="en-AU"/>
        </w:rPr>
        <w:t xml:space="preserve"> the NT’s </w:t>
      </w:r>
      <w:r w:rsidRPr="00535982">
        <w:rPr>
          <w:i/>
          <w:lang w:eastAsia="en-AU"/>
        </w:rPr>
        <w:t>Domestic, Family and Sexual Violence Reduction Framework</w:t>
      </w:r>
      <w:r>
        <w:rPr>
          <w:i/>
          <w:lang w:eastAsia="en-AU"/>
        </w:rPr>
        <w:t xml:space="preserve"> 2018-2028: Safe, Respected and Free of V</w:t>
      </w:r>
      <w:r w:rsidRPr="00535982">
        <w:rPr>
          <w:i/>
          <w:lang w:eastAsia="en-AU"/>
        </w:rPr>
        <w:t>iolence</w:t>
      </w:r>
      <w:r>
        <w:rPr>
          <w:lang w:eastAsia="en-AU"/>
        </w:rPr>
        <w:t xml:space="preserve"> (see below</w:t>
      </w:r>
      <w:r w:rsidR="00BF75C4">
        <w:rPr>
          <w:lang w:eastAsia="en-AU"/>
        </w:rPr>
        <w:t>).</w:t>
      </w:r>
    </w:p>
    <w:p w14:paraId="5BBC0BD6" w14:textId="150F52E0" w:rsidR="006C3E84" w:rsidRDefault="007961FB" w:rsidP="006C3E84">
      <w:pPr>
        <w:rPr>
          <w:lang w:eastAsia="en-AU"/>
        </w:rPr>
      </w:pPr>
      <w:r w:rsidRPr="00411458">
        <w:rPr>
          <w:lang w:eastAsia="en-AU"/>
        </w:rPr>
        <w:t xml:space="preserve">The review acknowledges that sexual violence </w:t>
      </w:r>
      <w:r w:rsidR="00411458" w:rsidRPr="00411458">
        <w:rPr>
          <w:lang w:eastAsia="en-AU"/>
        </w:rPr>
        <w:t xml:space="preserve">is a form of DFV </w:t>
      </w:r>
      <w:r w:rsidR="00EB69E5">
        <w:rPr>
          <w:lang w:eastAsia="en-AU"/>
        </w:rPr>
        <w:t>if</w:t>
      </w:r>
      <w:r w:rsidR="00E37508" w:rsidRPr="00411458">
        <w:rPr>
          <w:lang w:eastAsia="en-AU"/>
        </w:rPr>
        <w:t xml:space="preserve"> </w:t>
      </w:r>
      <w:r w:rsidR="00BF75C4" w:rsidRPr="00411458">
        <w:rPr>
          <w:lang w:eastAsia="en-AU"/>
        </w:rPr>
        <w:t xml:space="preserve">the victim-survivor and </w:t>
      </w:r>
      <w:r w:rsidR="003F6D78">
        <w:rPr>
          <w:lang w:eastAsia="en-AU"/>
        </w:rPr>
        <w:t xml:space="preserve">the </w:t>
      </w:r>
      <w:r w:rsidR="00BF75C4" w:rsidRPr="00411458">
        <w:rPr>
          <w:lang w:eastAsia="en-AU"/>
        </w:rPr>
        <w:t xml:space="preserve">offender are </w:t>
      </w:r>
      <w:r w:rsidR="00E37508" w:rsidRPr="00411458">
        <w:rPr>
          <w:lang w:eastAsia="en-AU"/>
        </w:rPr>
        <w:t>in a domestic relationshi</w:t>
      </w:r>
      <w:r w:rsidR="00BF75C4" w:rsidRPr="00411458">
        <w:rPr>
          <w:lang w:eastAsia="en-AU"/>
        </w:rPr>
        <w:t>p</w:t>
      </w:r>
      <w:r w:rsidR="006C3E84" w:rsidRPr="00411458">
        <w:rPr>
          <w:lang w:eastAsia="en-AU"/>
        </w:rPr>
        <w:t xml:space="preserve">, </w:t>
      </w:r>
      <w:r w:rsidR="00411458">
        <w:rPr>
          <w:lang w:eastAsia="en-AU"/>
        </w:rPr>
        <w:t xml:space="preserve">including </w:t>
      </w:r>
      <w:r w:rsidR="009D3B80">
        <w:rPr>
          <w:lang w:eastAsia="en-AU"/>
        </w:rPr>
        <w:t xml:space="preserve">a sexual offence </w:t>
      </w:r>
      <w:r w:rsidR="00411458">
        <w:rPr>
          <w:lang w:eastAsia="en-AU"/>
        </w:rPr>
        <w:t>committed by a</w:t>
      </w:r>
      <w:r w:rsidR="00A07A23">
        <w:rPr>
          <w:lang w:eastAsia="en-AU"/>
        </w:rPr>
        <w:t xml:space="preserve"> partner, ex</w:t>
      </w:r>
      <w:r w:rsidR="00A07A23">
        <w:rPr>
          <w:lang w:eastAsia="en-AU"/>
        </w:rPr>
        <w:noBreakHyphen/>
      </w:r>
      <w:r w:rsidR="006C3E84" w:rsidRPr="00411458">
        <w:rPr>
          <w:lang w:eastAsia="en-AU"/>
        </w:rPr>
        <w:t xml:space="preserve">partner </w:t>
      </w:r>
      <w:r w:rsidR="00411458">
        <w:rPr>
          <w:lang w:eastAsia="en-AU"/>
        </w:rPr>
        <w:t>or</w:t>
      </w:r>
      <w:r w:rsidR="006C3E84" w:rsidRPr="00411458">
        <w:rPr>
          <w:lang w:eastAsia="en-AU"/>
        </w:rPr>
        <w:t xml:space="preserve"> family member</w:t>
      </w:r>
      <w:r w:rsidR="00411458" w:rsidRPr="00411458">
        <w:rPr>
          <w:lang w:eastAsia="en-AU"/>
        </w:rPr>
        <w:t>.</w:t>
      </w:r>
      <w:r w:rsidR="006C3E84" w:rsidRPr="00411458">
        <w:rPr>
          <w:lang w:eastAsia="en-AU"/>
        </w:rPr>
        <w:t xml:space="preserve"> </w:t>
      </w:r>
      <w:r w:rsidR="00411458">
        <w:rPr>
          <w:lang w:eastAsia="en-AU"/>
        </w:rPr>
        <w:t xml:space="preserve"> </w:t>
      </w:r>
      <w:r w:rsidR="006C3E84" w:rsidRPr="00411458">
        <w:rPr>
          <w:lang w:eastAsia="en-AU"/>
        </w:rPr>
        <w:t>However</w:t>
      </w:r>
      <w:r w:rsidR="00411458">
        <w:rPr>
          <w:lang w:eastAsia="en-AU"/>
        </w:rPr>
        <w:t>, l</w:t>
      </w:r>
      <w:r w:rsidR="007845CF">
        <w:t xml:space="preserve">egislative reform in relation to sexual offences </w:t>
      </w:r>
      <w:r w:rsidR="002C1F00">
        <w:t>is</w:t>
      </w:r>
      <w:r w:rsidR="007845CF">
        <w:t xml:space="preserve"> being considered by the Government</w:t>
      </w:r>
      <w:r w:rsidR="002C1F00">
        <w:t xml:space="preserve"> separately, and is not </w:t>
      </w:r>
      <w:r w:rsidR="00A35F87">
        <w:t>included</w:t>
      </w:r>
      <w:r w:rsidR="002C1F00">
        <w:t xml:space="preserve"> </w:t>
      </w:r>
      <w:r w:rsidR="00A35F87">
        <w:t>in</w:t>
      </w:r>
      <w:r w:rsidR="002C1F00">
        <w:t xml:space="preserve"> this </w:t>
      </w:r>
      <w:r w:rsidR="001C16A0">
        <w:t>review</w:t>
      </w:r>
      <w:r w:rsidR="002C1F00">
        <w:t>.</w:t>
      </w:r>
    </w:p>
    <w:p w14:paraId="2D747453" w14:textId="3F7D209A" w:rsidR="00B000EB" w:rsidRDefault="00B000EB" w:rsidP="00A07A23">
      <w:pPr>
        <w:pStyle w:val="Heading2"/>
        <w:ind w:left="1134"/>
        <w:rPr>
          <w:lang w:eastAsia="en-AU"/>
        </w:rPr>
      </w:pPr>
      <w:bookmarkStart w:id="2" w:name="_Toc112051792"/>
      <w:r>
        <w:rPr>
          <w:lang w:eastAsia="en-AU"/>
        </w:rPr>
        <w:t>Structure of th</w:t>
      </w:r>
      <w:r w:rsidR="00385A00">
        <w:rPr>
          <w:lang w:eastAsia="en-AU"/>
        </w:rPr>
        <w:t>is paper</w:t>
      </w:r>
      <w:bookmarkEnd w:id="2"/>
    </w:p>
    <w:p w14:paraId="3FAF6782" w14:textId="76B1269C" w:rsidR="00B000EB" w:rsidRPr="00C87392" w:rsidRDefault="00B000EB" w:rsidP="00A41C91">
      <w:pPr>
        <w:rPr>
          <w:lang w:eastAsia="en-AU"/>
        </w:rPr>
      </w:pPr>
      <w:r>
        <w:rPr>
          <w:lang w:eastAsia="en-AU"/>
        </w:rPr>
        <w:t xml:space="preserve">This </w:t>
      </w:r>
      <w:r w:rsidR="00FB16EF">
        <w:rPr>
          <w:lang w:eastAsia="en-AU"/>
        </w:rPr>
        <w:t>paper</w:t>
      </w:r>
      <w:r>
        <w:rPr>
          <w:lang w:eastAsia="en-AU"/>
        </w:rPr>
        <w:t xml:space="preserve"> is structured in the following way:</w:t>
      </w:r>
    </w:p>
    <w:p w14:paraId="06FE8158" w14:textId="2A9BF64C" w:rsidR="00B000EB" w:rsidRPr="00C87392" w:rsidRDefault="00A41C91" w:rsidP="00A07A23">
      <w:pPr>
        <w:tabs>
          <w:tab w:val="left" w:pos="1134"/>
        </w:tabs>
        <w:rPr>
          <w:lang w:eastAsia="en-AU"/>
        </w:rPr>
      </w:pPr>
      <w:r>
        <w:rPr>
          <w:lang w:eastAsia="en-AU"/>
        </w:rPr>
        <w:t>Part 1</w:t>
      </w:r>
      <w:r w:rsidR="00B000EB" w:rsidRPr="00C87392">
        <w:rPr>
          <w:lang w:eastAsia="en-AU"/>
        </w:rPr>
        <w:tab/>
        <w:t>Introduction</w:t>
      </w:r>
    </w:p>
    <w:p w14:paraId="3D27FD47" w14:textId="349DDF56" w:rsidR="00B000EB" w:rsidRPr="00C87392" w:rsidRDefault="00A41C91" w:rsidP="00A07A23">
      <w:pPr>
        <w:tabs>
          <w:tab w:val="left" w:pos="1134"/>
        </w:tabs>
        <w:rPr>
          <w:lang w:eastAsia="en-AU"/>
        </w:rPr>
      </w:pPr>
      <w:r>
        <w:rPr>
          <w:lang w:eastAsia="en-AU"/>
        </w:rPr>
        <w:t>Part 2</w:t>
      </w:r>
      <w:r w:rsidR="00B000EB" w:rsidRPr="00C87392">
        <w:rPr>
          <w:lang w:eastAsia="en-AU"/>
        </w:rPr>
        <w:tab/>
        <w:t>Overview of DFV in the NT</w:t>
      </w:r>
    </w:p>
    <w:p w14:paraId="3C55E08F" w14:textId="15CBA639" w:rsidR="00B000EB" w:rsidRPr="00C87392" w:rsidRDefault="00A41C91" w:rsidP="00A07A23">
      <w:pPr>
        <w:tabs>
          <w:tab w:val="left" w:pos="1134"/>
        </w:tabs>
        <w:rPr>
          <w:lang w:eastAsia="en-AU"/>
        </w:rPr>
      </w:pPr>
      <w:r>
        <w:rPr>
          <w:lang w:eastAsia="en-AU"/>
        </w:rPr>
        <w:t>Part 3</w:t>
      </w:r>
      <w:r w:rsidR="00B000EB" w:rsidRPr="00C87392">
        <w:rPr>
          <w:lang w:eastAsia="en-AU"/>
        </w:rPr>
        <w:tab/>
        <w:t xml:space="preserve">Coercive control </w:t>
      </w:r>
      <w:r w:rsidR="00481A52">
        <w:rPr>
          <w:lang w:eastAsia="en-AU"/>
        </w:rPr>
        <w:t>reforms</w:t>
      </w:r>
    </w:p>
    <w:p w14:paraId="0051BD64" w14:textId="740CE09D" w:rsidR="00B000EB" w:rsidRPr="00C87392" w:rsidRDefault="00B000EB" w:rsidP="00A07A23">
      <w:pPr>
        <w:tabs>
          <w:tab w:val="left" w:pos="1134"/>
        </w:tabs>
        <w:rPr>
          <w:lang w:eastAsia="en-AU"/>
        </w:rPr>
      </w:pPr>
      <w:r w:rsidRPr="00C87392">
        <w:rPr>
          <w:lang w:eastAsia="en-AU"/>
        </w:rPr>
        <w:t xml:space="preserve">Part </w:t>
      </w:r>
      <w:r w:rsidR="00A41C91">
        <w:rPr>
          <w:lang w:eastAsia="en-AU"/>
        </w:rPr>
        <w:t>4</w:t>
      </w:r>
      <w:r w:rsidR="00C87392">
        <w:rPr>
          <w:lang w:eastAsia="en-AU"/>
        </w:rPr>
        <w:tab/>
        <w:t>Legislative proposals to address DFV</w:t>
      </w:r>
    </w:p>
    <w:p w14:paraId="5738FE55" w14:textId="407EB0F8" w:rsidR="00B000EB" w:rsidRDefault="00A41C91" w:rsidP="00A07A23">
      <w:pPr>
        <w:ind w:left="1134"/>
        <w:rPr>
          <w:lang w:eastAsia="en-AU"/>
        </w:rPr>
      </w:pPr>
      <w:r>
        <w:rPr>
          <w:lang w:eastAsia="en-AU"/>
        </w:rPr>
        <w:t>Part 4</w:t>
      </w:r>
      <w:r w:rsidR="00B000EB">
        <w:rPr>
          <w:lang w:eastAsia="en-AU"/>
        </w:rPr>
        <w:t xml:space="preserve">.1 sets out proposed amendments to the </w:t>
      </w:r>
      <w:r w:rsidR="00B000EB" w:rsidRPr="008A4912">
        <w:rPr>
          <w:i/>
          <w:iCs/>
          <w:lang w:eastAsia="en-AU"/>
        </w:rPr>
        <w:t>Domestic and Family Violence Act 2007</w:t>
      </w:r>
      <w:r w:rsidR="005E1698">
        <w:rPr>
          <w:lang w:eastAsia="en-AU"/>
        </w:rPr>
        <w:t xml:space="preserve"> </w:t>
      </w:r>
      <w:r w:rsidR="00A07A23">
        <w:rPr>
          <w:lang w:eastAsia="en-AU"/>
        </w:rPr>
        <w:t xml:space="preserve">(DFV Act). </w:t>
      </w:r>
      <w:r w:rsidR="00B000EB">
        <w:rPr>
          <w:lang w:eastAsia="en-AU"/>
        </w:rPr>
        <w:t xml:space="preserve">The majority of </w:t>
      </w:r>
      <w:r w:rsidR="00481A52">
        <w:rPr>
          <w:lang w:eastAsia="en-AU"/>
        </w:rPr>
        <w:t>the proposals relate to this Act</w:t>
      </w:r>
      <w:r w:rsidR="00B000EB">
        <w:rPr>
          <w:lang w:eastAsia="en-AU"/>
        </w:rPr>
        <w:t>.</w:t>
      </w:r>
    </w:p>
    <w:p w14:paraId="4081D5C0" w14:textId="55F0B469" w:rsidR="00B000EB" w:rsidRDefault="00A41C91" w:rsidP="00A07A23">
      <w:pPr>
        <w:ind w:left="1134"/>
        <w:rPr>
          <w:lang w:eastAsia="en-AU"/>
        </w:rPr>
      </w:pPr>
      <w:r>
        <w:rPr>
          <w:lang w:eastAsia="en-AU"/>
        </w:rPr>
        <w:t>Part 4</w:t>
      </w:r>
      <w:r w:rsidR="00B000EB">
        <w:rPr>
          <w:lang w:eastAsia="en-AU"/>
        </w:rPr>
        <w:t xml:space="preserve">.2 sets out proposed amendments to the </w:t>
      </w:r>
      <w:r w:rsidR="00B000EB" w:rsidRPr="008A4912">
        <w:rPr>
          <w:i/>
          <w:iCs/>
          <w:lang w:eastAsia="en-AU"/>
        </w:rPr>
        <w:t>Bail Act 1982</w:t>
      </w:r>
    </w:p>
    <w:p w14:paraId="4FF1FC8B" w14:textId="27D6A187" w:rsidR="00B000EB" w:rsidRDefault="00A41C91" w:rsidP="00A07A23">
      <w:pPr>
        <w:ind w:left="1134"/>
        <w:rPr>
          <w:lang w:eastAsia="en-AU"/>
        </w:rPr>
      </w:pPr>
      <w:r>
        <w:rPr>
          <w:lang w:eastAsia="en-AU"/>
        </w:rPr>
        <w:t>Part 4</w:t>
      </w:r>
      <w:r w:rsidR="00B000EB">
        <w:rPr>
          <w:lang w:eastAsia="en-AU"/>
        </w:rPr>
        <w:t xml:space="preserve">.3 sets out proposed amendments to the </w:t>
      </w:r>
      <w:r w:rsidR="00B000EB" w:rsidRPr="008A4912">
        <w:rPr>
          <w:i/>
          <w:iCs/>
          <w:lang w:eastAsia="en-AU"/>
        </w:rPr>
        <w:t>Sentencing Act 1995</w:t>
      </w:r>
    </w:p>
    <w:p w14:paraId="11723984" w14:textId="7E453266" w:rsidR="00B000EB" w:rsidRDefault="00A41C91" w:rsidP="00A07A23">
      <w:pPr>
        <w:ind w:left="1134"/>
        <w:rPr>
          <w:lang w:eastAsia="en-AU"/>
        </w:rPr>
      </w:pPr>
      <w:r>
        <w:rPr>
          <w:lang w:eastAsia="en-AU"/>
        </w:rPr>
        <w:t>Part 4</w:t>
      </w:r>
      <w:r w:rsidR="00B000EB">
        <w:rPr>
          <w:lang w:eastAsia="en-AU"/>
        </w:rPr>
        <w:t>.4 sets out proposed amendments to the Criminal Code</w:t>
      </w:r>
    </w:p>
    <w:p w14:paraId="66152856" w14:textId="55722EC0" w:rsidR="00B000EB" w:rsidRDefault="00A41C91" w:rsidP="00A07A23">
      <w:pPr>
        <w:ind w:left="1134"/>
        <w:rPr>
          <w:lang w:eastAsia="en-AU"/>
        </w:rPr>
      </w:pPr>
      <w:r>
        <w:rPr>
          <w:lang w:eastAsia="en-AU"/>
        </w:rPr>
        <w:t>Part 4</w:t>
      </w:r>
      <w:r w:rsidR="00B000EB">
        <w:rPr>
          <w:lang w:eastAsia="en-AU"/>
        </w:rPr>
        <w:t xml:space="preserve">.5 sets out proposed amendments to the </w:t>
      </w:r>
      <w:r w:rsidR="00B000EB" w:rsidRPr="008A4912">
        <w:rPr>
          <w:i/>
          <w:iCs/>
          <w:lang w:eastAsia="en-AU"/>
        </w:rPr>
        <w:t>Evidence Act 1939</w:t>
      </w:r>
    </w:p>
    <w:p w14:paraId="54B94B99" w14:textId="024870EF" w:rsidR="00B000EB" w:rsidRDefault="00A41C91" w:rsidP="00A07A23">
      <w:pPr>
        <w:ind w:left="1134"/>
        <w:rPr>
          <w:i/>
          <w:iCs/>
          <w:lang w:eastAsia="en-AU"/>
        </w:rPr>
      </w:pPr>
      <w:r>
        <w:rPr>
          <w:lang w:eastAsia="en-AU"/>
        </w:rPr>
        <w:t>Part 4</w:t>
      </w:r>
      <w:r w:rsidR="00B000EB">
        <w:rPr>
          <w:lang w:eastAsia="en-AU"/>
        </w:rPr>
        <w:t xml:space="preserve">.6 sets out proposed amendments to </w:t>
      </w:r>
      <w:r w:rsidR="00B000EB" w:rsidRPr="008A4912">
        <w:rPr>
          <w:i/>
          <w:iCs/>
          <w:lang w:eastAsia="en-AU"/>
        </w:rPr>
        <w:t>Evidenc</w:t>
      </w:r>
      <w:r w:rsidR="008A5707">
        <w:rPr>
          <w:i/>
          <w:iCs/>
          <w:lang w:eastAsia="en-AU"/>
        </w:rPr>
        <w:t>e (National Uniform Law) Act 201</w:t>
      </w:r>
      <w:r w:rsidR="00B000EB" w:rsidRPr="008A4912">
        <w:rPr>
          <w:i/>
          <w:iCs/>
          <w:lang w:eastAsia="en-AU"/>
        </w:rPr>
        <w:t>1</w:t>
      </w:r>
    </w:p>
    <w:p w14:paraId="3377852A" w14:textId="57AE05E5" w:rsidR="00C87392" w:rsidRPr="00C87392" w:rsidRDefault="00A41C91" w:rsidP="00A07A23">
      <w:pPr>
        <w:ind w:left="1134"/>
        <w:rPr>
          <w:lang w:eastAsia="en-AU"/>
        </w:rPr>
      </w:pPr>
      <w:r>
        <w:rPr>
          <w:iCs/>
          <w:lang w:eastAsia="en-AU"/>
        </w:rPr>
        <w:t>Part 4</w:t>
      </w:r>
      <w:r w:rsidR="00C87392">
        <w:rPr>
          <w:iCs/>
          <w:lang w:eastAsia="en-AU"/>
        </w:rPr>
        <w:t xml:space="preserve">.7 sets out proposed amendments to the </w:t>
      </w:r>
      <w:r w:rsidR="00C87392" w:rsidRPr="00C87392">
        <w:rPr>
          <w:i/>
          <w:iCs/>
          <w:lang w:eastAsia="en-AU"/>
        </w:rPr>
        <w:t>Local Court (Criminal Procedure) Act 1928</w:t>
      </w:r>
    </w:p>
    <w:p w14:paraId="40443B30" w14:textId="5C180E86" w:rsidR="00B000EB" w:rsidRPr="00C87392" w:rsidRDefault="00A41C91" w:rsidP="00A07A23">
      <w:pPr>
        <w:tabs>
          <w:tab w:val="left" w:pos="1134"/>
        </w:tabs>
        <w:rPr>
          <w:lang w:eastAsia="en-AU"/>
        </w:rPr>
      </w:pPr>
      <w:r>
        <w:rPr>
          <w:lang w:eastAsia="en-AU"/>
        </w:rPr>
        <w:t>Part 5</w:t>
      </w:r>
      <w:r w:rsidR="00C87392">
        <w:rPr>
          <w:lang w:eastAsia="en-AU"/>
        </w:rPr>
        <w:tab/>
      </w:r>
      <w:r w:rsidR="00B86EE9">
        <w:rPr>
          <w:lang w:eastAsia="en-AU"/>
        </w:rPr>
        <w:t>System</w:t>
      </w:r>
      <w:r w:rsidR="005F1088">
        <w:rPr>
          <w:lang w:eastAsia="en-AU"/>
        </w:rPr>
        <w:t>ic</w:t>
      </w:r>
      <w:r w:rsidR="0083705C" w:rsidRPr="00C87392">
        <w:rPr>
          <w:lang w:eastAsia="en-AU"/>
        </w:rPr>
        <w:t xml:space="preserve"> reform</w:t>
      </w:r>
      <w:r>
        <w:rPr>
          <w:lang w:eastAsia="en-AU"/>
        </w:rPr>
        <w:t>s</w:t>
      </w:r>
      <w:r w:rsidR="00C87392">
        <w:rPr>
          <w:lang w:eastAsia="en-AU"/>
        </w:rPr>
        <w:t xml:space="preserve"> to address DFV</w:t>
      </w:r>
    </w:p>
    <w:p w14:paraId="1BF56379" w14:textId="16AFB0DD" w:rsidR="00B81B9B" w:rsidRDefault="00B81B9B" w:rsidP="00A07A23">
      <w:pPr>
        <w:pStyle w:val="Heading2"/>
        <w:keepNext/>
        <w:tabs>
          <w:tab w:val="left" w:pos="1134"/>
        </w:tabs>
        <w:ind w:left="1134" w:hanging="578"/>
        <w:rPr>
          <w:lang w:eastAsia="en-AU"/>
        </w:rPr>
      </w:pPr>
      <w:bookmarkStart w:id="3" w:name="_Toc112051793"/>
      <w:r>
        <w:rPr>
          <w:lang w:eastAsia="en-AU"/>
        </w:rPr>
        <w:lastRenderedPageBreak/>
        <w:t>Terminology</w:t>
      </w:r>
      <w:bookmarkEnd w:id="3"/>
    </w:p>
    <w:p w14:paraId="63639893" w14:textId="6C899D80" w:rsidR="006C3E84" w:rsidRDefault="00622F4B">
      <w:pPr>
        <w:rPr>
          <w:lang w:eastAsia="en-AU"/>
        </w:rPr>
      </w:pPr>
      <w:r>
        <w:rPr>
          <w:lang w:eastAsia="en-AU"/>
        </w:rPr>
        <w:t xml:space="preserve">Consistent with </w:t>
      </w:r>
      <w:r w:rsidR="00F35323">
        <w:rPr>
          <w:lang w:eastAsia="en-AU"/>
        </w:rPr>
        <w:t>the</w:t>
      </w:r>
      <w:r>
        <w:rPr>
          <w:lang w:eastAsia="en-AU"/>
        </w:rPr>
        <w:t xml:space="preserve"> </w:t>
      </w:r>
      <w:r w:rsidR="00481A52">
        <w:rPr>
          <w:lang w:eastAsia="en-AU"/>
        </w:rPr>
        <w:t xml:space="preserve">title of the </w:t>
      </w:r>
      <w:r w:rsidR="005E1698" w:rsidRPr="005E1698">
        <w:rPr>
          <w:lang w:eastAsia="en-AU"/>
        </w:rPr>
        <w:t>DFVA</w:t>
      </w:r>
      <w:r w:rsidR="00F9670E" w:rsidRPr="005E1698">
        <w:rPr>
          <w:lang w:eastAsia="en-AU"/>
        </w:rPr>
        <w:t>,</w:t>
      </w:r>
      <w:r w:rsidR="005E1698">
        <w:rPr>
          <w:lang w:eastAsia="en-AU"/>
        </w:rPr>
        <w:t xml:space="preserve"> this</w:t>
      </w:r>
      <w:r w:rsidR="00F9670E">
        <w:rPr>
          <w:lang w:eastAsia="en-AU"/>
        </w:rPr>
        <w:t xml:space="preserve"> </w:t>
      </w:r>
      <w:r w:rsidR="00866493">
        <w:rPr>
          <w:lang w:eastAsia="en-AU"/>
        </w:rPr>
        <w:t>paper</w:t>
      </w:r>
      <w:r w:rsidR="00F9670E">
        <w:rPr>
          <w:lang w:eastAsia="en-AU"/>
        </w:rPr>
        <w:t xml:space="preserve"> </w:t>
      </w:r>
      <w:r w:rsidR="00F35323">
        <w:rPr>
          <w:lang w:eastAsia="en-AU"/>
        </w:rPr>
        <w:t>use</w:t>
      </w:r>
      <w:r w:rsidR="00F9670E">
        <w:rPr>
          <w:lang w:eastAsia="en-AU"/>
        </w:rPr>
        <w:t>s</w:t>
      </w:r>
      <w:r w:rsidR="00F35323">
        <w:rPr>
          <w:lang w:eastAsia="en-AU"/>
        </w:rPr>
        <w:t xml:space="preserve"> the </w:t>
      </w:r>
      <w:r w:rsidR="00F9670E">
        <w:rPr>
          <w:lang w:eastAsia="en-AU"/>
        </w:rPr>
        <w:t xml:space="preserve">term </w:t>
      </w:r>
      <w:r w:rsidR="00F35323">
        <w:rPr>
          <w:lang w:eastAsia="en-AU"/>
        </w:rPr>
        <w:t>‘domestic and family violence’, abbreviated to DFV</w:t>
      </w:r>
      <w:r w:rsidR="004D309A">
        <w:rPr>
          <w:lang w:eastAsia="en-AU"/>
        </w:rPr>
        <w:t xml:space="preserve"> (</w:t>
      </w:r>
      <w:r w:rsidR="00087813">
        <w:rPr>
          <w:lang w:eastAsia="en-AU"/>
        </w:rPr>
        <w:t xml:space="preserve">noting that ‘domestic violence’ is the </w:t>
      </w:r>
      <w:r w:rsidR="005838C4">
        <w:rPr>
          <w:lang w:eastAsia="en-AU"/>
        </w:rPr>
        <w:t>key</w:t>
      </w:r>
      <w:r w:rsidR="00CD3E9B">
        <w:rPr>
          <w:lang w:eastAsia="en-AU"/>
        </w:rPr>
        <w:t xml:space="preserve"> term used</w:t>
      </w:r>
      <w:r w:rsidR="00087813">
        <w:rPr>
          <w:lang w:eastAsia="en-AU"/>
        </w:rPr>
        <w:t xml:space="preserve"> </w:t>
      </w:r>
      <w:r w:rsidR="00CF4568">
        <w:rPr>
          <w:lang w:eastAsia="en-AU"/>
        </w:rPr>
        <w:t>within</w:t>
      </w:r>
      <w:r w:rsidR="00A835F1">
        <w:rPr>
          <w:lang w:eastAsia="en-AU"/>
        </w:rPr>
        <w:t xml:space="preserve"> the DFV</w:t>
      </w:r>
      <w:r w:rsidR="00A07A23">
        <w:rPr>
          <w:lang w:eastAsia="en-AU"/>
        </w:rPr>
        <w:t> </w:t>
      </w:r>
      <w:r w:rsidR="00A835F1">
        <w:rPr>
          <w:lang w:eastAsia="en-AU"/>
        </w:rPr>
        <w:t>A</w:t>
      </w:r>
      <w:r w:rsidR="00A07A23">
        <w:rPr>
          <w:lang w:eastAsia="en-AU"/>
        </w:rPr>
        <w:t>ct</w:t>
      </w:r>
      <w:r w:rsidR="00CD3E9B">
        <w:rPr>
          <w:lang w:eastAsia="en-AU"/>
        </w:rPr>
        <w:t xml:space="preserve"> and defined in section 5</w:t>
      </w:r>
      <w:r w:rsidR="004D309A">
        <w:rPr>
          <w:lang w:eastAsia="en-AU"/>
        </w:rPr>
        <w:t>)</w:t>
      </w:r>
      <w:r w:rsidR="00087813">
        <w:rPr>
          <w:lang w:eastAsia="en-AU"/>
        </w:rPr>
        <w:t>.</w:t>
      </w:r>
      <w:r w:rsidR="005E1698">
        <w:rPr>
          <w:rStyle w:val="FootnoteReference"/>
          <w:lang w:eastAsia="en-AU"/>
        </w:rPr>
        <w:footnoteReference w:id="7"/>
      </w:r>
      <w:r w:rsidR="005E1698">
        <w:rPr>
          <w:lang w:eastAsia="en-AU"/>
        </w:rPr>
        <w:t xml:space="preserve">  </w:t>
      </w:r>
    </w:p>
    <w:p w14:paraId="2FF5C6E4" w14:textId="4341DDCD" w:rsidR="00B81B9B" w:rsidRDefault="006C3E84">
      <w:pPr>
        <w:rPr>
          <w:lang w:eastAsia="en-AU"/>
        </w:rPr>
      </w:pPr>
      <w:r>
        <w:rPr>
          <w:lang w:eastAsia="en-AU"/>
        </w:rPr>
        <w:t xml:space="preserve">DFV includes sexual violence, where it occurs between persons in a domestic relationship, such as </w:t>
      </w:r>
      <w:r w:rsidR="00654D59">
        <w:rPr>
          <w:lang w:eastAsia="en-AU"/>
        </w:rPr>
        <w:t>a sexual offence committed by a</w:t>
      </w:r>
      <w:r w:rsidR="00654D59" w:rsidRPr="00411458">
        <w:rPr>
          <w:lang w:eastAsia="en-AU"/>
        </w:rPr>
        <w:t xml:space="preserve"> partner, ex-partner </w:t>
      </w:r>
      <w:r w:rsidR="00654D59">
        <w:rPr>
          <w:lang w:eastAsia="en-AU"/>
        </w:rPr>
        <w:t>or</w:t>
      </w:r>
      <w:r w:rsidR="00654D59" w:rsidRPr="00411458">
        <w:rPr>
          <w:lang w:eastAsia="en-AU"/>
        </w:rPr>
        <w:t xml:space="preserve"> family member</w:t>
      </w:r>
      <w:r>
        <w:rPr>
          <w:lang w:eastAsia="en-AU"/>
        </w:rPr>
        <w:t>.</w:t>
      </w:r>
    </w:p>
    <w:p w14:paraId="02DBD992" w14:textId="5DFA6946" w:rsidR="00CF4568" w:rsidRDefault="00087813">
      <w:pPr>
        <w:rPr>
          <w:lang w:eastAsia="en-AU"/>
        </w:rPr>
      </w:pPr>
      <w:r>
        <w:rPr>
          <w:lang w:eastAsia="en-AU"/>
        </w:rPr>
        <w:t>Statistics show that DFV is highly gendered, and is predominantly</w:t>
      </w:r>
      <w:r w:rsidR="00101AC5">
        <w:rPr>
          <w:lang w:eastAsia="en-AU"/>
        </w:rPr>
        <w:t>,</w:t>
      </w:r>
      <w:r>
        <w:rPr>
          <w:lang w:eastAsia="en-AU"/>
        </w:rPr>
        <w:t xml:space="preserve"> but not exclusively</w:t>
      </w:r>
      <w:r w:rsidR="00101AC5">
        <w:rPr>
          <w:lang w:eastAsia="en-AU"/>
        </w:rPr>
        <w:t>,</w:t>
      </w:r>
      <w:r>
        <w:rPr>
          <w:lang w:eastAsia="en-AU"/>
        </w:rPr>
        <w:t xml:space="preserve"> perpetrated by men against women and children. It is important to note that people who are LGB</w:t>
      </w:r>
      <w:r w:rsidR="00101AC5">
        <w:rPr>
          <w:lang w:eastAsia="en-AU"/>
        </w:rPr>
        <w:t>T</w:t>
      </w:r>
      <w:r w:rsidR="00CD3E9B">
        <w:rPr>
          <w:lang w:eastAsia="en-AU"/>
        </w:rPr>
        <w:t>I</w:t>
      </w:r>
      <w:r>
        <w:rPr>
          <w:lang w:eastAsia="en-AU"/>
        </w:rPr>
        <w:t>Q+</w:t>
      </w:r>
      <w:r w:rsidR="00583323">
        <w:rPr>
          <w:rStyle w:val="FootnoteReference"/>
          <w:lang w:eastAsia="en-AU"/>
        </w:rPr>
        <w:footnoteReference w:id="8"/>
      </w:r>
      <w:r>
        <w:rPr>
          <w:lang w:eastAsia="en-AU"/>
        </w:rPr>
        <w:t xml:space="preserve"> </w:t>
      </w:r>
      <w:r w:rsidR="00CF4568">
        <w:rPr>
          <w:lang w:eastAsia="en-AU"/>
        </w:rPr>
        <w:t>or identify as g</w:t>
      </w:r>
      <w:r w:rsidR="008F69ED">
        <w:rPr>
          <w:lang w:eastAsia="en-AU"/>
        </w:rPr>
        <w:t xml:space="preserve">ender diverse or non-binary may </w:t>
      </w:r>
      <w:r w:rsidR="00CF4568">
        <w:rPr>
          <w:lang w:eastAsia="en-AU"/>
        </w:rPr>
        <w:t xml:space="preserve">also experience DFV.  </w:t>
      </w:r>
      <w:r w:rsidR="00942941">
        <w:rPr>
          <w:lang w:eastAsia="en-AU"/>
        </w:rPr>
        <w:t>It is recognised that persons of all ages (including children and older people), all cultures, and all abilities may experience DFV.</w:t>
      </w:r>
    </w:p>
    <w:p w14:paraId="4736671E" w14:textId="55FD5BFF" w:rsidR="00087813" w:rsidRDefault="00CF4568">
      <w:pPr>
        <w:rPr>
          <w:lang w:eastAsia="en-AU"/>
        </w:rPr>
      </w:pPr>
      <w:r>
        <w:rPr>
          <w:lang w:eastAsia="en-AU"/>
        </w:rPr>
        <w:t>T</w:t>
      </w:r>
      <w:r w:rsidR="00087813">
        <w:rPr>
          <w:lang w:eastAsia="en-AU"/>
        </w:rPr>
        <w:t xml:space="preserve">his </w:t>
      </w:r>
      <w:r w:rsidR="00866493">
        <w:rPr>
          <w:lang w:eastAsia="en-AU"/>
        </w:rPr>
        <w:t>paper</w:t>
      </w:r>
      <w:r w:rsidR="00087813">
        <w:rPr>
          <w:lang w:eastAsia="en-AU"/>
        </w:rPr>
        <w:t xml:space="preserve"> avoids gendered language</w:t>
      </w:r>
      <w:r w:rsidR="00E82F98">
        <w:rPr>
          <w:lang w:eastAsia="en-AU"/>
        </w:rPr>
        <w:t xml:space="preserve">. </w:t>
      </w:r>
      <w:r w:rsidR="00A07A23">
        <w:rPr>
          <w:lang w:eastAsia="en-AU"/>
        </w:rPr>
        <w:t xml:space="preserve"> </w:t>
      </w:r>
      <w:r w:rsidR="00E82F98">
        <w:rPr>
          <w:lang w:eastAsia="en-AU"/>
        </w:rPr>
        <w:t>H</w:t>
      </w:r>
      <w:r>
        <w:rPr>
          <w:lang w:eastAsia="en-AU"/>
        </w:rPr>
        <w:t xml:space="preserve">owever, </w:t>
      </w:r>
      <w:r w:rsidR="00CD3E9B">
        <w:rPr>
          <w:lang w:eastAsia="en-AU"/>
        </w:rPr>
        <w:t>there are occasions when</w:t>
      </w:r>
      <w:r w:rsidR="005838C4">
        <w:rPr>
          <w:lang w:eastAsia="en-AU"/>
        </w:rPr>
        <w:t xml:space="preserve"> </w:t>
      </w:r>
      <w:r w:rsidR="00087813">
        <w:rPr>
          <w:lang w:eastAsia="en-AU"/>
        </w:rPr>
        <w:t>she</w:t>
      </w:r>
      <w:r w:rsidR="005838C4">
        <w:rPr>
          <w:lang w:eastAsia="en-AU"/>
        </w:rPr>
        <w:t>/he</w:t>
      </w:r>
      <w:r w:rsidR="00087813">
        <w:rPr>
          <w:lang w:eastAsia="en-AU"/>
        </w:rPr>
        <w:t>, her</w:t>
      </w:r>
      <w:r w:rsidR="005838C4">
        <w:rPr>
          <w:lang w:eastAsia="en-AU"/>
        </w:rPr>
        <w:t>/him</w:t>
      </w:r>
      <w:r w:rsidR="00101AC5">
        <w:rPr>
          <w:lang w:eastAsia="en-AU"/>
        </w:rPr>
        <w:t>, woman/man</w:t>
      </w:r>
      <w:r w:rsidR="00087813">
        <w:rPr>
          <w:lang w:eastAsia="en-AU"/>
        </w:rPr>
        <w:t xml:space="preserve"> is used relating to a particular context or gendered services.</w:t>
      </w:r>
    </w:p>
    <w:p w14:paraId="0D1EC2C5" w14:textId="477094E2" w:rsidR="00E82F98" w:rsidRDefault="00E82F98">
      <w:pPr>
        <w:rPr>
          <w:lang w:eastAsia="en-AU"/>
        </w:rPr>
      </w:pPr>
      <w:r>
        <w:rPr>
          <w:lang w:eastAsia="en-AU"/>
        </w:rPr>
        <w:t xml:space="preserve">The term </w:t>
      </w:r>
      <w:r w:rsidR="005838C4">
        <w:rPr>
          <w:lang w:eastAsia="en-AU"/>
        </w:rPr>
        <w:t>‘</w:t>
      </w:r>
      <w:r>
        <w:rPr>
          <w:lang w:eastAsia="en-AU"/>
        </w:rPr>
        <w:t>victim-survivor</w:t>
      </w:r>
      <w:r w:rsidR="005838C4">
        <w:rPr>
          <w:lang w:eastAsia="en-AU"/>
        </w:rPr>
        <w:t>’</w:t>
      </w:r>
      <w:r>
        <w:rPr>
          <w:lang w:eastAsia="en-AU"/>
        </w:rPr>
        <w:t xml:space="preserve"> has been used</w:t>
      </w:r>
      <w:r w:rsidR="00C4533D">
        <w:rPr>
          <w:lang w:eastAsia="en-AU"/>
        </w:rPr>
        <w:t xml:space="preserve"> </w:t>
      </w:r>
      <w:r w:rsidR="005838C4">
        <w:rPr>
          <w:lang w:eastAsia="en-AU"/>
        </w:rPr>
        <w:t xml:space="preserve">to </w:t>
      </w:r>
      <w:r w:rsidR="00C4533D">
        <w:rPr>
          <w:lang w:eastAsia="en-AU"/>
        </w:rPr>
        <w:t xml:space="preserve">respectfully </w:t>
      </w:r>
      <w:r w:rsidR="004D309A">
        <w:rPr>
          <w:lang w:eastAsia="en-AU"/>
        </w:rPr>
        <w:t xml:space="preserve">refer </w:t>
      </w:r>
      <w:r w:rsidR="00C4533D">
        <w:rPr>
          <w:lang w:eastAsia="en-AU"/>
        </w:rPr>
        <w:t>to people</w:t>
      </w:r>
      <w:r>
        <w:rPr>
          <w:lang w:eastAsia="en-AU"/>
        </w:rPr>
        <w:t xml:space="preserve"> </w:t>
      </w:r>
      <w:r w:rsidR="00C4533D">
        <w:rPr>
          <w:lang w:eastAsia="en-AU"/>
        </w:rPr>
        <w:t xml:space="preserve">with </w:t>
      </w:r>
      <w:r>
        <w:rPr>
          <w:lang w:eastAsia="en-AU"/>
        </w:rPr>
        <w:t xml:space="preserve">lived experience of DFV, although it is recognised that </w:t>
      </w:r>
      <w:r w:rsidR="008F69ED">
        <w:rPr>
          <w:lang w:eastAsia="en-AU"/>
        </w:rPr>
        <w:t>not all stakeholders</w:t>
      </w:r>
      <w:r w:rsidR="005838C4">
        <w:rPr>
          <w:lang w:eastAsia="en-AU"/>
        </w:rPr>
        <w:t xml:space="preserve"> agree with this terminology</w:t>
      </w:r>
      <w:r w:rsidR="008F69ED">
        <w:rPr>
          <w:lang w:eastAsia="en-AU"/>
        </w:rPr>
        <w:t>, including because</w:t>
      </w:r>
      <w:r w:rsidR="00942941">
        <w:rPr>
          <w:lang w:eastAsia="en-AU"/>
        </w:rPr>
        <w:t xml:space="preserve"> some people do not survive DFV.</w:t>
      </w:r>
      <w:r w:rsidR="00E93C31">
        <w:rPr>
          <w:rStyle w:val="FootnoteReference"/>
          <w:lang w:eastAsia="en-AU"/>
        </w:rPr>
        <w:footnoteReference w:id="9"/>
      </w:r>
      <w:r w:rsidR="00942941">
        <w:rPr>
          <w:lang w:eastAsia="en-AU"/>
        </w:rPr>
        <w:t xml:space="preserve">  </w:t>
      </w:r>
      <w:r w:rsidR="005838C4">
        <w:rPr>
          <w:lang w:eastAsia="en-AU"/>
        </w:rPr>
        <w:t>Specific legal terms lik</w:t>
      </w:r>
      <w:r w:rsidR="00942941">
        <w:rPr>
          <w:lang w:eastAsia="en-AU"/>
        </w:rPr>
        <w:t xml:space="preserve">e protected person, </w:t>
      </w:r>
      <w:r w:rsidR="00CD3E9B">
        <w:rPr>
          <w:lang w:eastAsia="en-AU"/>
        </w:rPr>
        <w:t xml:space="preserve">victim, </w:t>
      </w:r>
      <w:r w:rsidR="009D3B80">
        <w:rPr>
          <w:lang w:eastAsia="en-AU"/>
        </w:rPr>
        <w:t xml:space="preserve">alleged victim, </w:t>
      </w:r>
      <w:r w:rsidR="00942941">
        <w:rPr>
          <w:lang w:eastAsia="en-AU"/>
        </w:rPr>
        <w:t xml:space="preserve">complainant or </w:t>
      </w:r>
      <w:r w:rsidR="00F60BAF">
        <w:rPr>
          <w:lang w:eastAsia="en-AU"/>
        </w:rPr>
        <w:t xml:space="preserve">vulnerable </w:t>
      </w:r>
      <w:r w:rsidR="00942941">
        <w:rPr>
          <w:lang w:eastAsia="en-AU"/>
        </w:rPr>
        <w:t>witness are used where appropriate.</w:t>
      </w:r>
    </w:p>
    <w:p w14:paraId="11686F16" w14:textId="02092073" w:rsidR="009D3B80" w:rsidRDefault="009D3B80">
      <w:pPr>
        <w:rPr>
          <w:lang w:eastAsia="en-AU"/>
        </w:rPr>
      </w:pPr>
      <w:r>
        <w:rPr>
          <w:lang w:eastAsia="en-AU"/>
        </w:rPr>
        <w:t>It is acknowledged that children may be victim-survivors of DFV when they are directly targeted by violence</w:t>
      </w:r>
      <w:r w:rsidR="00DF3FB2">
        <w:rPr>
          <w:lang w:eastAsia="en-AU"/>
        </w:rPr>
        <w:t xml:space="preserve"> and also when they see, hear or are otherwise exposed to DFV between adults in thei</w:t>
      </w:r>
      <w:r w:rsidR="00481A52">
        <w:rPr>
          <w:lang w:eastAsia="en-AU"/>
        </w:rPr>
        <w:t xml:space="preserve">r family. </w:t>
      </w:r>
      <w:r w:rsidR="00A07A23">
        <w:rPr>
          <w:lang w:eastAsia="en-AU"/>
        </w:rPr>
        <w:t xml:space="preserve"> </w:t>
      </w:r>
      <w:r w:rsidR="00481A52">
        <w:rPr>
          <w:lang w:eastAsia="en-AU"/>
        </w:rPr>
        <w:t>B</w:t>
      </w:r>
      <w:r w:rsidR="00DF3FB2">
        <w:rPr>
          <w:lang w:eastAsia="en-AU"/>
        </w:rPr>
        <w:t>eing exposed to DFV</w:t>
      </w:r>
      <w:r w:rsidR="0007000F">
        <w:rPr>
          <w:lang w:eastAsia="en-AU"/>
        </w:rPr>
        <w:t xml:space="preserve"> is inherently harmful to children.</w:t>
      </w:r>
    </w:p>
    <w:p w14:paraId="5ECBDE38" w14:textId="661F897C" w:rsidR="009D3B80" w:rsidRDefault="00942941">
      <w:pPr>
        <w:rPr>
          <w:lang w:eastAsia="en-AU"/>
        </w:rPr>
      </w:pPr>
      <w:r>
        <w:rPr>
          <w:lang w:eastAsia="en-AU"/>
        </w:rPr>
        <w:t>Pers</w:t>
      </w:r>
      <w:r w:rsidR="004D309A">
        <w:rPr>
          <w:lang w:eastAsia="en-AU"/>
        </w:rPr>
        <w:t xml:space="preserve">ons who </w:t>
      </w:r>
      <w:r w:rsidR="009D3B80">
        <w:rPr>
          <w:lang w:eastAsia="en-AU"/>
        </w:rPr>
        <w:t>commit</w:t>
      </w:r>
      <w:r w:rsidR="004D309A">
        <w:rPr>
          <w:lang w:eastAsia="en-AU"/>
        </w:rPr>
        <w:t xml:space="preserve"> DFV</w:t>
      </w:r>
      <w:r w:rsidR="00A07A23">
        <w:rPr>
          <w:lang w:eastAsia="en-AU"/>
        </w:rPr>
        <w:t xml:space="preserve"> </w:t>
      </w:r>
      <w:r>
        <w:rPr>
          <w:lang w:eastAsia="en-AU"/>
        </w:rPr>
        <w:t xml:space="preserve">are referred to as </w:t>
      </w:r>
      <w:r w:rsidR="00E37508">
        <w:rPr>
          <w:lang w:eastAsia="en-AU"/>
        </w:rPr>
        <w:t xml:space="preserve">people who use DFV, </w:t>
      </w:r>
      <w:r>
        <w:rPr>
          <w:lang w:eastAsia="en-AU"/>
        </w:rPr>
        <w:t>perpetrators, offenders, defendan</w:t>
      </w:r>
      <w:r w:rsidR="00E37508">
        <w:rPr>
          <w:lang w:eastAsia="en-AU"/>
        </w:rPr>
        <w:t>ts</w:t>
      </w:r>
      <w:r>
        <w:rPr>
          <w:lang w:eastAsia="en-AU"/>
        </w:rPr>
        <w:t>, de</w:t>
      </w:r>
      <w:r w:rsidR="00C13DEB">
        <w:rPr>
          <w:lang w:eastAsia="en-AU"/>
        </w:rPr>
        <w:t>p</w:t>
      </w:r>
      <w:r>
        <w:rPr>
          <w:lang w:eastAsia="en-AU"/>
        </w:rPr>
        <w:t>ending on the context.</w:t>
      </w:r>
      <w:r w:rsidR="00E37508">
        <w:rPr>
          <w:lang w:eastAsia="en-AU"/>
        </w:rPr>
        <w:t xml:space="preserve"> </w:t>
      </w:r>
    </w:p>
    <w:p w14:paraId="650AA02A" w14:textId="77777777" w:rsidR="002C1968" w:rsidRDefault="001B4463" w:rsidP="00A07A23">
      <w:pPr>
        <w:pStyle w:val="Heading2"/>
        <w:ind w:left="1134"/>
        <w:rPr>
          <w:lang w:eastAsia="en-AU"/>
        </w:rPr>
      </w:pPr>
      <w:bookmarkStart w:id="4" w:name="_Toc112051794"/>
      <w:r>
        <w:rPr>
          <w:lang w:eastAsia="en-AU"/>
        </w:rPr>
        <w:t xml:space="preserve">Policy </w:t>
      </w:r>
      <w:r w:rsidR="00805360">
        <w:rPr>
          <w:lang w:eastAsia="en-AU"/>
        </w:rPr>
        <w:t>context</w:t>
      </w:r>
      <w:bookmarkEnd w:id="4"/>
    </w:p>
    <w:p w14:paraId="011467CA" w14:textId="5DA4ED53" w:rsidR="00CB0072" w:rsidRDefault="007B0275" w:rsidP="007B0275">
      <w:pPr>
        <w:rPr>
          <w:lang w:eastAsia="en-AU"/>
        </w:rPr>
      </w:pPr>
      <w:r>
        <w:rPr>
          <w:lang w:eastAsia="en-AU"/>
        </w:rPr>
        <w:t>T</w:t>
      </w:r>
      <w:r w:rsidR="00837F1F">
        <w:rPr>
          <w:lang w:eastAsia="en-AU"/>
        </w:rPr>
        <w:t>his</w:t>
      </w:r>
      <w:r>
        <w:rPr>
          <w:lang w:eastAsia="en-AU"/>
        </w:rPr>
        <w:t xml:space="preserve"> review is one </w:t>
      </w:r>
      <w:r w:rsidR="006C3E84">
        <w:rPr>
          <w:lang w:eastAsia="en-AU"/>
        </w:rPr>
        <w:t xml:space="preserve">of the initiatives in </w:t>
      </w:r>
      <w:r>
        <w:rPr>
          <w:lang w:eastAsia="en-AU"/>
        </w:rPr>
        <w:t xml:space="preserve">Action Plan </w:t>
      </w:r>
      <w:r w:rsidR="006C3E84">
        <w:rPr>
          <w:lang w:eastAsia="en-AU"/>
        </w:rPr>
        <w:t xml:space="preserve">1 </w:t>
      </w:r>
      <w:r>
        <w:rPr>
          <w:lang w:eastAsia="en-AU"/>
        </w:rPr>
        <w:t xml:space="preserve">of the </w:t>
      </w:r>
      <w:r w:rsidRPr="00A07A23">
        <w:rPr>
          <w:lang w:eastAsia="en-AU"/>
        </w:rPr>
        <w:t>Northern Territory’s</w:t>
      </w:r>
      <w:r w:rsidRPr="00274495">
        <w:rPr>
          <w:i/>
          <w:lang w:eastAsia="en-AU"/>
        </w:rPr>
        <w:t xml:space="preserve"> Domestic, Family and Sexual Violence Reduction Framework 2018-2028 ‘Safe, Respected and Free from Violence’</w:t>
      </w:r>
      <w:r w:rsidR="00A07A23">
        <w:rPr>
          <w:i/>
          <w:lang w:eastAsia="en-AU"/>
        </w:rPr>
        <w:t xml:space="preserve"> </w:t>
      </w:r>
      <w:r w:rsidR="00A07A23" w:rsidRPr="00A07A23">
        <w:rPr>
          <w:lang w:eastAsia="en-AU"/>
        </w:rPr>
        <w:t>(the Framework)</w:t>
      </w:r>
      <w:r w:rsidRPr="00274495">
        <w:rPr>
          <w:lang w:eastAsia="en-AU"/>
        </w:rPr>
        <w:t>.</w:t>
      </w:r>
      <w:r>
        <w:rPr>
          <w:lang w:eastAsia="en-AU"/>
        </w:rPr>
        <w:t xml:space="preserve"> </w:t>
      </w:r>
      <w:r w:rsidR="006C3E84">
        <w:rPr>
          <w:rStyle w:val="FootnoteReference"/>
          <w:lang w:eastAsia="en-AU"/>
        </w:rPr>
        <w:footnoteReference w:id="10"/>
      </w:r>
      <w:r>
        <w:rPr>
          <w:lang w:eastAsia="en-AU"/>
        </w:rPr>
        <w:t xml:space="preserve"> </w:t>
      </w:r>
    </w:p>
    <w:p w14:paraId="5606213C" w14:textId="60ED0CE4" w:rsidR="000B280D" w:rsidRDefault="007B0275" w:rsidP="007B0275">
      <w:pPr>
        <w:rPr>
          <w:lang w:eastAsia="en-AU"/>
        </w:rPr>
      </w:pPr>
      <w:r>
        <w:rPr>
          <w:lang w:eastAsia="en-AU"/>
        </w:rPr>
        <w:t>It contributes to Outcome 5 of the Framework which is to develop legislation, policy and funding models to ensure the system is responsive to victim</w:t>
      </w:r>
      <w:r w:rsidR="00C5378F">
        <w:rPr>
          <w:lang w:eastAsia="en-AU"/>
        </w:rPr>
        <w:t>-survivor</w:t>
      </w:r>
      <w:r>
        <w:rPr>
          <w:lang w:eastAsia="en-AU"/>
        </w:rPr>
        <w:t xml:space="preserve">s of </w:t>
      </w:r>
      <w:r w:rsidR="00C5378F">
        <w:rPr>
          <w:lang w:eastAsia="en-AU"/>
        </w:rPr>
        <w:t xml:space="preserve">DFV </w:t>
      </w:r>
      <w:r>
        <w:rPr>
          <w:lang w:eastAsia="en-AU"/>
        </w:rPr>
        <w:t>and prioritises their safety and that offenders are accountable for their actions and have an opportunity to change their behaviour.</w:t>
      </w:r>
    </w:p>
    <w:p w14:paraId="25B772ED" w14:textId="7B217221" w:rsidR="00AE7651" w:rsidRDefault="00CC1EEC" w:rsidP="00AE7651">
      <w:pPr>
        <w:rPr>
          <w:lang w:eastAsia="en-AU"/>
        </w:rPr>
      </w:pPr>
      <w:r>
        <w:rPr>
          <w:lang w:eastAsia="en-AU"/>
        </w:rPr>
        <w:t xml:space="preserve">The review </w:t>
      </w:r>
      <w:r w:rsidR="0052393F">
        <w:rPr>
          <w:lang w:eastAsia="en-AU"/>
        </w:rPr>
        <w:t>is aligned with the principles</w:t>
      </w:r>
      <w:r w:rsidR="00AE7651">
        <w:rPr>
          <w:lang w:eastAsia="en-AU"/>
        </w:rPr>
        <w:t xml:space="preserve"> in the Framework, particularly the principle that women and children’s safety and well-being </w:t>
      </w:r>
      <w:r>
        <w:rPr>
          <w:lang w:eastAsia="en-AU"/>
        </w:rPr>
        <w:t>must be</w:t>
      </w:r>
      <w:r w:rsidR="00AE7651">
        <w:rPr>
          <w:lang w:eastAsia="en-AU"/>
        </w:rPr>
        <w:t xml:space="preserve"> </w:t>
      </w:r>
      <w:r>
        <w:rPr>
          <w:lang w:eastAsia="en-AU"/>
        </w:rPr>
        <w:t xml:space="preserve">central to responses to DFV.  </w:t>
      </w:r>
    </w:p>
    <w:p w14:paraId="6BC40B78" w14:textId="20F50976" w:rsidR="00837F1F" w:rsidRDefault="004D309A" w:rsidP="004D309A">
      <w:pPr>
        <w:rPr>
          <w:lang w:eastAsia="en-AU"/>
        </w:rPr>
      </w:pPr>
      <w:r>
        <w:rPr>
          <w:lang w:eastAsia="en-AU"/>
        </w:rPr>
        <w:lastRenderedPageBreak/>
        <w:t>In April 2022</w:t>
      </w:r>
      <w:r w:rsidR="00A07A23">
        <w:rPr>
          <w:lang w:eastAsia="en-AU"/>
        </w:rPr>
        <w:t>,</w:t>
      </w:r>
      <w:r>
        <w:rPr>
          <w:lang w:eastAsia="en-AU"/>
        </w:rPr>
        <w:t xml:space="preserve"> the NT Government appointed the </w:t>
      </w:r>
      <w:r w:rsidR="00370767">
        <w:rPr>
          <w:lang w:eastAsia="en-AU"/>
        </w:rPr>
        <w:t xml:space="preserve">Hon Kate Worden MLA as the </w:t>
      </w:r>
      <w:r>
        <w:rPr>
          <w:lang w:eastAsia="en-AU"/>
        </w:rPr>
        <w:t>NT’s first Minister for the Prevention of Domestic, Family and Sexual Violence.</w:t>
      </w:r>
      <w:r w:rsidR="00F472B5">
        <w:rPr>
          <w:rStyle w:val="FootnoteReference"/>
          <w:lang w:eastAsia="en-AU"/>
        </w:rPr>
        <w:footnoteReference w:id="11"/>
      </w:r>
      <w:r>
        <w:rPr>
          <w:lang w:eastAsia="en-AU"/>
        </w:rPr>
        <w:t xml:space="preserve"> </w:t>
      </w:r>
      <w:r w:rsidR="00A07A23">
        <w:rPr>
          <w:lang w:eastAsia="en-AU"/>
        </w:rPr>
        <w:t xml:space="preserve"> </w:t>
      </w:r>
      <w:r>
        <w:rPr>
          <w:lang w:eastAsia="en-AU"/>
        </w:rPr>
        <w:t xml:space="preserve">This marked a significant strengthening of the </w:t>
      </w:r>
      <w:r w:rsidR="006A5FE6">
        <w:rPr>
          <w:lang w:eastAsia="en-AU"/>
        </w:rPr>
        <w:t>NT’s whole-of-</w:t>
      </w:r>
      <w:r>
        <w:rPr>
          <w:lang w:eastAsia="en-AU"/>
        </w:rPr>
        <w:t>gove</w:t>
      </w:r>
      <w:r w:rsidR="006A5FE6">
        <w:rPr>
          <w:lang w:eastAsia="en-AU"/>
        </w:rPr>
        <w:t>rnment response to domestic, family and sexual violence</w:t>
      </w:r>
      <w:r w:rsidR="00CC1EEC">
        <w:rPr>
          <w:lang w:eastAsia="en-AU"/>
        </w:rPr>
        <w:t xml:space="preserve"> (DFSV)</w:t>
      </w:r>
      <w:r>
        <w:rPr>
          <w:lang w:eastAsia="en-AU"/>
        </w:rPr>
        <w:t>.</w:t>
      </w:r>
      <w:r w:rsidR="00161709">
        <w:rPr>
          <w:lang w:eastAsia="en-AU"/>
        </w:rPr>
        <w:t xml:space="preserve">  </w:t>
      </w:r>
    </w:p>
    <w:p w14:paraId="226A3A6C" w14:textId="5A78C469" w:rsidR="00E81DB9" w:rsidRDefault="00E81DB9" w:rsidP="004D309A">
      <w:pPr>
        <w:rPr>
          <w:lang w:eastAsia="en-AU"/>
        </w:rPr>
      </w:pPr>
      <w:r>
        <w:rPr>
          <w:lang w:eastAsia="en-AU"/>
        </w:rPr>
        <w:t xml:space="preserve">The Government </w:t>
      </w:r>
      <w:r w:rsidR="00F472B5">
        <w:rPr>
          <w:lang w:eastAsia="en-AU"/>
        </w:rPr>
        <w:t xml:space="preserve">has </w:t>
      </w:r>
      <w:r w:rsidR="00370767">
        <w:rPr>
          <w:lang w:eastAsia="en-AU"/>
        </w:rPr>
        <w:t xml:space="preserve">now </w:t>
      </w:r>
      <w:r w:rsidR="00F472B5">
        <w:rPr>
          <w:lang w:eastAsia="en-AU"/>
        </w:rPr>
        <w:t xml:space="preserve">established a 12-month DFSV </w:t>
      </w:r>
      <w:r>
        <w:rPr>
          <w:lang w:eastAsia="en-AU"/>
        </w:rPr>
        <w:t>Inter-Agency Co-ord</w:t>
      </w:r>
      <w:r w:rsidR="00F472B5">
        <w:rPr>
          <w:lang w:eastAsia="en-AU"/>
        </w:rPr>
        <w:t>ination and Reform Office (</w:t>
      </w:r>
      <w:r w:rsidR="00E37E7C">
        <w:rPr>
          <w:lang w:eastAsia="en-AU"/>
        </w:rPr>
        <w:t>DFSV-ICRO</w:t>
      </w:r>
      <w:r>
        <w:rPr>
          <w:lang w:eastAsia="en-AU"/>
        </w:rPr>
        <w:t xml:space="preserve">) so that relevant </w:t>
      </w:r>
      <w:r w:rsidR="00370767">
        <w:rPr>
          <w:lang w:eastAsia="en-AU"/>
        </w:rPr>
        <w:t xml:space="preserve">Government </w:t>
      </w:r>
      <w:r>
        <w:rPr>
          <w:lang w:eastAsia="en-AU"/>
        </w:rPr>
        <w:t>agencies – police, health, territory families, education and justice – c</w:t>
      </w:r>
      <w:r w:rsidR="00161709">
        <w:rPr>
          <w:lang w:eastAsia="en-AU"/>
        </w:rPr>
        <w:t xml:space="preserve">an </w:t>
      </w:r>
      <w:r>
        <w:rPr>
          <w:lang w:eastAsia="en-AU"/>
        </w:rPr>
        <w:t xml:space="preserve">work together with a single point of accountability to prevent and respond to DFSV.  </w:t>
      </w:r>
    </w:p>
    <w:p w14:paraId="0EACB75F" w14:textId="7F8B2BF5" w:rsidR="00046155" w:rsidRDefault="008F69ED" w:rsidP="00237F76">
      <w:pPr>
        <w:rPr>
          <w:lang w:eastAsia="en-AU"/>
        </w:rPr>
      </w:pPr>
      <w:r>
        <w:rPr>
          <w:lang w:eastAsia="en-AU"/>
        </w:rPr>
        <w:t xml:space="preserve">Given the number of </w:t>
      </w:r>
      <w:r w:rsidR="004D309A">
        <w:rPr>
          <w:lang w:eastAsia="en-AU"/>
        </w:rPr>
        <w:t xml:space="preserve">Aboriginal families affected by DFV, the </w:t>
      </w:r>
      <w:r w:rsidR="00237F76">
        <w:rPr>
          <w:lang w:eastAsia="en-AU"/>
        </w:rPr>
        <w:t xml:space="preserve">review is also informed by the NT’s AJA.  </w:t>
      </w:r>
    </w:p>
    <w:p w14:paraId="074C084C" w14:textId="1BC85C42" w:rsidR="00237F76" w:rsidRDefault="00237F76" w:rsidP="00A07A23">
      <w:pPr>
        <w:spacing w:after="120"/>
        <w:rPr>
          <w:lang w:eastAsia="en-AU"/>
        </w:rPr>
      </w:pPr>
      <w:r>
        <w:rPr>
          <w:lang w:eastAsia="en-AU"/>
        </w:rPr>
        <w:t>In 2021</w:t>
      </w:r>
      <w:r w:rsidR="00A07A23">
        <w:rPr>
          <w:lang w:eastAsia="en-AU"/>
        </w:rPr>
        <w:t>,</w:t>
      </w:r>
      <w:r>
        <w:rPr>
          <w:lang w:eastAsia="en-AU"/>
        </w:rPr>
        <w:t xml:space="preserve"> the Government committed to a seven-year AJA after an extensive two-year community consultation process across the NT.  The AJA aims to:</w:t>
      </w:r>
    </w:p>
    <w:p w14:paraId="0AE7029D" w14:textId="4EABBB59" w:rsidR="00237F76" w:rsidRDefault="00A07A23" w:rsidP="0067521E">
      <w:pPr>
        <w:pStyle w:val="ListParagraph"/>
        <w:numPr>
          <w:ilvl w:val="0"/>
          <w:numId w:val="35"/>
        </w:numPr>
        <w:rPr>
          <w:lang w:eastAsia="en-AU"/>
        </w:rPr>
      </w:pPr>
      <w:r>
        <w:rPr>
          <w:lang w:eastAsia="en-AU"/>
        </w:rPr>
        <w:t xml:space="preserve">reduce </w:t>
      </w:r>
      <w:r w:rsidR="00237F76">
        <w:rPr>
          <w:lang w:eastAsia="en-AU"/>
        </w:rPr>
        <w:t>offending and imprisonment of Aboriginal Territorians</w:t>
      </w:r>
      <w:r>
        <w:rPr>
          <w:lang w:eastAsia="en-AU"/>
        </w:rPr>
        <w:t>;</w:t>
      </w:r>
    </w:p>
    <w:p w14:paraId="5B5BE616" w14:textId="2718DC8A" w:rsidR="00237F76" w:rsidRDefault="00A07A23" w:rsidP="0067521E">
      <w:pPr>
        <w:pStyle w:val="ListParagraph"/>
        <w:numPr>
          <w:ilvl w:val="0"/>
          <w:numId w:val="35"/>
        </w:numPr>
        <w:rPr>
          <w:lang w:eastAsia="en-AU"/>
        </w:rPr>
      </w:pPr>
      <w:r>
        <w:rPr>
          <w:lang w:eastAsia="en-AU"/>
        </w:rPr>
        <w:t xml:space="preserve">engage </w:t>
      </w:r>
      <w:r w:rsidR="008F69ED">
        <w:rPr>
          <w:lang w:eastAsia="en-AU"/>
        </w:rPr>
        <w:t>and support Aboriginal l</w:t>
      </w:r>
      <w:r w:rsidR="00237F76">
        <w:rPr>
          <w:lang w:eastAsia="en-AU"/>
        </w:rPr>
        <w:t>eadership</w:t>
      </w:r>
      <w:r>
        <w:rPr>
          <w:lang w:eastAsia="en-AU"/>
        </w:rPr>
        <w:t>; and</w:t>
      </w:r>
    </w:p>
    <w:p w14:paraId="6F96C028" w14:textId="740CBEB7" w:rsidR="00237F76" w:rsidRDefault="00A07A23" w:rsidP="0067521E">
      <w:pPr>
        <w:pStyle w:val="ListParagraph"/>
        <w:numPr>
          <w:ilvl w:val="0"/>
          <w:numId w:val="35"/>
        </w:numPr>
        <w:spacing w:after="200"/>
        <w:ind w:left="714" w:hanging="357"/>
        <w:rPr>
          <w:lang w:eastAsia="en-AU"/>
        </w:rPr>
      </w:pPr>
      <w:r>
        <w:rPr>
          <w:lang w:eastAsia="en-AU"/>
        </w:rPr>
        <w:t xml:space="preserve">improve </w:t>
      </w:r>
      <w:r w:rsidR="00237F76">
        <w:rPr>
          <w:lang w:eastAsia="en-AU"/>
        </w:rPr>
        <w:t>justice responses and services for Aboriginal Territorians.</w:t>
      </w:r>
    </w:p>
    <w:p w14:paraId="3AD9025A" w14:textId="000B9973" w:rsidR="004D309A" w:rsidRDefault="00237F76" w:rsidP="004D309A">
      <w:pPr>
        <w:rPr>
          <w:lang w:eastAsia="en-AU"/>
        </w:rPr>
      </w:pPr>
      <w:r>
        <w:rPr>
          <w:lang w:eastAsia="en-AU"/>
        </w:rPr>
        <w:t>The AJA Action Plan 2021-2022 includes a commitment to reduce DFV offending, particularly through the development of a non-custodial facility in Alice Springs to help DFV offenders to change their behaviour and the further development of culturally-appropriate evidence-based programs which are more accessible to offenders.</w:t>
      </w:r>
    </w:p>
    <w:p w14:paraId="3FA59CC5" w14:textId="556E3EDE" w:rsidR="00237F76" w:rsidRDefault="003132F8">
      <w:r w:rsidRPr="003927FB">
        <w:rPr>
          <w:rFonts w:cs="Arial"/>
          <w:szCs w:val="18"/>
        </w:rPr>
        <w:t>The review</w:t>
      </w:r>
      <w:r w:rsidR="00692DB0">
        <w:rPr>
          <w:rFonts w:cs="Arial"/>
          <w:szCs w:val="18"/>
        </w:rPr>
        <w:t xml:space="preserve"> </w:t>
      </w:r>
      <w:r w:rsidR="00692DB0">
        <w:t>is informed by</w:t>
      </w:r>
      <w:r w:rsidRPr="003927FB">
        <w:t xml:space="preserve"> work occurring at the National level</w:t>
      </w:r>
      <w:r w:rsidR="00046155">
        <w:t xml:space="preserve">.  </w:t>
      </w:r>
      <w:r w:rsidR="00237F76">
        <w:t xml:space="preserve">It builds on </w:t>
      </w:r>
      <w:r w:rsidR="00465ED1" w:rsidRPr="003927FB">
        <w:t>progress made during</w:t>
      </w:r>
      <w:r w:rsidRPr="003927FB">
        <w:t xml:space="preserve"> the </w:t>
      </w:r>
      <w:r w:rsidRPr="003927FB">
        <w:rPr>
          <w:i/>
        </w:rPr>
        <w:t>National Plan to Reduce Violence against Wom</w:t>
      </w:r>
      <w:r w:rsidR="00465ED1" w:rsidRPr="003927FB">
        <w:rPr>
          <w:i/>
        </w:rPr>
        <w:t>en and their Children 2010-2022.</w:t>
      </w:r>
      <w:r w:rsidR="00237F76">
        <w:t xml:space="preserve"> </w:t>
      </w:r>
      <w:r w:rsidR="00A07A23">
        <w:t xml:space="preserve"> </w:t>
      </w:r>
      <w:r w:rsidR="00237F76">
        <w:t xml:space="preserve">It </w:t>
      </w:r>
      <w:r w:rsidR="00465ED1" w:rsidRPr="003927FB">
        <w:t xml:space="preserve">acknowledges the work that occurred in 2021 </w:t>
      </w:r>
      <w:r w:rsidR="003927FB" w:rsidRPr="003927FB">
        <w:t xml:space="preserve">and 2022 </w:t>
      </w:r>
      <w:r w:rsidR="00465ED1" w:rsidRPr="003927FB">
        <w:t>to develop a new National Plan</w:t>
      </w:r>
      <w:r w:rsidR="003927FB" w:rsidRPr="003927FB">
        <w:t>.  A Draft National Plan to End Violence Against Women and Children 2022-2032 was released for consultation in January 2022.</w:t>
      </w:r>
      <w:r w:rsidR="00C5378F">
        <w:t xml:space="preserve"> </w:t>
      </w:r>
    </w:p>
    <w:p w14:paraId="2C96ADCA" w14:textId="77777777" w:rsidR="00AA6EA2" w:rsidRDefault="00AA6EA2" w:rsidP="006D2F95">
      <w:pPr>
        <w:pStyle w:val="Heading2"/>
        <w:keepNext/>
        <w:ind w:left="1134"/>
        <w:rPr>
          <w:lang w:eastAsia="en-AU"/>
        </w:rPr>
      </w:pPr>
      <w:bookmarkStart w:id="5" w:name="_Toc112051795"/>
      <w:r>
        <w:rPr>
          <w:lang w:eastAsia="en-AU"/>
        </w:rPr>
        <w:t>Methodology</w:t>
      </w:r>
      <w:bookmarkEnd w:id="5"/>
    </w:p>
    <w:p w14:paraId="2B95E3D8" w14:textId="2F296D10" w:rsidR="00AA6EA2" w:rsidRDefault="00AA6EA2" w:rsidP="006D2F95">
      <w:pPr>
        <w:keepNext/>
        <w:spacing w:after="120"/>
        <w:rPr>
          <w:lang w:eastAsia="en-AU"/>
        </w:rPr>
      </w:pPr>
      <w:r>
        <w:rPr>
          <w:lang w:eastAsia="en-AU"/>
        </w:rPr>
        <w:t>This review has been informed by:</w:t>
      </w:r>
    </w:p>
    <w:p w14:paraId="3052978F" w14:textId="71FF81B1" w:rsidR="00AA6EA2" w:rsidRDefault="006D2F95" w:rsidP="0067521E">
      <w:pPr>
        <w:pStyle w:val="ListParagraph"/>
        <w:numPr>
          <w:ilvl w:val="0"/>
          <w:numId w:val="63"/>
        </w:numPr>
        <w:ind w:left="993" w:hanging="426"/>
        <w:rPr>
          <w:lang w:eastAsia="en-AU"/>
        </w:rPr>
      </w:pPr>
      <w:r w:rsidRPr="006D2F95">
        <w:rPr>
          <w:lang w:eastAsia="en-AU"/>
        </w:rPr>
        <w:t xml:space="preserve">the </w:t>
      </w:r>
      <w:r w:rsidR="00AA6EA2" w:rsidRPr="006D2F95">
        <w:rPr>
          <w:lang w:eastAsia="en-AU"/>
        </w:rPr>
        <w:t>Journey Mapping Workshop Report:</w:t>
      </w:r>
      <w:r w:rsidR="00AA6EA2" w:rsidRPr="004545DF">
        <w:rPr>
          <w:i/>
          <w:lang w:eastAsia="en-AU"/>
        </w:rPr>
        <w:t xml:space="preserve"> Exploring the voices and experiences of </w:t>
      </w:r>
      <w:r w:rsidR="00AA6EA2">
        <w:rPr>
          <w:i/>
          <w:lang w:eastAsia="en-AU"/>
        </w:rPr>
        <w:t>victim-survivor</w:t>
      </w:r>
      <w:r w:rsidR="00AA6EA2" w:rsidRPr="004545DF">
        <w:rPr>
          <w:i/>
          <w:lang w:eastAsia="en-AU"/>
        </w:rPr>
        <w:t>s of Domestic and Family Violence in the NT Justice System</w:t>
      </w:r>
      <w:r w:rsidR="00AA6EA2">
        <w:rPr>
          <w:rStyle w:val="FootnoteReference"/>
          <w:i/>
          <w:lang w:eastAsia="en-AU"/>
        </w:rPr>
        <w:footnoteReference w:id="12"/>
      </w:r>
      <w:r w:rsidR="00481A52">
        <w:rPr>
          <w:lang w:eastAsia="en-AU"/>
        </w:rPr>
        <w:t xml:space="preserve"> released in 2019</w:t>
      </w:r>
      <w:r w:rsidR="00AA6EA2">
        <w:rPr>
          <w:lang w:eastAsia="en-AU"/>
        </w:rPr>
        <w:t xml:space="preserve"> (DFV Victim Journey Mapping Report)</w:t>
      </w:r>
      <w:r w:rsidR="00A07A23">
        <w:rPr>
          <w:lang w:eastAsia="en-AU"/>
        </w:rPr>
        <w:t>;</w:t>
      </w:r>
    </w:p>
    <w:p w14:paraId="6B8D045D" w14:textId="4BD06D9C" w:rsidR="00AA6EA2" w:rsidRDefault="006D2F95" w:rsidP="0067521E">
      <w:pPr>
        <w:pStyle w:val="ListParagraph"/>
        <w:numPr>
          <w:ilvl w:val="0"/>
          <w:numId w:val="63"/>
        </w:numPr>
        <w:ind w:left="993" w:hanging="426"/>
        <w:rPr>
          <w:lang w:eastAsia="en-AU"/>
        </w:rPr>
      </w:pPr>
      <w:r>
        <w:rPr>
          <w:lang w:eastAsia="en-AU"/>
        </w:rPr>
        <w:t xml:space="preserve">advice </w:t>
      </w:r>
      <w:r w:rsidR="00AA6EA2">
        <w:rPr>
          <w:lang w:eastAsia="en-AU"/>
        </w:rPr>
        <w:t xml:space="preserve">from the NT’s </w:t>
      </w:r>
      <w:r w:rsidR="00AA6EA2" w:rsidRPr="00D47F0E">
        <w:rPr>
          <w:lang w:eastAsia="en-AU"/>
        </w:rPr>
        <w:t>Domestic Violence Justice Refor</w:t>
      </w:r>
      <w:r w:rsidR="00AA6EA2">
        <w:rPr>
          <w:lang w:eastAsia="en-AU"/>
        </w:rPr>
        <w:t>m Network (DVJRN) and the working group which replaced it in June 2021, the Domestic and Family Violence Justice Reform Working Group (DFVJRWG)</w:t>
      </w:r>
      <w:r>
        <w:rPr>
          <w:lang w:eastAsia="en-AU"/>
        </w:rPr>
        <w:t>;</w:t>
      </w:r>
    </w:p>
    <w:p w14:paraId="1BED6590" w14:textId="05FC3F8B" w:rsidR="00AA6EA2" w:rsidRPr="00237F76" w:rsidRDefault="006D2F95" w:rsidP="0067521E">
      <w:pPr>
        <w:pStyle w:val="ListParagraph"/>
        <w:numPr>
          <w:ilvl w:val="0"/>
          <w:numId w:val="63"/>
        </w:numPr>
        <w:ind w:left="993" w:hanging="426"/>
        <w:rPr>
          <w:i/>
        </w:rPr>
      </w:pPr>
      <w:r>
        <w:rPr>
          <w:lang w:eastAsia="en-AU"/>
        </w:rPr>
        <w:t>AGD</w:t>
      </w:r>
      <w:r w:rsidR="00AA6EA2">
        <w:t xml:space="preserve">’s </w:t>
      </w:r>
      <w:r w:rsidR="00AA6EA2" w:rsidRPr="003C7781">
        <w:rPr>
          <w:i/>
        </w:rPr>
        <w:t>Report on Consultation:  Review of the Domestic and Family Violence Act</w:t>
      </w:r>
      <w:r w:rsidR="00AA6EA2">
        <w:rPr>
          <w:rStyle w:val="FootnoteReference"/>
          <w:lang w:eastAsia="en-AU"/>
        </w:rPr>
        <w:footnoteReference w:id="13"/>
      </w:r>
      <w:r w:rsidR="00AA6EA2">
        <w:rPr>
          <w:i/>
        </w:rPr>
        <w:t xml:space="preserve"> </w:t>
      </w:r>
      <w:r w:rsidR="00AA6EA2" w:rsidRPr="00B531BA">
        <w:rPr>
          <w:iCs w:val="0"/>
        </w:rPr>
        <w:t xml:space="preserve">released in </w:t>
      </w:r>
      <w:r w:rsidR="00AA6EA2">
        <w:rPr>
          <w:iCs w:val="0"/>
        </w:rPr>
        <w:t>August 2016 which summarises the submissions received at that time (referred to as the 2016 Consultation Report)</w:t>
      </w:r>
      <w:r>
        <w:rPr>
          <w:iCs w:val="0"/>
        </w:rPr>
        <w:t>;</w:t>
      </w:r>
    </w:p>
    <w:p w14:paraId="7D5E0FDD" w14:textId="5D08B94F" w:rsidR="00AA6EA2" w:rsidRDefault="006D2F95" w:rsidP="0067521E">
      <w:pPr>
        <w:pStyle w:val="ListParagraph"/>
        <w:numPr>
          <w:ilvl w:val="0"/>
          <w:numId w:val="63"/>
        </w:numPr>
        <w:ind w:left="993" w:hanging="426"/>
        <w:rPr>
          <w:iCs w:val="0"/>
          <w:lang w:eastAsia="en-AU"/>
        </w:rPr>
      </w:pPr>
      <w:r w:rsidRPr="00E81499">
        <w:rPr>
          <w:iCs w:val="0"/>
          <w:lang w:eastAsia="en-AU"/>
        </w:rPr>
        <w:t xml:space="preserve">input </w:t>
      </w:r>
      <w:r w:rsidR="00AA6EA2" w:rsidRPr="00E81499">
        <w:rPr>
          <w:iCs w:val="0"/>
          <w:lang w:eastAsia="en-AU"/>
        </w:rPr>
        <w:t>from the</w:t>
      </w:r>
      <w:r w:rsidR="00AA6EA2">
        <w:rPr>
          <w:iCs w:val="0"/>
          <w:lang w:eastAsia="en-AU"/>
        </w:rPr>
        <w:t xml:space="preserve"> NT’s Domestic, Family and Sexual Violence Cross-Agency Working Group, convened by the Department of Territory Families, Housing and Communities</w:t>
      </w:r>
      <w:r>
        <w:rPr>
          <w:iCs w:val="0"/>
          <w:lang w:eastAsia="en-AU"/>
        </w:rPr>
        <w:t xml:space="preserve"> (TFHC)</w:t>
      </w:r>
      <w:r w:rsidR="00AA6EA2">
        <w:rPr>
          <w:iCs w:val="0"/>
          <w:lang w:eastAsia="en-AU"/>
        </w:rPr>
        <w:t>, including the workshops on the development of Action Plan 2</w:t>
      </w:r>
      <w:r>
        <w:rPr>
          <w:iCs w:val="0"/>
          <w:lang w:eastAsia="en-AU"/>
        </w:rPr>
        <w:t>;</w:t>
      </w:r>
    </w:p>
    <w:p w14:paraId="1C93873A" w14:textId="65B0F59E" w:rsidR="00AA6EA2" w:rsidRDefault="00AA6EA2" w:rsidP="0067521E">
      <w:pPr>
        <w:pStyle w:val="ListParagraph"/>
        <w:numPr>
          <w:ilvl w:val="0"/>
          <w:numId w:val="63"/>
        </w:numPr>
        <w:ind w:left="993" w:hanging="426"/>
        <w:rPr>
          <w:iCs w:val="0"/>
          <w:lang w:eastAsia="en-AU"/>
        </w:rPr>
      </w:pPr>
      <w:r w:rsidRPr="00506F93">
        <w:rPr>
          <w:i/>
          <w:lang w:eastAsia="en-AU"/>
        </w:rPr>
        <w:lastRenderedPageBreak/>
        <w:t>NT Council of Social Service (NTCOSS) Action Plan 2 Non-Government Organisations Consultation Report 2021</w:t>
      </w:r>
      <w:r w:rsidR="006D2F95">
        <w:rPr>
          <w:i/>
          <w:lang w:eastAsia="en-AU"/>
        </w:rPr>
        <w:t>;</w:t>
      </w:r>
    </w:p>
    <w:p w14:paraId="31B525BD" w14:textId="74117A55" w:rsidR="00AA6EA2" w:rsidRDefault="006D2F95" w:rsidP="0067521E">
      <w:pPr>
        <w:pStyle w:val="ListParagraph"/>
        <w:numPr>
          <w:ilvl w:val="0"/>
          <w:numId w:val="63"/>
        </w:numPr>
        <w:ind w:left="993" w:hanging="426"/>
        <w:rPr>
          <w:iCs w:val="0"/>
          <w:lang w:eastAsia="en-AU"/>
        </w:rPr>
      </w:pPr>
      <w:r>
        <w:rPr>
          <w:iCs w:val="0"/>
          <w:lang w:eastAsia="en-AU"/>
        </w:rPr>
        <w:t xml:space="preserve">suggestions </w:t>
      </w:r>
      <w:r w:rsidR="00AA6EA2">
        <w:rPr>
          <w:iCs w:val="0"/>
          <w:lang w:eastAsia="en-AU"/>
        </w:rPr>
        <w:t xml:space="preserve">and proposals provided to </w:t>
      </w:r>
      <w:r>
        <w:rPr>
          <w:iCs w:val="0"/>
          <w:lang w:eastAsia="en-AU"/>
        </w:rPr>
        <w:t>AGD</w:t>
      </w:r>
      <w:r w:rsidR="00AA6EA2">
        <w:rPr>
          <w:iCs w:val="0"/>
          <w:lang w:eastAsia="en-AU"/>
        </w:rPr>
        <w:t xml:space="preserve"> by other Government agencies and non-government organisations</w:t>
      </w:r>
      <w:r>
        <w:rPr>
          <w:iCs w:val="0"/>
          <w:lang w:eastAsia="en-AU"/>
        </w:rPr>
        <w:t>;</w:t>
      </w:r>
    </w:p>
    <w:p w14:paraId="2C737145" w14:textId="555DDECB" w:rsidR="00481A52" w:rsidRPr="00481A52" w:rsidRDefault="006D2F95" w:rsidP="0067521E">
      <w:pPr>
        <w:pStyle w:val="ListParagraph"/>
        <w:numPr>
          <w:ilvl w:val="0"/>
          <w:numId w:val="63"/>
        </w:numPr>
        <w:ind w:left="993" w:hanging="426"/>
        <w:rPr>
          <w:iCs w:val="0"/>
          <w:lang w:eastAsia="en-AU"/>
        </w:rPr>
      </w:pPr>
      <w:r>
        <w:rPr>
          <w:iCs w:val="0"/>
          <w:lang w:eastAsia="en-AU"/>
        </w:rPr>
        <w:t xml:space="preserve">research </w:t>
      </w:r>
      <w:r w:rsidR="00481A52">
        <w:rPr>
          <w:iCs w:val="0"/>
          <w:lang w:eastAsia="en-AU"/>
        </w:rPr>
        <w:t xml:space="preserve">conducted by Legal Policy, </w:t>
      </w:r>
      <w:r>
        <w:rPr>
          <w:iCs w:val="0"/>
          <w:lang w:eastAsia="en-AU"/>
        </w:rPr>
        <w:t>AGD;</w:t>
      </w:r>
    </w:p>
    <w:p w14:paraId="0D75A30C" w14:textId="78F3E434" w:rsidR="00AA6EA2" w:rsidRPr="00237F76" w:rsidRDefault="006D2F95" w:rsidP="0067521E">
      <w:pPr>
        <w:pStyle w:val="ListParagraph"/>
        <w:numPr>
          <w:ilvl w:val="0"/>
          <w:numId w:val="63"/>
        </w:numPr>
        <w:ind w:left="993" w:hanging="426"/>
        <w:rPr>
          <w:iCs w:val="0"/>
          <w:lang w:eastAsia="en-AU"/>
        </w:rPr>
      </w:pPr>
      <w:r>
        <w:rPr>
          <w:iCs w:val="0"/>
          <w:lang w:eastAsia="en-AU"/>
        </w:rPr>
        <w:t>the AJA</w:t>
      </w:r>
      <w:r w:rsidR="00AA6EA2">
        <w:rPr>
          <w:iCs w:val="0"/>
          <w:lang w:eastAsia="en-AU"/>
        </w:rPr>
        <w:t xml:space="preserve"> and associated documents;</w:t>
      </w:r>
    </w:p>
    <w:p w14:paraId="74FCBF99" w14:textId="4CC69160" w:rsidR="00AA6EA2" w:rsidRDefault="00AA6EA2" w:rsidP="0067521E">
      <w:pPr>
        <w:pStyle w:val="ListParagraph"/>
        <w:numPr>
          <w:ilvl w:val="0"/>
          <w:numId w:val="63"/>
        </w:numPr>
        <w:ind w:left="993" w:hanging="426"/>
        <w:rPr>
          <w:iCs w:val="0"/>
          <w:lang w:eastAsia="en-AU"/>
        </w:rPr>
      </w:pPr>
      <w:r>
        <w:rPr>
          <w:iCs w:val="0"/>
          <w:lang w:eastAsia="en-AU"/>
        </w:rPr>
        <w:t>Coroner’s reports related to DFV, including:</w:t>
      </w:r>
    </w:p>
    <w:p w14:paraId="0C4A6AC9" w14:textId="080BE9BC" w:rsidR="00AA6EA2" w:rsidRDefault="00AA6EA2" w:rsidP="0067521E">
      <w:pPr>
        <w:pStyle w:val="ListParagraph"/>
        <w:numPr>
          <w:ilvl w:val="5"/>
          <w:numId w:val="63"/>
        </w:numPr>
        <w:ind w:left="1560" w:hanging="284"/>
        <w:rPr>
          <w:iCs w:val="0"/>
          <w:lang w:eastAsia="en-AU"/>
        </w:rPr>
      </w:pPr>
      <w:r w:rsidRPr="00AA6EA2">
        <w:rPr>
          <w:iCs w:val="0"/>
          <w:lang w:eastAsia="en-AU"/>
        </w:rPr>
        <w:t>Inquest into the Roberta Judy Curry (10 June 202</w:t>
      </w:r>
      <w:r>
        <w:rPr>
          <w:iCs w:val="0"/>
          <w:lang w:eastAsia="en-AU"/>
        </w:rPr>
        <w:t>2)</w:t>
      </w:r>
      <w:r w:rsidR="006D2F95">
        <w:rPr>
          <w:iCs w:val="0"/>
          <w:lang w:eastAsia="en-AU"/>
        </w:rPr>
        <w:t>;</w:t>
      </w:r>
    </w:p>
    <w:p w14:paraId="1F4F5249" w14:textId="50728A5A" w:rsidR="00AA6EA2" w:rsidRPr="00AA6EA2" w:rsidRDefault="00AA6EA2" w:rsidP="0067521E">
      <w:pPr>
        <w:pStyle w:val="ListParagraph"/>
        <w:numPr>
          <w:ilvl w:val="5"/>
          <w:numId w:val="63"/>
        </w:numPr>
        <w:ind w:left="1560" w:hanging="284"/>
        <w:rPr>
          <w:iCs w:val="0"/>
          <w:lang w:eastAsia="en-AU"/>
        </w:rPr>
      </w:pPr>
      <w:r>
        <w:rPr>
          <w:iCs w:val="0"/>
          <w:lang w:eastAsia="en-AU"/>
        </w:rPr>
        <w:t xml:space="preserve">Inquest into the death of </w:t>
      </w:r>
      <w:r w:rsidRPr="00AA6EA2">
        <w:rPr>
          <w:iCs w:val="0"/>
          <w:lang w:eastAsia="en-AU"/>
        </w:rPr>
        <w:t>HD (name suppressed) (9 November 2021)</w:t>
      </w:r>
      <w:r w:rsidR="006D2F95">
        <w:rPr>
          <w:iCs w:val="0"/>
          <w:lang w:eastAsia="en-AU"/>
        </w:rPr>
        <w:t>;</w:t>
      </w:r>
    </w:p>
    <w:p w14:paraId="41147E2E" w14:textId="6BE1EB30" w:rsidR="00AA6EA2" w:rsidRDefault="00AA6EA2" w:rsidP="0067521E">
      <w:pPr>
        <w:pStyle w:val="ListParagraph"/>
        <w:numPr>
          <w:ilvl w:val="5"/>
          <w:numId w:val="63"/>
        </w:numPr>
        <w:ind w:left="1560" w:hanging="284"/>
        <w:rPr>
          <w:iCs w:val="0"/>
          <w:lang w:eastAsia="en-AU"/>
        </w:rPr>
      </w:pPr>
      <w:r>
        <w:rPr>
          <w:iCs w:val="0"/>
          <w:lang w:eastAsia="en-AU"/>
        </w:rPr>
        <w:t>Inquest into the deaths of Fionica James, Katurah Mamarika, Layla Leering (18 August 2021)</w:t>
      </w:r>
      <w:r w:rsidR="006D2F95">
        <w:rPr>
          <w:iCs w:val="0"/>
          <w:lang w:eastAsia="en-AU"/>
        </w:rPr>
        <w:t>; and</w:t>
      </w:r>
    </w:p>
    <w:p w14:paraId="4A398560" w14:textId="0298C32E" w:rsidR="00AA6EA2" w:rsidRDefault="00AA6EA2" w:rsidP="0067521E">
      <w:pPr>
        <w:pStyle w:val="ListParagraph"/>
        <w:numPr>
          <w:ilvl w:val="5"/>
          <w:numId w:val="63"/>
        </w:numPr>
        <w:ind w:left="1560" w:hanging="284"/>
        <w:rPr>
          <w:iCs w:val="0"/>
          <w:lang w:eastAsia="en-AU"/>
        </w:rPr>
      </w:pPr>
      <w:r>
        <w:rPr>
          <w:iCs w:val="0"/>
          <w:lang w:eastAsia="en-AU"/>
        </w:rPr>
        <w:t>Inquest into the deaths of Wendy Murphy and Natalie McCormack (21 September 2016)</w:t>
      </w:r>
      <w:r w:rsidR="006D2F95">
        <w:rPr>
          <w:iCs w:val="0"/>
          <w:lang w:eastAsia="en-AU"/>
        </w:rPr>
        <w:t>; and</w:t>
      </w:r>
    </w:p>
    <w:p w14:paraId="72BF3665" w14:textId="297C8968" w:rsidR="00AA6EA2" w:rsidRPr="00AA6EA2" w:rsidRDefault="006D2F95" w:rsidP="0067521E">
      <w:pPr>
        <w:pStyle w:val="ListParagraph"/>
        <w:numPr>
          <w:ilvl w:val="0"/>
          <w:numId w:val="63"/>
        </w:numPr>
        <w:ind w:left="993" w:hanging="426"/>
        <w:rPr>
          <w:iCs w:val="0"/>
          <w:lang w:eastAsia="en-AU"/>
        </w:rPr>
      </w:pPr>
      <w:r>
        <w:rPr>
          <w:iCs w:val="0"/>
          <w:lang w:eastAsia="en-AU"/>
        </w:rPr>
        <w:t xml:space="preserve">the </w:t>
      </w:r>
      <w:r w:rsidR="00AA6EA2">
        <w:rPr>
          <w:iCs w:val="0"/>
          <w:lang w:eastAsia="en-AU"/>
        </w:rPr>
        <w:t>inquiries, taskforce</w:t>
      </w:r>
      <w:r w:rsidR="00074178">
        <w:rPr>
          <w:iCs w:val="0"/>
          <w:lang w:eastAsia="en-AU"/>
        </w:rPr>
        <w:t>s and</w:t>
      </w:r>
      <w:r w:rsidR="00AA6EA2">
        <w:rPr>
          <w:iCs w:val="0"/>
          <w:lang w:eastAsia="en-AU"/>
        </w:rPr>
        <w:t xml:space="preserve"> consultation</w:t>
      </w:r>
      <w:r w:rsidR="00481A52">
        <w:rPr>
          <w:iCs w:val="0"/>
          <w:lang w:eastAsia="en-AU"/>
        </w:rPr>
        <w:t>s</w:t>
      </w:r>
      <w:r w:rsidR="00AA6EA2">
        <w:rPr>
          <w:iCs w:val="0"/>
          <w:lang w:eastAsia="en-AU"/>
        </w:rPr>
        <w:t xml:space="preserve"> that ha</w:t>
      </w:r>
      <w:r w:rsidR="00074178">
        <w:rPr>
          <w:iCs w:val="0"/>
          <w:lang w:eastAsia="en-AU"/>
        </w:rPr>
        <w:t>ve</w:t>
      </w:r>
      <w:r w:rsidR="00AA6EA2">
        <w:rPr>
          <w:iCs w:val="0"/>
          <w:lang w:eastAsia="en-AU"/>
        </w:rPr>
        <w:t xml:space="preserve"> occurred in other jurisdictions </w:t>
      </w:r>
      <w:r w:rsidR="00074178">
        <w:rPr>
          <w:iCs w:val="0"/>
          <w:lang w:eastAsia="en-AU"/>
        </w:rPr>
        <w:t>on DFV and coercive control</w:t>
      </w:r>
      <w:r w:rsidR="00AA6EA2">
        <w:rPr>
          <w:iCs w:val="0"/>
          <w:lang w:eastAsia="en-AU"/>
        </w:rPr>
        <w:t xml:space="preserve"> (see below in </w:t>
      </w:r>
      <w:r w:rsidRPr="00CE5998">
        <w:rPr>
          <w:iCs w:val="0"/>
          <w:lang w:eastAsia="en-AU"/>
        </w:rPr>
        <w:t xml:space="preserve">Part </w:t>
      </w:r>
      <w:r w:rsidR="00AA6EA2" w:rsidRPr="00CE5998">
        <w:rPr>
          <w:iCs w:val="0"/>
          <w:lang w:eastAsia="en-AU"/>
        </w:rPr>
        <w:t>2.6).</w:t>
      </w:r>
    </w:p>
    <w:p w14:paraId="5EAD9D41" w14:textId="105D9F91" w:rsidR="00334C8B" w:rsidRDefault="007671BF" w:rsidP="006D2F95">
      <w:pPr>
        <w:pStyle w:val="Heading2"/>
        <w:keepNext/>
        <w:ind w:left="1134" w:hanging="567"/>
        <w:rPr>
          <w:lang w:eastAsia="en-AU"/>
        </w:rPr>
      </w:pPr>
      <w:bookmarkStart w:id="6" w:name="_Toc112051796"/>
      <w:r>
        <w:rPr>
          <w:lang w:eastAsia="en-AU"/>
        </w:rPr>
        <w:t>Work in o</w:t>
      </w:r>
      <w:r w:rsidR="00274495">
        <w:rPr>
          <w:lang w:eastAsia="en-AU"/>
        </w:rPr>
        <w:t>ther jurisdictions</w:t>
      </w:r>
      <w:bookmarkEnd w:id="6"/>
    </w:p>
    <w:p w14:paraId="45769E81" w14:textId="74C43440" w:rsidR="00B44577" w:rsidRDefault="00250E16" w:rsidP="007B0275">
      <w:pPr>
        <w:rPr>
          <w:lang w:eastAsia="en-AU"/>
        </w:rPr>
      </w:pPr>
      <w:r>
        <w:rPr>
          <w:lang w:eastAsia="en-AU"/>
        </w:rPr>
        <w:t>In the past 15</w:t>
      </w:r>
      <w:r w:rsidR="007B0275">
        <w:rPr>
          <w:lang w:eastAsia="en-AU"/>
        </w:rPr>
        <w:t xml:space="preserve"> years since the DFV</w:t>
      </w:r>
      <w:r w:rsidR="006D2F95">
        <w:rPr>
          <w:lang w:eastAsia="en-AU"/>
        </w:rPr>
        <w:t> </w:t>
      </w:r>
      <w:r w:rsidR="007B0275">
        <w:rPr>
          <w:lang w:eastAsia="en-AU"/>
        </w:rPr>
        <w:t>A</w:t>
      </w:r>
      <w:r w:rsidR="006D2F95">
        <w:rPr>
          <w:lang w:eastAsia="en-AU"/>
        </w:rPr>
        <w:t>ct</w:t>
      </w:r>
      <w:r w:rsidR="007B0275">
        <w:rPr>
          <w:lang w:eastAsia="en-AU"/>
        </w:rPr>
        <w:t xml:space="preserve"> commenced, significant inquiries and legislative reforms have occurred</w:t>
      </w:r>
      <w:r w:rsidR="00274495">
        <w:rPr>
          <w:lang w:eastAsia="en-AU"/>
        </w:rPr>
        <w:t xml:space="preserve"> in other</w:t>
      </w:r>
      <w:r w:rsidR="0063015F">
        <w:rPr>
          <w:lang w:eastAsia="en-AU"/>
        </w:rPr>
        <w:t xml:space="preserve"> jurisdictions</w:t>
      </w:r>
      <w:r w:rsidR="00274495">
        <w:rPr>
          <w:lang w:eastAsia="en-AU"/>
        </w:rPr>
        <w:t xml:space="preserve"> around Australia and internationally</w:t>
      </w:r>
      <w:r w:rsidR="0063015F">
        <w:rPr>
          <w:lang w:eastAsia="en-AU"/>
        </w:rPr>
        <w:t xml:space="preserve">.  </w:t>
      </w:r>
    </w:p>
    <w:p w14:paraId="084082E5" w14:textId="46C2A911" w:rsidR="00046155" w:rsidRDefault="003C48CC" w:rsidP="007B0275">
      <w:pPr>
        <w:rPr>
          <w:lang w:eastAsia="en-AU"/>
        </w:rPr>
      </w:pPr>
      <w:r>
        <w:rPr>
          <w:lang w:eastAsia="en-AU"/>
        </w:rPr>
        <w:t>This represents a substantial body of work that can be drawn on to assist the Northern Ter</w:t>
      </w:r>
      <w:r w:rsidR="000F329F">
        <w:rPr>
          <w:lang w:eastAsia="en-AU"/>
        </w:rPr>
        <w:t xml:space="preserve">ritory Government to modernise </w:t>
      </w:r>
      <w:r>
        <w:rPr>
          <w:lang w:eastAsia="en-AU"/>
        </w:rPr>
        <w:t>its</w:t>
      </w:r>
      <w:r w:rsidR="000F329F">
        <w:rPr>
          <w:lang w:eastAsia="en-AU"/>
        </w:rPr>
        <w:t xml:space="preserve"> legislation and improve its response to DFV.</w:t>
      </w:r>
      <w:r w:rsidR="00046155">
        <w:rPr>
          <w:lang w:eastAsia="en-AU"/>
        </w:rPr>
        <w:t xml:space="preserve"> </w:t>
      </w:r>
      <w:r w:rsidR="006D2F95">
        <w:rPr>
          <w:lang w:eastAsia="en-AU"/>
        </w:rPr>
        <w:t xml:space="preserve"> </w:t>
      </w:r>
      <w:r w:rsidR="00270712">
        <w:rPr>
          <w:lang w:eastAsia="en-AU"/>
        </w:rPr>
        <w:t xml:space="preserve">These </w:t>
      </w:r>
      <w:r w:rsidR="00237F76">
        <w:rPr>
          <w:lang w:eastAsia="en-AU"/>
        </w:rPr>
        <w:t xml:space="preserve">inquiries and reforms </w:t>
      </w:r>
      <w:r w:rsidR="007671BF">
        <w:rPr>
          <w:lang w:eastAsia="en-AU"/>
        </w:rPr>
        <w:t xml:space="preserve">have </w:t>
      </w:r>
      <w:r w:rsidR="00270712">
        <w:rPr>
          <w:lang w:eastAsia="en-AU"/>
        </w:rPr>
        <w:t>to varying extents</w:t>
      </w:r>
      <w:r w:rsidR="008779CD">
        <w:rPr>
          <w:lang w:eastAsia="en-AU"/>
        </w:rPr>
        <w:t xml:space="preserve"> been considered in the present review.</w:t>
      </w:r>
      <w:r w:rsidR="00270712">
        <w:rPr>
          <w:lang w:eastAsia="en-AU"/>
        </w:rPr>
        <w:t xml:space="preserve"> </w:t>
      </w:r>
      <w:r w:rsidR="00445473">
        <w:rPr>
          <w:lang w:eastAsia="en-AU"/>
        </w:rPr>
        <w:t xml:space="preserve"> </w:t>
      </w:r>
    </w:p>
    <w:p w14:paraId="72AB972C" w14:textId="383FF255" w:rsidR="00334C8B" w:rsidRDefault="00445473" w:rsidP="007B0275">
      <w:pPr>
        <w:rPr>
          <w:lang w:eastAsia="en-AU"/>
        </w:rPr>
      </w:pPr>
      <w:r>
        <w:rPr>
          <w:lang w:eastAsia="en-AU"/>
        </w:rPr>
        <w:t xml:space="preserve">It is important </w:t>
      </w:r>
      <w:r w:rsidR="00E7652A">
        <w:rPr>
          <w:lang w:eastAsia="en-AU"/>
        </w:rPr>
        <w:t>to particularly acknowledge some substantial pieces of work as follows:</w:t>
      </w:r>
    </w:p>
    <w:p w14:paraId="3BD36ACC" w14:textId="7CF101E3" w:rsidR="00445473" w:rsidRDefault="003201A0" w:rsidP="0067521E">
      <w:pPr>
        <w:pStyle w:val="ListParagraph"/>
        <w:numPr>
          <w:ilvl w:val="0"/>
          <w:numId w:val="46"/>
        </w:numPr>
        <w:ind w:left="993" w:hanging="426"/>
        <w:rPr>
          <w:lang w:eastAsia="en-AU"/>
        </w:rPr>
      </w:pPr>
      <w:r w:rsidRPr="00445473">
        <w:rPr>
          <w:lang w:eastAsia="en-AU"/>
        </w:rPr>
        <w:t>In 2010</w:t>
      </w:r>
      <w:r w:rsidR="006D2F95">
        <w:rPr>
          <w:lang w:eastAsia="en-AU"/>
        </w:rPr>
        <w:t>,</w:t>
      </w:r>
      <w:r w:rsidRPr="00445473">
        <w:rPr>
          <w:lang w:eastAsia="en-AU"/>
        </w:rPr>
        <w:t xml:space="preserve"> there was the landmark</w:t>
      </w:r>
      <w:r w:rsidR="00445473" w:rsidRPr="00445473">
        <w:rPr>
          <w:lang w:eastAsia="en-AU"/>
        </w:rPr>
        <w:t xml:space="preserve"> inquiry and</w:t>
      </w:r>
      <w:r w:rsidRPr="00445473">
        <w:rPr>
          <w:lang w:eastAsia="en-AU"/>
        </w:rPr>
        <w:t xml:space="preserve"> report </w:t>
      </w:r>
      <w:r w:rsidR="00445473" w:rsidRPr="007C4E7F">
        <w:rPr>
          <w:lang w:eastAsia="en-AU"/>
        </w:rPr>
        <w:t>by the Australian Law Reform Commission and the N</w:t>
      </w:r>
      <w:r w:rsidR="00971795">
        <w:rPr>
          <w:lang w:eastAsia="en-AU"/>
        </w:rPr>
        <w:t xml:space="preserve">ew </w:t>
      </w:r>
      <w:r w:rsidR="00445473" w:rsidRPr="007C4E7F">
        <w:rPr>
          <w:lang w:eastAsia="en-AU"/>
        </w:rPr>
        <w:t>S</w:t>
      </w:r>
      <w:r w:rsidR="00971795">
        <w:rPr>
          <w:lang w:eastAsia="en-AU"/>
        </w:rPr>
        <w:t xml:space="preserve">outh </w:t>
      </w:r>
      <w:r w:rsidR="00445473" w:rsidRPr="007C4E7F">
        <w:rPr>
          <w:lang w:eastAsia="en-AU"/>
        </w:rPr>
        <w:t>W</w:t>
      </w:r>
      <w:r w:rsidR="00971795">
        <w:rPr>
          <w:lang w:eastAsia="en-AU"/>
        </w:rPr>
        <w:t>ales</w:t>
      </w:r>
      <w:r w:rsidR="00445473" w:rsidRPr="007C4E7F">
        <w:rPr>
          <w:lang w:eastAsia="en-AU"/>
        </w:rPr>
        <w:t xml:space="preserve"> Law Reform Commission: </w:t>
      </w:r>
      <w:r w:rsidR="00445473" w:rsidRPr="00445473">
        <w:rPr>
          <w:i/>
          <w:lang w:eastAsia="en-AU"/>
        </w:rPr>
        <w:t xml:space="preserve">Family Violence – A National Legal Response </w:t>
      </w:r>
      <w:r w:rsidR="00445473">
        <w:rPr>
          <w:lang w:eastAsia="en-AU"/>
        </w:rPr>
        <w:t>(2010)</w:t>
      </w:r>
      <w:r w:rsidR="00E7652A">
        <w:rPr>
          <w:lang w:eastAsia="en-AU"/>
        </w:rPr>
        <w:t>.</w:t>
      </w:r>
    </w:p>
    <w:p w14:paraId="38B4D8AB" w14:textId="7742A06F" w:rsidR="00445473" w:rsidRDefault="00445473" w:rsidP="0067521E">
      <w:pPr>
        <w:pStyle w:val="ListParagraph"/>
        <w:numPr>
          <w:ilvl w:val="0"/>
          <w:numId w:val="46"/>
        </w:numPr>
        <w:ind w:left="993" w:hanging="426"/>
        <w:rPr>
          <w:lang w:eastAsia="en-AU"/>
        </w:rPr>
      </w:pPr>
      <w:r w:rsidRPr="007C4E7F">
        <w:t>Significant work</w:t>
      </w:r>
      <w:r w:rsidR="00E7652A">
        <w:t xml:space="preserve"> was undertaken</w:t>
      </w:r>
      <w:r w:rsidRPr="007C4E7F">
        <w:t xml:space="preserve"> by the Commonwealth Government on the </w:t>
      </w:r>
      <w:r w:rsidRPr="00445473">
        <w:rPr>
          <w:i/>
        </w:rPr>
        <w:t xml:space="preserve">National Plan to Reduce Violence against Women and their Children 2010-2022 </w:t>
      </w:r>
      <w:r w:rsidR="00CC73D2">
        <w:rPr>
          <w:i/>
        </w:rPr>
        <w:t>(</w:t>
      </w:r>
      <w:r>
        <w:t>and the associated Action Plans</w:t>
      </w:r>
      <w:r w:rsidR="00CC73D2">
        <w:t>)</w:t>
      </w:r>
      <w:r w:rsidR="006D2F95">
        <w:t>.</w:t>
      </w:r>
      <w:r w:rsidR="00CC73D2">
        <w:t xml:space="preserve"> </w:t>
      </w:r>
    </w:p>
    <w:p w14:paraId="0CE8F9AE" w14:textId="73D0F4BD" w:rsidR="00445473" w:rsidRDefault="00445473" w:rsidP="0067521E">
      <w:pPr>
        <w:pStyle w:val="ListParagraph"/>
        <w:numPr>
          <w:ilvl w:val="0"/>
          <w:numId w:val="46"/>
        </w:numPr>
        <w:ind w:left="993" w:hanging="426"/>
        <w:rPr>
          <w:lang w:eastAsia="en-AU"/>
        </w:rPr>
      </w:pPr>
      <w:r w:rsidRPr="007C4E7F">
        <w:rPr>
          <w:lang w:eastAsia="en-AU"/>
        </w:rPr>
        <w:t>The Victorian Royal Commiss</w:t>
      </w:r>
      <w:r>
        <w:rPr>
          <w:lang w:eastAsia="en-AU"/>
        </w:rPr>
        <w:t>ion into Family Violence (</w:t>
      </w:r>
      <w:r w:rsidRPr="007C4E7F">
        <w:rPr>
          <w:lang w:eastAsia="en-AU"/>
        </w:rPr>
        <w:t xml:space="preserve">2016) and the </w:t>
      </w:r>
      <w:r>
        <w:rPr>
          <w:lang w:eastAsia="en-AU"/>
        </w:rPr>
        <w:t>Victorian Government’s response.</w:t>
      </w:r>
      <w:r w:rsidR="008133E6">
        <w:rPr>
          <w:lang w:eastAsia="en-AU"/>
        </w:rPr>
        <w:t xml:space="preserve">  </w:t>
      </w:r>
      <w:r w:rsidR="00E45453">
        <w:rPr>
          <w:lang w:eastAsia="en-AU"/>
        </w:rPr>
        <w:t>It is also noted that Victoria has a Family Violence Reform Implementation Monitor</w:t>
      </w:r>
      <w:r w:rsidR="00BA4B02">
        <w:rPr>
          <w:lang w:eastAsia="en-AU"/>
        </w:rPr>
        <w:t xml:space="preserve"> providing a useful guide to progress in implementing the Royal Commission’</w:t>
      </w:r>
      <w:r w:rsidR="001B1976">
        <w:rPr>
          <w:lang w:eastAsia="en-AU"/>
        </w:rPr>
        <w:t>s recommendations</w:t>
      </w:r>
      <w:r w:rsidR="00E45453">
        <w:rPr>
          <w:lang w:eastAsia="en-AU"/>
        </w:rPr>
        <w:t>.</w:t>
      </w:r>
      <w:r w:rsidR="00E45453">
        <w:rPr>
          <w:rStyle w:val="FootnoteReference"/>
          <w:lang w:eastAsia="en-AU"/>
        </w:rPr>
        <w:footnoteReference w:id="14"/>
      </w:r>
    </w:p>
    <w:p w14:paraId="60BF4EB7" w14:textId="77777777" w:rsidR="00445473" w:rsidRDefault="00445473" w:rsidP="0067521E">
      <w:pPr>
        <w:pStyle w:val="ListParagraph"/>
        <w:numPr>
          <w:ilvl w:val="0"/>
          <w:numId w:val="46"/>
        </w:numPr>
        <w:ind w:left="993" w:hanging="426"/>
        <w:rPr>
          <w:lang w:eastAsia="en-AU"/>
        </w:rPr>
      </w:pPr>
      <w:r w:rsidRPr="007C4E7F">
        <w:rPr>
          <w:lang w:eastAsia="en-AU"/>
        </w:rPr>
        <w:t xml:space="preserve">The Queensland Special Taskforce on Domestic and Family Violence Report </w:t>
      </w:r>
      <w:r w:rsidRPr="00445473">
        <w:rPr>
          <w:i/>
          <w:lang w:eastAsia="en-AU"/>
        </w:rPr>
        <w:t>Not now, Not ever: Putting an End to Domestic and Family Violence</w:t>
      </w:r>
      <w:r>
        <w:rPr>
          <w:lang w:eastAsia="en-AU"/>
        </w:rPr>
        <w:t xml:space="preserve"> (</w:t>
      </w:r>
      <w:r w:rsidRPr="007C4E7F">
        <w:rPr>
          <w:lang w:eastAsia="en-AU"/>
        </w:rPr>
        <w:t>2015) and the</w:t>
      </w:r>
      <w:r>
        <w:rPr>
          <w:lang w:eastAsia="en-AU"/>
        </w:rPr>
        <w:t xml:space="preserve"> Queensland Government response.</w:t>
      </w:r>
    </w:p>
    <w:p w14:paraId="263BBFC3" w14:textId="696E9926" w:rsidR="00445473" w:rsidRDefault="00C12349" w:rsidP="00445473">
      <w:pPr>
        <w:rPr>
          <w:lang w:eastAsia="en-AU"/>
        </w:rPr>
      </w:pPr>
      <w:r>
        <w:rPr>
          <w:lang w:eastAsia="en-AU"/>
        </w:rPr>
        <w:t>More recently</w:t>
      </w:r>
      <w:r w:rsidR="008133E6">
        <w:rPr>
          <w:lang w:eastAsia="en-AU"/>
        </w:rPr>
        <w:t xml:space="preserve"> the</w:t>
      </w:r>
      <w:r w:rsidR="00445473" w:rsidRPr="00445473">
        <w:rPr>
          <w:lang w:eastAsia="en-AU"/>
        </w:rPr>
        <w:t xml:space="preserve"> </w:t>
      </w:r>
      <w:r w:rsidR="00445473">
        <w:rPr>
          <w:lang w:eastAsia="en-AU"/>
        </w:rPr>
        <w:t xml:space="preserve">Commonwealth Parliament House of Representatives Standing Committee on Social Policy and Legal Affairs conducted an </w:t>
      </w:r>
      <w:r w:rsidR="00445473" w:rsidRPr="00445473">
        <w:rPr>
          <w:i/>
          <w:lang w:eastAsia="en-AU"/>
        </w:rPr>
        <w:t>Inquiry into Family, Domestic and Sexual Violence</w:t>
      </w:r>
      <w:r w:rsidR="00445473">
        <w:rPr>
          <w:lang w:eastAsia="en-AU"/>
        </w:rPr>
        <w:t xml:space="preserve"> (2021).</w:t>
      </w:r>
      <w:r w:rsidR="00E7652A">
        <w:rPr>
          <w:lang w:eastAsia="en-AU"/>
        </w:rPr>
        <w:t xml:space="preserve">  This is informing the next iteration of the </w:t>
      </w:r>
      <w:r w:rsidR="00E7652A" w:rsidRPr="00E7652A">
        <w:rPr>
          <w:i/>
          <w:iCs/>
          <w:lang w:eastAsia="en-AU"/>
        </w:rPr>
        <w:t>National Plan to End Violence Against Women and Children</w:t>
      </w:r>
      <w:r w:rsidR="00E7652A">
        <w:rPr>
          <w:lang w:eastAsia="en-AU"/>
        </w:rPr>
        <w:t xml:space="preserve">, a draft of which </w:t>
      </w:r>
      <w:r w:rsidR="00170533">
        <w:rPr>
          <w:lang w:eastAsia="en-AU"/>
        </w:rPr>
        <w:t>was</w:t>
      </w:r>
      <w:r w:rsidR="00E7652A">
        <w:rPr>
          <w:lang w:eastAsia="en-AU"/>
        </w:rPr>
        <w:t xml:space="preserve"> released for consultation in </w:t>
      </w:r>
      <w:r w:rsidR="00BC582E" w:rsidRPr="00BC582E">
        <w:rPr>
          <w:lang w:eastAsia="en-AU"/>
        </w:rPr>
        <w:t>January</w:t>
      </w:r>
      <w:r w:rsidR="00E7652A" w:rsidRPr="00BC582E">
        <w:rPr>
          <w:lang w:eastAsia="en-AU"/>
        </w:rPr>
        <w:t xml:space="preserve"> 2022.</w:t>
      </w:r>
    </w:p>
    <w:p w14:paraId="5D386A4A" w14:textId="3029AF45" w:rsidR="00C12349" w:rsidRDefault="00E7652A" w:rsidP="007B0275">
      <w:pPr>
        <w:rPr>
          <w:lang w:eastAsia="en-AU"/>
        </w:rPr>
      </w:pPr>
      <w:r>
        <w:rPr>
          <w:lang w:eastAsia="en-AU"/>
        </w:rPr>
        <w:lastRenderedPageBreak/>
        <w:t xml:space="preserve">Recent </w:t>
      </w:r>
      <w:r w:rsidR="00445473">
        <w:rPr>
          <w:lang w:eastAsia="en-AU"/>
        </w:rPr>
        <w:t>work has also</w:t>
      </w:r>
      <w:r w:rsidR="00C12349">
        <w:rPr>
          <w:lang w:eastAsia="en-AU"/>
        </w:rPr>
        <w:t xml:space="preserve"> occurred in a number of </w:t>
      </w:r>
      <w:r>
        <w:rPr>
          <w:lang w:eastAsia="en-AU"/>
        </w:rPr>
        <w:t>jurisdictions</w:t>
      </w:r>
      <w:r w:rsidR="00C12349">
        <w:rPr>
          <w:lang w:eastAsia="en-AU"/>
        </w:rPr>
        <w:t xml:space="preserve"> on the issue of whether coercive control should be </w:t>
      </w:r>
      <w:r w:rsidR="008A2CCD">
        <w:rPr>
          <w:lang w:eastAsia="en-AU"/>
        </w:rPr>
        <w:t>criminalised</w:t>
      </w:r>
      <w:r w:rsidR="00C12349">
        <w:rPr>
          <w:lang w:eastAsia="en-AU"/>
        </w:rPr>
        <w:t>:</w:t>
      </w:r>
    </w:p>
    <w:p w14:paraId="5852798A" w14:textId="7BD00713" w:rsidR="00A2707F" w:rsidRDefault="00A2707F" w:rsidP="006D2F95">
      <w:pPr>
        <w:pStyle w:val="ListParagraph"/>
        <w:numPr>
          <w:ilvl w:val="0"/>
          <w:numId w:val="20"/>
        </w:numPr>
        <w:ind w:left="993" w:hanging="426"/>
        <w:rPr>
          <w:lang w:eastAsia="en-AU"/>
        </w:rPr>
      </w:pPr>
      <w:r>
        <w:rPr>
          <w:lang w:eastAsia="en-AU"/>
        </w:rPr>
        <w:t xml:space="preserve">The NSW Parliament Joint Select Committee Inquiry into Coercive Control released its report entitled </w:t>
      </w:r>
      <w:r w:rsidRPr="00A2707F">
        <w:rPr>
          <w:i/>
          <w:lang w:eastAsia="en-AU"/>
        </w:rPr>
        <w:t>Coercive Control in Domestic Relationships</w:t>
      </w:r>
      <w:r w:rsidR="006D2F95">
        <w:rPr>
          <w:lang w:eastAsia="en-AU"/>
        </w:rPr>
        <w:t>.  The Committee received 156 </w:t>
      </w:r>
      <w:r>
        <w:rPr>
          <w:lang w:eastAsia="en-AU"/>
        </w:rPr>
        <w:t xml:space="preserve">submissions and heard evidence from numerous witnesses. </w:t>
      </w:r>
      <w:r w:rsidR="006D2F95">
        <w:rPr>
          <w:lang w:eastAsia="en-AU"/>
        </w:rPr>
        <w:t xml:space="preserve"> </w:t>
      </w:r>
      <w:r>
        <w:rPr>
          <w:lang w:eastAsia="en-AU"/>
        </w:rPr>
        <w:t>The NSW Government resp</w:t>
      </w:r>
      <w:r w:rsidR="001B1976">
        <w:rPr>
          <w:lang w:eastAsia="en-AU"/>
        </w:rPr>
        <w:t>onded in December 2021 supporting</w:t>
      </w:r>
      <w:r>
        <w:rPr>
          <w:lang w:eastAsia="en-AU"/>
        </w:rPr>
        <w:t xml:space="preserve"> the recommendation to criminalise coercive control.</w:t>
      </w:r>
      <w:r>
        <w:rPr>
          <w:rStyle w:val="FootnoteReference"/>
          <w:lang w:eastAsia="en-AU"/>
        </w:rPr>
        <w:footnoteReference w:id="15"/>
      </w:r>
    </w:p>
    <w:p w14:paraId="6F0D891C" w14:textId="4EBA377B" w:rsidR="00A2707F" w:rsidRDefault="00A2707F" w:rsidP="006D2F95">
      <w:pPr>
        <w:pStyle w:val="ListParagraph"/>
        <w:numPr>
          <w:ilvl w:val="0"/>
          <w:numId w:val="20"/>
        </w:numPr>
        <w:ind w:left="993" w:hanging="426"/>
        <w:rPr>
          <w:lang w:eastAsia="en-AU"/>
        </w:rPr>
      </w:pPr>
      <w:r>
        <w:rPr>
          <w:lang w:eastAsia="en-AU"/>
        </w:rPr>
        <w:t xml:space="preserve">The Queensland Women’s Safety and Justice Taskforce released its report, </w:t>
      </w:r>
      <w:r w:rsidRPr="00A2707F">
        <w:rPr>
          <w:i/>
          <w:lang w:eastAsia="en-AU"/>
        </w:rPr>
        <w:t>Hear Her Voice: Addressing Coercive Control and Domestic and Family Violence in Queensland</w:t>
      </w:r>
      <w:r>
        <w:rPr>
          <w:lang w:eastAsia="en-AU"/>
        </w:rPr>
        <w:t xml:space="preserve">.  The report recommended criminalising coercive control, and </w:t>
      </w:r>
      <w:r w:rsidR="005762B5">
        <w:rPr>
          <w:lang w:eastAsia="en-AU"/>
        </w:rPr>
        <w:t xml:space="preserve">a </w:t>
      </w:r>
      <w:r>
        <w:rPr>
          <w:lang w:eastAsia="en-AU"/>
        </w:rPr>
        <w:t>f</w:t>
      </w:r>
      <w:r w:rsidR="005762B5">
        <w:rPr>
          <w:lang w:eastAsia="en-AU"/>
        </w:rPr>
        <w:t>our-</w:t>
      </w:r>
      <w:r>
        <w:rPr>
          <w:lang w:eastAsia="en-AU"/>
        </w:rPr>
        <w:t xml:space="preserve">phase process to set the foundations for reform. </w:t>
      </w:r>
      <w:r w:rsidR="006D2F95">
        <w:rPr>
          <w:lang w:eastAsia="en-AU"/>
        </w:rPr>
        <w:t xml:space="preserve"> </w:t>
      </w:r>
      <w:r>
        <w:rPr>
          <w:lang w:eastAsia="en-AU"/>
        </w:rPr>
        <w:t xml:space="preserve">The Taskforce received 700 submissions, and more than 500 of those were from people with lived experience of </w:t>
      </w:r>
      <w:r w:rsidR="00C61014">
        <w:rPr>
          <w:lang w:eastAsia="en-AU"/>
        </w:rPr>
        <w:t>DFV, including</w:t>
      </w:r>
      <w:r w:rsidR="00AE48C3">
        <w:rPr>
          <w:lang w:eastAsia="en-AU"/>
        </w:rPr>
        <w:t xml:space="preserve"> </w:t>
      </w:r>
      <w:r>
        <w:rPr>
          <w:lang w:eastAsia="en-AU"/>
        </w:rPr>
        <w:t>coercive control.</w:t>
      </w:r>
      <w:r>
        <w:rPr>
          <w:rStyle w:val="FootnoteReference"/>
          <w:lang w:eastAsia="en-AU"/>
        </w:rPr>
        <w:footnoteReference w:id="16"/>
      </w:r>
      <w:r w:rsidR="0015097B">
        <w:rPr>
          <w:lang w:eastAsia="en-AU"/>
        </w:rPr>
        <w:t xml:space="preserve"> </w:t>
      </w:r>
      <w:r w:rsidR="006D2F95">
        <w:rPr>
          <w:lang w:eastAsia="en-AU"/>
        </w:rPr>
        <w:t xml:space="preserve"> </w:t>
      </w:r>
      <w:r w:rsidR="00871F83">
        <w:rPr>
          <w:lang w:eastAsia="en-AU"/>
        </w:rPr>
        <w:t>The Queensland Government has announced that it is supportive or supportive-in-principle of all 89 of the Taskforce’s recommendations, including to criminalise coercive control</w:t>
      </w:r>
      <w:r w:rsidR="00ED36E9">
        <w:rPr>
          <w:lang w:eastAsia="en-AU"/>
        </w:rPr>
        <w:t xml:space="preserve">. </w:t>
      </w:r>
      <w:r w:rsidR="006D2F95">
        <w:rPr>
          <w:lang w:eastAsia="en-AU"/>
        </w:rPr>
        <w:t xml:space="preserve"> </w:t>
      </w:r>
      <w:r w:rsidR="00ED36E9">
        <w:rPr>
          <w:lang w:eastAsia="en-AU"/>
        </w:rPr>
        <w:t>It has made clear that system-wide reform is necessary before any new offences come into effect.</w:t>
      </w:r>
    </w:p>
    <w:p w14:paraId="235800AD" w14:textId="6EC241C0" w:rsidR="00ED36E9" w:rsidRDefault="00CC73D2" w:rsidP="006D2F95">
      <w:pPr>
        <w:pStyle w:val="ListParagraph"/>
        <w:numPr>
          <w:ilvl w:val="0"/>
          <w:numId w:val="20"/>
        </w:numPr>
        <w:ind w:left="993" w:hanging="426"/>
        <w:rPr>
          <w:lang w:eastAsia="en-AU"/>
        </w:rPr>
      </w:pPr>
      <w:r>
        <w:rPr>
          <w:lang w:eastAsia="en-AU"/>
        </w:rPr>
        <w:t>Discussion papers on coerciv</w:t>
      </w:r>
      <w:r w:rsidR="00C61014">
        <w:rPr>
          <w:lang w:eastAsia="en-AU"/>
        </w:rPr>
        <w:t xml:space="preserve">e control </w:t>
      </w:r>
      <w:r w:rsidR="00ED36E9">
        <w:rPr>
          <w:lang w:eastAsia="en-AU"/>
        </w:rPr>
        <w:t>have also been</w:t>
      </w:r>
      <w:r w:rsidR="00C61014">
        <w:rPr>
          <w:lang w:eastAsia="en-AU"/>
        </w:rPr>
        <w:t xml:space="preserve"> released </w:t>
      </w:r>
      <w:r>
        <w:rPr>
          <w:lang w:eastAsia="en-AU"/>
        </w:rPr>
        <w:t>by the Western Australia</w:t>
      </w:r>
      <w:r w:rsidR="0012299A">
        <w:rPr>
          <w:lang w:eastAsia="en-AU"/>
        </w:rPr>
        <w:t>n Government</w:t>
      </w:r>
      <w:r>
        <w:rPr>
          <w:rStyle w:val="FootnoteReference"/>
          <w:lang w:eastAsia="en-AU"/>
        </w:rPr>
        <w:footnoteReference w:id="17"/>
      </w:r>
      <w:r>
        <w:rPr>
          <w:lang w:eastAsia="en-AU"/>
        </w:rPr>
        <w:t xml:space="preserve"> and South Australia</w:t>
      </w:r>
      <w:r w:rsidR="0012299A">
        <w:rPr>
          <w:lang w:eastAsia="en-AU"/>
        </w:rPr>
        <w:t>n Government</w:t>
      </w:r>
      <w:r w:rsidR="00ED36E9">
        <w:rPr>
          <w:lang w:eastAsia="en-AU"/>
        </w:rPr>
        <w:t>.</w:t>
      </w:r>
      <w:r>
        <w:rPr>
          <w:rStyle w:val="FootnoteReference"/>
          <w:lang w:eastAsia="en-AU"/>
        </w:rPr>
        <w:footnoteReference w:id="18"/>
      </w:r>
    </w:p>
    <w:p w14:paraId="1413C9CC" w14:textId="021EB2E9" w:rsidR="00CC73D2" w:rsidRDefault="00ED36E9" w:rsidP="006D2F95">
      <w:pPr>
        <w:pStyle w:val="ListParagraph"/>
        <w:numPr>
          <w:ilvl w:val="0"/>
          <w:numId w:val="20"/>
        </w:numPr>
        <w:spacing w:after="200"/>
        <w:ind w:left="992" w:hanging="425"/>
        <w:rPr>
          <w:lang w:eastAsia="en-AU"/>
        </w:rPr>
      </w:pPr>
      <w:r>
        <w:rPr>
          <w:lang w:eastAsia="en-AU"/>
        </w:rPr>
        <w:t>A</w:t>
      </w:r>
      <w:r w:rsidR="00E85BA5">
        <w:rPr>
          <w:lang w:eastAsia="en-AU"/>
        </w:rPr>
        <w:t xml:space="preserve"> research paper </w:t>
      </w:r>
      <w:r w:rsidR="0012299A">
        <w:rPr>
          <w:lang w:eastAsia="en-AU"/>
        </w:rPr>
        <w:t xml:space="preserve">was released </w:t>
      </w:r>
      <w:r w:rsidR="00E85BA5">
        <w:rPr>
          <w:lang w:eastAsia="en-AU"/>
        </w:rPr>
        <w:t>by the Parliament of Victoria.</w:t>
      </w:r>
      <w:r w:rsidR="00E85BA5">
        <w:rPr>
          <w:rStyle w:val="FootnoteReference"/>
          <w:lang w:eastAsia="en-AU"/>
        </w:rPr>
        <w:footnoteReference w:id="19"/>
      </w:r>
    </w:p>
    <w:p w14:paraId="7551D92D" w14:textId="7B67EBF9" w:rsidR="008779CD" w:rsidRDefault="00C12349" w:rsidP="007B0275">
      <w:pPr>
        <w:rPr>
          <w:lang w:eastAsia="en-AU"/>
        </w:rPr>
      </w:pPr>
      <w:r>
        <w:rPr>
          <w:lang w:eastAsia="en-AU"/>
        </w:rPr>
        <w:t xml:space="preserve">The </w:t>
      </w:r>
      <w:r w:rsidR="00ED36E9">
        <w:rPr>
          <w:lang w:eastAsia="en-AU"/>
        </w:rPr>
        <w:t>Australian</w:t>
      </w:r>
      <w:r w:rsidR="00DA5336">
        <w:rPr>
          <w:lang w:eastAsia="en-AU"/>
        </w:rPr>
        <w:t xml:space="preserve"> Government is </w:t>
      </w:r>
      <w:r w:rsidR="00ED36E9">
        <w:rPr>
          <w:lang w:eastAsia="en-AU"/>
        </w:rPr>
        <w:t>working with the states and territories</w:t>
      </w:r>
      <w:r>
        <w:rPr>
          <w:lang w:eastAsia="en-AU"/>
        </w:rPr>
        <w:t xml:space="preserve"> t</w:t>
      </w:r>
      <w:r w:rsidR="00ED36E9">
        <w:rPr>
          <w:lang w:eastAsia="en-AU"/>
        </w:rPr>
        <w:t>o develop</w:t>
      </w:r>
      <w:r>
        <w:rPr>
          <w:lang w:eastAsia="en-AU"/>
        </w:rPr>
        <w:t xml:space="preserve"> National Principles on </w:t>
      </w:r>
      <w:r w:rsidR="005762B5">
        <w:rPr>
          <w:lang w:eastAsia="en-AU"/>
        </w:rPr>
        <w:t xml:space="preserve">Addressing </w:t>
      </w:r>
      <w:r>
        <w:rPr>
          <w:lang w:eastAsia="en-AU"/>
        </w:rPr>
        <w:t>Coercive Control</w:t>
      </w:r>
      <w:r w:rsidR="00ED36E9">
        <w:rPr>
          <w:lang w:eastAsia="en-AU"/>
        </w:rPr>
        <w:t xml:space="preserve">.  This is intended to create </w:t>
      </w:r>
      <w:r>
        <w:rPr>
          <w:lang w:eastAsia="en-AU"/>
        </w:rPr>
        <w:t xml:space="preserve">a shared understanding of coercive control and a strong foundation </w:t>
      </w:r>
      <w:r w:rsidR="00ED36E9">
        <w:rPr>
          <w:lang w:eastAsia="en-AU"/>
        </w:rPr>
        <w:t xml:space="preserve">on </w:t>
      </w:r>
      <w:r>
        <w:rPr>
          <w:lang w:eastAsia="en-AU"/>
        </w:rPr>
        <w:t>which states and territories can consider legal reforms that may be necessary in relation to coercive control.</w:t>
      </w:r>
      <w:r w:rsidR="005762B5">
        <w:rPr>
          <w:rStyle w:val="FootnoteReference"/>
          <w:lang w:eastAsia="en-AU"/>
        </w:rPr>
        <w:footnoteReference w:id="20"/>
      </w:r>
    </w:p>
    <w:p w14:paraId="600583AA" w14:textId="04A8B09D" w:rsidR="00E7652A" w:rsidRDefault="00E7652A" w:rsidP="007B0275">
      <w:pPr>
        <w:rPr>
          <w:lang w:eastAsia="en-AU"/>
        </w:rPr>
      </w:pPr>
      <w:r>
        <w:rPr>
          <w:lang w:eastAsia="en-AU"/>
        </w:rPr>
        <w:t xml:space="preserve">Papers on coercive control were prepared by numerous </w:t>
      </w:r>
      <w:r w:rsidR="00860F1E">
        <w:rPr>
          <w:lang w:eastAsia="en-AU"/>
        </w:rPr>
        <w:t xml:space="preserve">non-government </w:t>
      </w:r>
      <w:r>
        <w:rPr>
          <w:lang w:eastAsia="en-AU"/>
        </w:rPr>
        <w:t>organisations in 2020 and 2021, including by the Australian National Research Organisation on Women’s Safety (ANROWS).</w:t>
      </w:r>
    </w:p>
    <w:p w14:paraId="5D0AAEA1" w14:textId="07833D7F" w:rsidR="00AE48C3" w:rsidRPr="00B822CA" w:rsidRDefault="007671BF" w:rsidP="00B822CA">
      <w:pPr>
        <w:rPr>
          <w:lang w:eastAsia="en-AU"/>
        </w:rPr>
      </w:pPr>
      <w:r>
        <w:rPr>
          <w:lang w:eastAsia="en-AU"/>
        </w:rPr>
        <w:t>There has also been an opportunity to learn from the experience of criminalising coercive control, particularly in England</w:t>
      </w:r>
      <w:r>
        <w:rPr>
          <w:rStyle w:val="FootnoteReference"/>
          <w:lang w:eastAsia="en-AU"/>
        </w:rPr>
        <w:footnoteReference w:id="21"/>
      </w:r>
      <w:r>
        <w:rPr>
          <w:lang w:eastAsia="en-AU"/>
        </w:rPr>
        <w:t xml:space="preserve"> and Scotland</w:t>
      </w:r>
      <w:r w:rsidR="005762B5">
        <w:rPr>
          <w:lang w:eastAsia="en-AU"/>
        </w:rPr>
        <w:t>.</w:t>
      </w:r>
      <w:r>
        <w:rPr>
          <w:rStyle w:val="FootnoteReference"/>
          <w:lang w:eastAsia="en-AU"/>
        </w:rPr>
        <w:footnoteReference w:id="22"/>
      </w:r>
    </w:p>
    <w:p w14:paraId="60408AE3" w14:textId="77777777" w:rsidR="003757DB" w:rsidRDefault="003757DB">
      <w:pPr>
        <w:rPr>
          <w:rFonts w:asciiTheme="majorHAnsi" w:eastAsiaTheme="majorEastAsia" w:hAnsiTheme="majorHAnsi" w:cstheme="majorBidi"/>
          <w:bCs/>
          <w:iCs/>
          <w:color w:val="454347"/>
          <w:sz w:val="32"/>
          <w:szCs w:val="32"/>
          <w:lang w:eastAsia="en-AU"/>
        </w:rPr>
      </w:pPr>
      <w:r>
        <w:rPr>
          <w:lang w:eastAsia="en-AU"/>
        </w:rPr>
        <w:br w:type="page"/>
      </w:r>
    </w:p>
    <w:p w14:paraId="7DDA4441" w14:textId="0EEAC97D" w:rsidR="00581AA4" w:rsidRDefault="00581AA4" w:rsidP="006D2F95">
      <w:pPr>
        <w:pStyle w:val="Heading2"/>
        <w:ind w:left="1134"/>
        <w:rPr>
          <w:lang w:eastAsia="en-AU"/>
        </w:rPr>
      </w:pPr>
      <w:bookmarkStart w:id="7" w:name="_Toc112051797"/>
      <w:r>
        <w:rPr>
          <w:lang w:eastAsia="en-AU"/>
        </w:rPr>
        <w:lastRenderedPageBreak/>
        <w:t>Consultation process</w:t>
      </w:r>
      <w:bookmarkEnd w:id="7"/>
    </w:p>
    <w:p w14:paraId="397975CA" w14:textId="798E232A" w:rsidR="00F10408" w:rsidRDefault="006D2F95" w:rsidP="00F10408">
      <w:pPr>
        <w:rPr>
          <w:lang w:eastAsia="en-AU"/>
        </w:rPr>
      </w:pPr>
      <w:r>
        <w:rPr>
          <w:lang w:eastAsia="en-AU"/>
        </w:rPr>
        <w:t>AGD</w:t>
      </w:r>
      <w:r w:rsidR="00D067C7">
        <w:rPr>
          <w:lang w:eastAsia="en-AU"/>
        </w:rPr>
        <w:t xml:space="preserve"> is seeking submissions </w:t>
      </w:r>
      <w:r w:rsidR="00993661">
        <w:rPr>
          <w:lang w:eastAsia="en-AU"/>
        </w:rPr>
        <w:t>on the prop</w:t>
      </w:r>
      <w:r w:rsidR="00AB1492">
        <w:rPr>
          <w:lang w:eastAsia="en-AU"/>
        </w:rPr>
        <w:t xml:space="preserve">osals outlined in </w:t>
      </w:r>
      <w:r w:rsidR="00961F57">
        <w:rPr>
          <w:lang w:eastAsia="en-AU"/>
        </w:rPr>
        <w:t>this paper</w:t>
      </w:r>
      <w:r w:rsidR="00462898">
        <w:rPr>
          <w:lang w:eastAsia="en-AU"/>
        </w:rPr>
        <w:t xml:space="preserve"> by </w:t>
      </w:r>
      <w:r w:rsidR="00A9720F" w:rsidRPr="00A9720F">
        <w:rPr>
          <w:b/>
          <w:lang w:eastAsia="en-AU"/>
        </w:rPr>
        <w:t xml:space="preserve">12 October </w:t>
      </w:r>
      <w:r w:rsidR="00875F3D" w:rsidRPr="00A9720F">
        <w:rPr>
          <w:b/>
          <w:lang w:eastAsia="en-AU"/>
        </w:rPr>
        <w:t>2022</w:t>
      </w:r>
      <w:r w:rsidR="00993661" w:rsidRPr="00A9720F">
        <w:rPr>
          <w:b/>
          <w:lang w:eastAsia="en-AU"/>
        </w:rPr>
        <w:t>.</w:t>
      </w:r>
      <w:r w:rsidR="00993661">
        <w:rPr>
          <w:lang w:eastAsia="en-AU"/>
        </w:rPr>
        <w:t xml:space="preserve"> </w:t>
      </w:r>
    </w:p>
    <w:p w14:paraId="35DA4ACF" w14:textId="1C0DA610" w:rsidR="00230A2C" w:rsidRDefault="00230A2C" w:rsidP="00F10408">
      <w:pPr>
        <w:rPr>
          <w:lang w:eastAsia="en-AU"/>
        </w:rPr>
      </w:pPr>
      <w:r>
        <w:rPr>
          <w:lang w:eastAsia="en-AU"/>
        </w:rPr>
        <w:t>Consultation meetings will also be held.</w:t>
      </w:r>
    </w:p>
    <w:p w14:paraId="53FDFA40" w14:textId="77777777" w:rsidR="00A9720F" w:rsidRDefault="003F6202" w:rsidP="00F10408">
      <w:pPr>
        <w:rPr>
          <w:lang w:eastAsia="en-AU"/>
        </w:rPr>
      </w:pPr>
      <w:r w:rsidRPr="00B42618">
        <w:rPr>
          <w:lang w:eastAsia="en-AU"/>
        </w:rPr>
        <w:t>Questions for consideration have been incl</w:t>
      </w:r>
      <w:r w:rsidR="00462898" w:rsidRPr="00B42618">
        <w:rPr>
          <w:lang w:eastAsia="en-AU"/>
        </w:rPr>
        <w:t xml:space="preserve">uded at the end of each section. </w:t>
      </w:r>
      <w:r w:rsidR="00462898" w:rsidRPr="005F504F">
        <w:rPr>
          <w:lang w:eastAsia="en-AU"/>
        </w:rPr>
        <w:t xml:space="preserve"> </w:t>
      </w:r>
      <w:r w:rsidR="00165291">
        <w:rPr>
          <w:lang w:eastAsia="en-AU"/>
        </w:rPr>
        <w:t>However, s</w:t>
      </w:r>
      <w:r w:rsidR="00386403">
        <w:rPr>
          <w:lang w:eastAsia="en-AU"/>
        </w:rPr>
        <w:t xml:space="preserve">ubmissions </w:t>
      </w:r>
      <w:r w:rsidR="00165291">
        <w:rPr>
          <w:lang w:eastAsia="en-AU"/>
        </w:rPr>
        <w:t xml:space="preserve">are </w:t>
      </w:r>
      <w:r w:rsidR="005762B5">
        <w:rPr>
          <w:lang w:eastAsia="en-AU"/>
        </w:rPr>
        <w:t>welcome on</w:t>
      </w:r>
      <w:r w:rsidR="00462898">
        <w:rPr>
          <w:lang w:eastAsia="en-AU"/>
        </w:rPr>
        <w:t xml:space="preserve"> any issue </w:t>
      </w:r>
      <w:r w:rsidR="00C81500">
        <w:rPr>
          <w:lang w:eastAsia="en-AU"/>
        </w:rPr>
        <w:t>relevant to the</w:t>
      </w:r>
      <w:r w:rsidR="00462898">
        <w:rPr>
          <w:lang w:eastAsia="en-AU"/>
        </w:rPr>
        <w:t xml:space="preserve"> prevent</w:t>
      </w:r>
      <w:r w:rsidR="00C81500">
        <w:rPr>
          <w:lang w:eastAsia="en-AU"/>
        </w:rPr>
        <w:t>ion</w:t>
      </w:r>
      <w:r w:rsidR="00462898">
        <w:rPr>
          <w:lang w:eastAsia="en-AU"/>
        </w:rPr>
        <w:t xml:space="preserve"> and respon</w:t>
      </w:r>
      <w:r w:rsidR="00C81500">
        <w:rPr>
          <w:lang w:eastAsia="en-AU"/>
        </w:rPr>
        <w:t>se</w:t>
      </w:r>
      <w:r w:rsidR="00462898">
        <w:rPr>
          <w:lang w:eastAsia="en-AU"/>
        </w:rPr>
        <w:t xml:space="preserve"> to DFV</w:t>
      </w:r>
      <w:r w:rsidR="00574B27">
        <w:rPr>
          <w:lang w:eastAsia="en-AU"/>
        </w:rPr>
        <w:t>, and</w:t>
      </w:r>
      <w:r w:rsidR="005762B5">
        <w:rPr>
          <w:lang w:eastAsia="en-AU"/>
        </w:rPr>
        <w:t xml:space="preserve"> are </w:t>
      </w:r>
      <w:r w:rsidR="00165291">
        <w:rPr>
          <w:lang w:eastAsia="en-AU"/>
        </w:rPr>
        <w:t xml:space="preserve">not required to address all, or any, of the questions. </w:t>
      </w:r>
      <w:r w:rsidR="00971795">
        <w:rPr>
          <w:lang w:eastAsia="en-AU"/>
        </w:rPr>
        <w:t xml:space="preserve"> </w:t>
      </w:r>
    </w:p>
    <w:p w14:paraId="2087576E" w14:textId="6F63F1C3" w:rsidR="00993661" w:rsidRDefault="00993661" w:rsidP="00F10408">
      <w:pPr>
        <w:rPr>
          <w:color w:val="1F497D"/>
        </w:rPr>
      </w:pPr>
      <w:r>
        <w:rPr>
          <w:lang w:eastAsia="en-AU"/>
        </w:rPr>
        <w:t xml:space="preserve">Submissions </w:t>
      </w:r>
      <w:r w:rsidR="00B42618">
        <w:rPr>
          <w:lang w:eastAsia="en-AU"/>
        </w:rPr>
        <w:t xml:space="preserve">and queries </w:t>
      </w:r>
      <w:r>
        <w:rPr>
          <w:lang w:eastAsia="en-AU"/>
        </w:rPr>
        <w:t xml:space="preserve">should be sent </w:t>
      </w:r>
      <w:r w:rsidR="004311FB">
        <w:rPr>
          <w:lang w:eastAsia="en-AU"/>
        </w:rPr>
        <w:t xml:space="preserve">electronically </w:t>
      </w:r>
      <w:r>
        <w:rPr>
          <w:lang w:eastAsia="en-AU"/>
        </w:rPr>
        <w:t xml:space="preserve">to </w:t>
      </w:r>
      <w:hyperlink r:id="rId19" w:history="1">
        <w:r w:rsidR="004311FB">
          <w:rPr>
            <w:rStyle w:val="Hyperlink"/>
          </w:rPr>
          <w:t>Policy.AGD@nt.gov.au</w:t>
        </w:r>
      </w:hyperlink>
      <w:r w:rsidR="00D47F0E">
        <w:rPr>
          <w:color w:val="1F497D"/>
        </w:rPr>
        <w:t>.</w:t>
      </w:r>
    </w:p>
    <w:p w14:paraId="6D7A34C5" w14:textId="77777777" w:rsidR="00A9720F" w:rsidRPr="0062713E" w:rsidRDefault="00A9720F" w:rsidP="00A9720F">
      <w:pPr>
        <w:rPr>
          <w:b/>
          <w:bCs/>
          <w:lang w:eastAsia="en-AU"/>
        </w:rPr>
      </w:pPr>
      <w:r w:rsidRPr="0062713E">
        <w:rPr>
          <w:b/>
          <w:bCs/>
          <w:lang w:eastAsia="en-AU"/>
        </w:rPr>
        <w:t>Non-confidentiality of submissions</w:t>
      </w:r>
    </w:p>
    <w:p w14:paraId="74F52C43" w14:textId="12EBC34F" w:rsidR="007533ED" w:rsidRDefault="00A9720F" w:rsidP="00A9720F">
      <w:pPr>
        <w:rPr>
          <w:lang w:eastAsia="en-AU"/>
        </w:rPr>
      </w:pPr>
      <w:r w:rsidRPr="0062713E">
        <w:rPr>
          <w:lang w:eastAsia="en-AU"/>
        </w:rPr>
        <w:t xml:space="preserve">Submissions may be made publically available, and may be published on the Department’s website, unless </w:t>
      </w:r>
      <w:r w:rsidR="007533ED">
        <w:rPr>
          <w:lang w:eastAsia="en-AU"/>
        </w:rPr>
        <w:t xml:space="preserve">they are </w:t>
      </w:r>
      <w:r w:rsidRPr="0062713E">
        <w:rPr>
          <w:lang w:eastAsia="en-AU"/>
        </w:rPr>
        <w:t xml:space="preserve">clearly marked as ‘confidential’. </w:t>
      </w:r>
    </w:p>
    <w:p w14:paraId="04475086" w14:textId="31F090F1" w:rsidR="00A9720F" w:rsidRPr="0062713E" w:rsidRDefault="00A9720F" w:rsidP="00A9720F">
      <w:pPr>
        <w:rPr>
          <w:lang w:eastAsia="en-AU"/>
        </w:rPr>
      </w:pPr>
      <w:r w:rsidRPr="0062713E">
        <w:rPr>
          <w:lang w:eastAsia="en-AU"/>
        </w:rPr>
        <w:t>The Department may draw upon the contents of submissions made and quote from them or refer to them in reports, which may also be made publically available.</w:t>
      </w:r>
    </w:p>
    <w:p w14:paraId="683EC704" w14:textId="77777777" w:rsidR="00A9720F" w:rsidRDefault="00A9720F" w:rsidP="00F10408">
      <w:pPr>
        <w:rPr>
          <w:color w:val="1F497D"/>
        </w:rPr>
      </w:pPr>
    </w:p>
    <w:p w14:paraId="336E8E26" w14:textId="359EC043" w:rsidR="008A2CCD" w:rsidRDefault="008A2CCD">
      <w:pPr>
        <w:rPr>
          <w:lang w:eastAsia="en-AU"/>
        </w:rPr>
      </w:pPr>
      <w:r>
        <w:rPr>
          <w:lang w:eastAsia="en-AU"/>
        </w:rPr>
        <w:br w:type="page"/>
      </w:r>
    </w:p>
    <w:p w14:paraId="3ECEB84A" w14:textId="787709B2" w:rsidR="00525890" w:rsidRPr="00D36C57" w:rsidRDefault="0023141F" w:rsidP="00971795">
      <w:pPr>
        <w:pStyle w:val="Heading1"/>
        <w:ind w:left="567" w:hanging="567"/>
        <w:rPr>
          <w:lang w:eastAsia="en-AU"/>
        </w:rPr>
      </w:pPr>
      <w:bookmarkStart w:id="8" w:name="_Toc112051798"/>
      <w:r w:rsidRPr="00D36C57">
        <w:rPr>
          <w:lang w:eastAsia="en-AU"/>
        </w:rPr>
        <w:lastRenderedPageBreak/>
        <w:t>Over</w:t>
      </w:r>
      <w:r w:rsidR="00525890" w:rsidRPr="00D36C57">
        <w:rPr>
          <w:lang w:eastAsia="en-AU"/>
        </w:rPr>
        <w:t>view of domestic and family violence</w:t>
      </w:r>
      <w:bookmarkEnd w:id="8"/>
    </w:p>
    <w:p w14:paraId="1B80CE15" w14:textId="77777777" w:rsidR="00391BFD" w:rsidRDefault="00391BFD" w:rsidP="00971795">
      <w:pPr>
        <w:pStyle w:val="Heading2"/>
        <w:ind w:left="1134"/>
        <w:rPr>
          <w:lang w:eastAsia="en-AU"/>
        </w:rPr>
      </w:pPr>
      <w:bookmarkStart w:id="9" w:name="_Toc112051799"/>
      <w:r>
        <w:rPr>
          <w:lang w:eastAsia="en-AU"/>
        </w:rPr>
        <w:t xml:space="preserve">What is domestic </w:t>
      </w:r>
      <w:r w:rsidR="00F50CDF">
        <w:rPr>
          <w:lang w:eastAsia="en-AU"/>
        </w:rPr>
        <w:t xml:space="preserve">and family </w:t>
      </w:r>
      <w:r>
        <w:rPr>
          <w:lang w:eastAsia="en-AU"/>
        </w:rPr>
        <w:t>violence?</w:t>
      </w:r>
      <w:bookmarkEnd w:id="9"/>
    </w:p>
    <w:p w14:paraId="376EB9AC" w14:textId="1A524E12" w:rsidR="00B84A0B" w:rsidRPr="008C53C3" w:rsidRDefault="00C61014" w:rsidP="008C53C3">
      <w:pPr>
        <w:rPr>
          <w:lang w:eastAsia="en-AU"/>
        </w:rPr>
      </w:pPr>
      <w:r>
        <w:rPr>
          <w:lang w:eastAsia="en-AU"/>
        </w:rPr>
        <w:t>The model definition of d</w:t>
      </w:r>
      <w:r w:rsidR="00F50CDF">
        <w:rPr>
          <w:lang w:eastAsia="en-AU"/>
        </w:rPr>
        <w:t xml:space="preserve">omestic and family violence (DFV) </w:t>
      </w:r>
      <w:r w:rsidR="008C53C3">
        <w:rPr>
          <w:lang w:eastAsia="en-AU"/>
        </w:rPr>
        <w:t xml:space="preserve">is </w:t>
      </w:r>
      <w:r w:rsidR="00B84A0B" w:rsidRPr="00B84A0B">
        <w:rPr>
          <w:rFonts w:asciiTheme="minorHAnsi" w:eastAsia="Times New Roman" w:hAnsiTheme="minorHAnsi" w:cstheme="minorHAnsi"/>
          <w:color w:val="000000"/>
          <w:lang w:eastAsia="en-AU"/>
        </w:rPr>
        <w:t xml:space="preserve">behaviour by a person towards a </w:t>
      </w:r>
      <w:r w:rsidR="005A2235">
        <w:rPr>
          <w:rFonts w:asciiTheme="minorHAnsi" w:eastAsia="Times New Roman" w:hAnsiTheme="minorHAnsi" w:cstheme="minorHAnsi"/>
          <w:color w:val="000000"/>
          <w:lang w:eastAsia="en-AU"/>
        </w:rPr>
        <w:t xml:space="preserve">current or former partner or a </w:t>
      </w:r>
      <w:r w:rsidR="00B84A0B" w:rsidRPr="00B84A0B">
        <w:rPr>
          <w:rFonts w:asciiTheme="minorHAnsi" w:eastAsia="Times New Roman" w:hAnsiTheme="minorHAnsi" w:cstheme="minorHAnsi"/>
          <w:color w:val="000000"/>
          <w:lang w:eastAsia="en-AU"/>
        </w:rPr>
        <w:t xml:space="preserve">family member </w:t>
      </w:r>
      <w:r w:rsidR="000F329F">
        <w:rPr>
          <w:rFonts w:asciiTheme="minorHAnsi" w:eastAsia="Times New Roman" w:hAnsiTheme="minorHAnsi" w:cstheme="minorHAnsi"/>
          <w:color w:val="000000"/>
          <w:lang w:eastAsia="en-AU"/>
        </w:rPr>
        <w:t xml:space="preserve">that </w:t>
      </w:r>
      <w:r w:rsidR="00B84A0B" w:rsidRPr="00B84A0B">
        <w:rPr>
          <w:rFonts w:asciiTheme="minorHAnsi" w:eastAsia="Times New Roman" w:hAnsiTheme="minorHAnsi" w:cstheme="minorHAnsi"/>
          <w:color w:val="000000"/>
          <w:lang w:eastAsia="en-AU"/>
        </w:rPr>
        <w:t xml:space="preserve">— </w:t>
      </w:r>
    </w:p>
    <w:p w14:paraId="2DD5BE3F" w14:textId="77777777" w:rsidR="00B84A0B" w:rsidRPr="00B84A0B" w:rsidRDefault="00B84A0B" w:rsidP="0067521E">
      <w:pPr>
        <w:pStyle w:val="ListParagraph"/>
        <w:numPr>
          <w:ilvl w:val="1"/>
          <w:numId w:val="64"/>
        </w:numPr>
        <w:spacing w:after="160" w:line="259" w:lineRule="auto"/>
        <w:ind w:left="1418"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 xml:space="preserve">is physically or sexually abusive; or </w:t>
      </w:r>
    </w:p>
    <w:p w14:paraId="7BF04AA7" w14:textId="77777777" w:rsidR="00B84A0B" w:rsidRPr="00B84A0B" w:rsidRDefault="00B84A0B" w:rsidP="0067521E">
      <w:pPr>
        <w:pStyle w:val="ListParagraph"/>
        <w:numPr>
          <w:ilvl w:val="1"/>
          <w:numId w:val="64"/>
        </w:numPr>
        <w:spacing w:after="160" w:line="259" w:lineRule="auto"/>
        <w:ind w:left="1418"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 xml:space="preserve">is emotionally or psychologically abusive; or </w:t>
      </w:r>
    </w:p>
    <w:p w14:paraId="4C6CEBB8" w14:textId="77777777" w:rsidR="00B84A0B" w:rsidRPr="00B84A0B" w:rsidRDefault="00B84A0B" w:rsidP="0067521E">
      <w:pPr>
        <w:pStyle w:val="ListParagraph"/>
        <w:numPr>
          <w:ilvl w:val="1"/>
          <w:numId w:val="64"/>
        </w:numPr>
        <w:spacing w:after="160" w:line="259" w:lineRule="auto"/>
        <w:ind w:left="1418"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 xml:space="preserve">is economically abusive; or </w:t>
      </w:r>
    </w:p>
    <w:p w14:paraId="099BBFD9" w14:textId="77777777" w:rsidR="00B84A0B" w:rsidRPr="00B84A0B" w:rsidRDefault="00B84A0B" w:rsidP="0067521E">
      <w:pPr>
        <w:pStyle w:val="ListParagraph"/>
        <w:numPr>
          <w:ilvl w:val="1"/>
          <w:numId w:val="64"/>
        </w:numPr>
        <w:spacing w:after="160" w:line="259" w:lineRule="auto"/>
        <w:ind w:left="1418"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 xml:space="preserve">is threatening; or </w:t>
      </w:r>
    </w:p>
    <w:p w14:paraId="371B9EAE" w14:textId="77777777" w:rsidR="00B84A0B" w:rsidRPr="00B84A0B" w:rsidRDefault="00B84A0B" w:rsidP="0067521E">
      <w:pPr>
        <w:pStyle w:val="ListParagraph"/>
        <w:numPr>
          <w:ilvl w:val="1"/>
          <w:numId w:val="64"/>
        </w:numPr>
        <w:spacing w:after="160" w:line="259" w:lineRule="auto"/>
        <w:ind w:left="1418"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 xml:space="preserve">is coercive; or </w:t>
      </w:r>
    </w:p>
    <w:p w14:paraId="39A3518D" w14:textId="77777777" w:rsidR="00B84A0B" w:rsidRDefault="00B84A0B" w:rsidP="0067521E">
      <w:pPr>
        <w:pStyle w:val="ListParagraph"/>
        <w:numPr>
          <w:ilvl w:val="1"/>
          <w:numId w:val="64"/>
        </w:numPr>
        <w:spacing w:after="160" w:line="259" w:lineRule="auto"/>
        <w:ind w:left="1418" w:hanging="425"/>
        <w:rPr>
          <w:rFonts w:asciiTheme="minorHAnsi" w:eastAsia="Times New Roman" w:hAnsiTheme="minorHAnsi" w:cstheme="minorHAnsi"/>
          <w:color w:val="000000"/>
          <w:lang w:eastAsia="en-AU"/>
        </w:rPr>
      </w:pPr>
      <w:r w:rsidRPr="00B84A0B">
        <w:rPr>
          <w:rFonts w:asciiTheme="minorHAnsi" w:eastAsia="Times New Roman" w:hAnsiTheme="minorHAnsi" w:cstheme="minorHAnsi"/>
          <w:color w:val="000000"/>
          <w:lang w:eastAsia="en-AU"/>
        </w:rPr>
        <w:t>in any other way controls or dominates the family member and causes that family member to feel fear for the safety or wellbeing of that family member or another person</w:t>
      </w:r>
      <w:r w:rsidR="00F12258">
        <w:rPr>
          <w:rFonts w:asciiTheme="minorHAnsi" w:eastAsia="Times New Roman" w:hAnsiTheme="minorHAnsi" w:cstheme="minorHAnsi"/>
          <w:color w:val="000000"/>
          <w:lang w:eastAsia="en-AU"/>
        </w:rPr>
        <w:t>.</w:t>
      </w:r>
      <w:r w:rsidR="00F12258">
        <w:rPr>
          <w:rStyle w:val="FootnoteReference"/>
          <w:rFonts w:asciiTheme="minorHAnsi" w:eastAsia="Times New Roman" w:hAnsiTheme="minorHAnsi" w:cstheme="minorHAnsi"/>
          <w:color w:val="000000"/>
          <w:lang w:eastAsia="en-AU"/>
        </w:rPr>
        <w:footnoteReference w:id="23"/>
      </w:r>
    </w:p>
    <w:p w14:paraId="497C6DFB" w14:textId="2C87E5EF" w:rsidR="005A2235" w:rsidRDefault="005A2235" w:rsidP="005A2235">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In addition, </w:t>
      </w:r>
      <w:r w:rsidR="00FB6AF8">
        <w:rPr>
          <w:rFonts w:asciiTheme="minorHAnsi" w:eastAsia="Times New Roman" w:hAnsiTheme="minorHAnsi" w:cstheme="minorHAnsi"/>
          <w:color w:val="000000"/>
          <w:lang w:eastAsia="en-AU"/>
        </w:rPr>
        <w:t xml:space="preserve">behaviour that causes </w:t>
      </w:r>
      <w:r w:rsidRPr="005A2235">
        <w:rPr>
          <w:rFonts w:asciiTheme="minorHAnsi" w:eastAsia="Times New Roman" w:hAnsiTheme="minorHAnsi" w:cstheme="minorHAnsi"/>
          <w:color w:val="000000"/>
          <w:lang w:eastAsia="en-AU"/>
        </w:rPr>
        <w:t>a child</w:t>
      </w:r>
      <w:r w:rsidR="00FB6AF8">
        <w:rPr>
          <w:rFonts w:asciiTheme="minorHAnsi" w:eastAsia="Times New Roman" w:hAnsiTheme="minorHAnsi" w:cstheme="minorHAnsi"/>
          <w:color w:val="000000"/>
          <w:lang w:eastAsia="en-AU"/>
        </w:rPr>
        <w:t xml:space="preserve"> to</w:t>
      </w:r>
      <w:r w:rsidRPr="005A2235">
        <w:rPr>
          <w:rFonts w:asciiTheme="minorHAnsi" w:eastAsia="Times New Roman" w:hAnsiTheme="minorHAnsi" w:cstheme="minorHAnsi"/>
          <w:color w:val="000000"/>
          <w:lang w:eastAsia="en-AU"/>
        </w:rPr>
        <w:t xml:space="preserve"> hear, witness or </w:t>
      </w:r>
      <w:r w:rsidR="00FB6AF8">
        <w:rPr>
          <w:rFonts w:asciiTheme="minorHAnsi" w:eastAsia="Times New Roman" w:hAnsiTheme="minorHAnsi" w:cstheme="minorHAnsi"/>
          <w:color w:val="000000"/>
          <w:lang w:eastAsia="en-AU"/>
        </w:rPr>
        <w:t xml:space="preserve">be </w:t>
      </w:r>
      <w:r w:rsidRPr="005A2235">
        <w:rPr>
          <w:rFonts w:asciiTheme="minorHAnsi" w:eastAsia="Times New Roman" w:hAnsiTheme="minorHAnsi" w:cstheme="minorHAnsi"/>
          <w:color w:val="000000"/>
          <w:lang w:eastAsia="en-AU"/>
        </w:rPr>
        <w:t xml:space="preserve">otherwise exposed to DFV </w:t>
      </w:r>
      <w:r w:rsidR="00F67CC0">
        <w:rPr>
          <w:rFonts w:asciiTheme="minorHAnsi" w:eastAsia="Times New Roman" w:hAnsiTheme="minorHAnsi" w:cstheme="minorHAnsi"/>
          <w:color w:val="000000"/>
          <w:lang w:eastAsia="en-AU"/>
        </w:rPr>
        <w:t>constitutes</w:t>
      </w:r>
      <w:r w:rsidRPr="005A2235">
        <w:rPr>
          <w:rFonts w:asciiTheme="minorHAnsi" w:eastAsia="Times New Roman" w:hAnsiTheme="minorHAnsi" w:cstheme="minorHAnsi"/>
          <w:color w:val="000000"/>
          <w:lang w:eastAsia="en-AU"/>
        </w:rPr>
        <w:t xml:space="preserve"> DFV against the child. </w:t>
      </w:r>
      <w:r w:rsidR="00971795">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This is because i</w:t>
      </w:r>
      <w:r w:rsidRPr="005A2235">
        <w:rPr>
          <w:rFonts w:asciiTheme="minorHAnsi" w:eastAsia="Times New Roman" w:hAnsiTheme="minorHAnsi" w:cstheme="minorHAnsi"/>
          <w:color w:val="000000"/>
          <w:lang w:eastAsia="en-AU"/>
        </w:rPr>
        <w:t xml:space="preserve">t is inherently </w:t>
      </w:r>
      <w:r>
        <w:rPr>
          <w:rFonts w:asciiTheme="minorHAnsi" w:eastAsia="Times New Roman" w:hAnsiTheme="minorHAnsi" w:cstheme="minorHAnsi"/>
          <w:color w:val="000000"/>
          <w:lang w:eastAsia="en-AU"/>
        </w:rPr>
        <w:t>abusive</w:t>
      </w:r>
      <w:r w:rsidRPr="005A2235">
        <w:rPr>
          <w:rFonts w:asciiTheme="minorHAnsi" w:eastAsia="Times New Roman" w:hAnsiTheme="minorHAnsi" w:cstheme="minorHAnsi"/>
          <w:color w:val="000000"/>
          <w:lang w:eastAsia="en-AU"/>
        </w:rPr>
        <w:t xml:space="preserve"> </w:t>
      </w:r>
      <w:r w:rsidR="002B4D5A">
        <w:rPr>
          <w:rFonts w:asciiTheme="minorHAnsi" w:eastAsia="Times New Roman" w:hAnsiTheme="minorHAnsi" w:cstheme="minorHAnsi"/>
          <w:color w:val="000000"/>
          <w:lang w:eastAsia="en-AU"/>
        </w:rPr>
        <w:t xml:space="preserve">and harmful </w:t>
      </w:r>
      <w:r w:rsidRPr="005A2235">
        <w:rPr>
          <w:rFonts w:asciiTheme="minorHAnsi" w:eastAsia="Times New Roman" w:hAnsiTheme="minorHAnsi" w:cstheme="minorHAnsi"/>
          <w:color w:val="000000"/>
          <w:lang w:eastAsia="en-AU"/>
        </w:rPr>
        <w:t xml:space="preserve">for a child to </w:t>
      </w:r>
      <w:r w:rsidR="00F67CC0">
        <w:rPr>
          <w:rFonts w:asciiTheme="minorHAnsi" w:eastAsia="Times New Roman" w:hAnsiTheme="minorHAnsi" w:cstheme="minorHAnsi"/>
          <w:color w:val="000000"/>
          <w:lang w:eastAsia="en-AU"/>
        </w:rPr>
        <w:t>be exposed to</w:t>
      </w:r>
      <w:r w:rsidR="00A22F11">
        <w:rPr>
          <w:rFonts w:asciiTheme="minorHAnsi" w:eastAsia="Times New Roman" w:hAnsiTheme="minorHAnsi" w:cstheme="minorHAnsi"/>
          <w:color w:val="000000"/>
          <w:lang w:eastAsia="en-AU"/>
        </w:rPr>
        <w:t xml:space="preserve"> an</w:t>
      </w:r>
      <w:r w:rsidR="00F67CC0">
        <w:rPr>
          <w:rFonts w:asciiTheme="minorHAnsi" w:eastAsia="Times New Roman" w:hAnsiTheme="minorHAnsi" w:cstheme="minorHAnsi"/>
          <w:color w:val="000000"/>
          <w:lang w:eastAsia="en-AU"/>
        </w:rPr>
        <w:t xml:space="preserve"> adult</w:t>
      </w:r>
      <w:r w:rsidRPr="005A2235">
        <w:rPr>
          <w:rFonts w:asciiTheme="minorHAnsi" w:eastAsia="Times New Roman" w:hAnsiTheme="minorHAnsi" w:cstheme="minorHAnsi"/>
          <w:color w:val="000000"/>
          <w:lang w:eastAsia="en-AU"/>
        </w:rPr>
        <w:t xml:space="preserve"> family member </w:t>
      </w:r>
      <w:r w:rsidR="002B4D5A">
        <w:rPr>
          <w:rFonts w:asciiTheme="minorHAnsi" w:eastAsia="Times New Roman" w:hAnsiTheme="minorHAnsi" w:cstheme="minorHAnsi"/>
          <w:color w:val="000000"/>
          <w:lang w:eastAsia="en-AU"/>
        </w:rPr>
        <w:t>using violence against</w:t>
      </w:r>
      <w:r w:rsidRPr="005A2235">
        <w:rPr>
          <w:rFonts w:asciiTheme="minorHAnsi" w:eastAsia="Times New Roman" w:hAnsiTheme="minorHAnsi" w:cstheme="minorHAnsi"/>
          <w:color w:val="000000"/>
          <w:lang w:eastAsia="en-AU"/>
        </w:rPr>
        <w:t xml:space="preserve"> another</w:t>
      </w:r>
      <w:r w:rsidR="00A22F11">
        <w:rPr>
          <w:rFonts w:asciiTheme="minorHAnsi" w:eastAsia="Times New Roman" w:hAnsiTheme="minorHAnsi" w:cstheme="minorHAnsi"/>
          <w:color w:val="000000"/>
          <w:lang w:eastAsia="en-AU"/>
        </w:rPr>
        <w:t xml:space="preserve"> family member</w:t>
      </w:r>
      <w:r w:rsidRPr="005A2235">
        <w:rPr>
          <w:rFonts w:asciiTheme="minorHAnsi" w:eastAsia="Times New Roman" w:hAnsiTheme="minorHAnsi" w:cstheme="minorHAnsi"/>
          <w:color w:val="000000"/>
          <w:lang w:eastAsia="en-AU"/>
        </w:rPr>
        <w:t>.</w:t>
      </w:r>
      <w:r w:rsidR="00E069B4">
        <w:rPr>
          <w:rStyle w:val="FootnoteReference"/>
          <w:rFonts w:asciiTheme="minorHAnsi" w:eastAsia="Times New Roman" w:hAnsiTheme="minorHAnsi" w:cstheme="minorHAnsi"/>
          <w:color w:val="000000"/>
          <w:lang w:eastAsia="en-AU"/>
        </w:rPr>
        <w:footnoteReference w:id="24"/>
      </w:r>
      <w:r w:rsidRPr="005A2235">
        <w:rPr>
          <w:rFonts w:asciiTheme="minorHAnsi" w:eastAsia="Times New Roman" w:hAnsiTheme="minorHAnsi" w:cstheme="minorHAnsi"/>
          <w:color w:val="000000"/>
          <w:lang w:eastAsia="en-AU"/>
        </w:rPr>
        <w:t xml:space="preserve">  </w:t>
      </w:r>
    </w:p>
    <w:p w14:paraId="45941545" w14:textId="36B00D6A" w:rsidR="00E069B4" w:rsidRDefault="000552CB" w:rsidP="00BD5E58">
      <w:pPr>
        <w:rPr>
          <w:lang w:eastAsia="en-AU"/>
        </w:rPr>
      </w:pPr>
      <w:r>
        <w:rPr>
          <w:lang w:eastAsia="en-AU"/>
        </w:rPr>
        <w:t xml:space="preserve">DFV is a highly gendered behaviour. </w:t>
      </w:r>
      <w:r w:rsidR="00971795">
        <w:rPr>
          <w:lang w:eastAsia="en-AU"/>
        </w:rPr>
        <w:t xml:space="preserve"> </w:t>
      </w:r>
      <w:r>
        <w:rPr>
          <w:lang w:eastAsia="en-AU"/>
        </w:rPr>
        <w:t>Statistics show that in the NT and elsewhere, DFV is predominantly, but not exclusively, perpetrated by m</w:t>
      </w:r>
      <w:r w:rsidR="00BB069F">
        <w:rPr>
          <w:lang w:eastAsia="en-AU"/>
        </w:rPr>
        <w:t>en against women and children.</w:t>
      </w:r>
      <w:r w:rsidR="00BB069F">
        <w:rPr>
          <w:rStyle w:val="FootnoteReference"/>
          <w:lang w:eastAsia="en-AU"/>
        </w:rPr>
        <w:footnoteReference w:id="25"/>
      </w:r>
      <w:r w:rsidR="00BB069F">
        <w:rPr>
          <w:highlight w:val="yellow"/>
          <w:lang w:eastAsia="en-AU"/>
        </w:rPr>
        <w:t xml:space="preserve"> </w:t>
      </w:r>
    </w:p>
    <w:p w14:paraId="5D00BECC" w14:textId="5A0B8DE7" w:rsidR="005A2235" w:rsidRPr="00BD5E58" w:rsidRDefault="000552CB" w:rsidP="00BD5E58">
      <w:pPr>
        <w:rPr>
          <w:lang w:eastAsia="en-AU"/>
        </w:rPr>
      </w:pPr>
      <w:r>
        <w:rPr>
          <w:lang w:eastAsia="en-AU"/>
        </w:rPr>
        <w:t>Howeve</w:t>
      </w:r>
      <w:r w:rsidR="00A22F11">
        <w:rPr>
          <w:lang w:eastAsia="en-AU"/>
        </w:rPr>
        <w:t xml:space="preserve">r, </w:t>
      </w:r>
      <w:r>
        <w:rPr>
          <w:lang w:eastAsia="en-AU"/>
        </w:rPr>
        <w:t>people who are LGBTIQ+ or identify as g</w:t>
      </w:r>
      <w:r w:rsidR="00C61014">
        <w:rPr>
          <w:lang w:eastAsia="en-AU"/>
        </w:rPr>
        <w:t xml:space="preserve">ender diverse or non-binary </w:t>
      </w:r>
      <w:r>
        <w:rPr>
          <w:lang w:eastAsia="en-AU"/>
        </w:rPr>
        <w:t>also experience DFV.  People of all ages (including children and older people), all cultur</w:t>
      </w:r>
      <w:r w:rsidR="002C159E">
        <w:rPr>
          <w:lang w:eastAsia="en-AU"/>
        </w:rPr>
        <w:t>al groups</w:t>
      </w:r>
      <w:r w:rsidR="00C61014">
        <w:rPr>
          <w:lang w:eastAsia="en-AU"/>
        </w:rPr>
        <w:t xml:space="preserve">, and all abilities </w:t>
      </w:r>
      <w:r>
        <w:rPr>
          <w:lang w:eastAsia="en-AU"/>
        </w:rPr>
        <w:t>experience DFV.</w:t>
      </w:r>
      <w:r w:rsidR="00E069B4">
        <w:rPr>
          <w:lang w:eastAsia="en-AU"/>
        </w:rPr>
        <w:t xml:space="preserve"> </w:t>
      </w:r>
    </w:p>
    <w:p w14:paraId="00A483EF" w14:textId="25DAF703" w:rsidR="00F12258" w:rsidRPr="00F12258" w:rsidRDefault="00BD5E58" w:rsidP="00F12258">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An important feature of </w:t>
      </w:r>
      <w:r w:rsidR="00F12258">
        <w:rPr>
          <w:rFonts w:asciiTheme="minorHAnsi" w:eastAsia="Times New Roman" w:hAnsiTheme="minorHAnsi" w:cstheme="minorHAnsi"/>
          <w:color w:val="000000"/>
          <w:lang w:eastAsia="en-AU"/>
        </w:rPr>
        <w:t>DFV</w:t>
      </w:r>
      <w:r w:rsidR="005D01DD">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 xml:space="preserve">is that it </w:t>
      </w:r>
      <w:r w:rsidR="002C159E">
        <w:rPr>
          <w:rFonts w:asciiTheme="minorHAnsi" w:eastAsia="Times New Roman" w:hAnsiTheme="minorHAnsi" w:cstheme="minorHAnsi"/>
          <w:color w:val="000000"/>
          <w:lang w:eastAsia="en-AU"/>
        </w:rPr>
        <w:t xml:space="preserve">is </w:t>
      </w:r>
      <w:r>
        <w:rPr>
          <w:rFonts w:asciiTheme="minorHAnsi" w:eastAsia="Times New Roman" w:hAnsiTheme="minorHAnsi" w:cstheme="minorHAnsi"/>
          <w:color w:val="000000"/>
          <w:lang w:eastAsia="en-AU"/>
        </w:rPr>
        <w:t>often a pattern of abuse</w:t>
      </w:r>
      <w:r w:rsidR="00C61014">
        <w:rPr>
          <w:rStyle w:val="FootnoteReference"/>
          <w:rFonts w:asciiTheme="minorHAnsi" w:eastAsia="Times New Roman" w:hAnsiTheme="minorHAnsi" w:cstheme="minorHAnsi"/>
          <w:color w:val="000000"/>
          <w:lang w:eastAsia="en-AU"/>
        </w:rPr>
        <w:footnoteReference w:id="26"/>
      </w:r>
      <w:r>
        <w:rPr>
          <w:rFonts w:asciiTheme="minorHAnsi" w:eastAsia="Times New Roman" w:hAnsiTheme="minorHAnsi" w:cstheme="minorHAnsi"/>
          <w:color w:val="000000"/>
          <w:lang w:eastAsia="en-AU"/>
        </w:rPr>
        <w:t xml:space="preserve"> over time</w:t>
      </w:r>
      <w:r w:rsidR="00C61014">
        <w:rPr>
          <w:rFonts w:asciiTheme="minorHAnsi" w:eastAsia="Times New Roman" w:hAnsiTheme="minorHAnsi" w:cstheme="minorHAnsi"/>
          <w:color w:val="000000"/>
          <w:lang w:eastAsia="en-AU"/>
        </w:rPr>
        <w:t xml:space="preserve"> in which a person</w:t>
      </w:r>
      <w:r w:rsidR="002C159E">
        <w:rPr>
          <w:rFonts w:asciiTheme="minorHAnsi" w:eastAsia="Times New Roman" w:hAnsiTheme="minorHAnsi" w:cstheme="minorHAnsi"/>
          <w:color w:val="000000"/>
          <w:lang w:eastAsia="en-AU"/>
        </w:rPr>
        <w:t xml:space="preserve"> aims to </w:t>
      </w:r>
      <w:r w:rsidR="00F65C7A">
        <w:rPr>
          <w:rFonts w:asciiTheme="minorHAnsi" w:eastAsia="Times New Roman" w:hAnsiTheme="minorHAnsi" w:cstheme="minorHAnsi"/>
          <w:color w:val="000000"/>
          <w:lang w:eastAsia="en-AU"/>
        </w:rPr>
        <w:t xml:space="preserve">control and </w:t>
      </w:r>
      <w:r w:rsidR="00C61014">
        <w:rPr>
          <w:rFonts w:asciiTheme="minorHAnsi" w:eastAsia="Times New Roman" w:hAnsiTheme="minorHAnsi" w:cstheme="minorHAnsi"/>
          <w:color w:val="000000"/>
          <w:lang w:eastAsia="en-AU"/>
        </w:rPr>
        <w:t>dominate an intimate partn</w:t>
      </w:r>
      <w:r w:rsidR="008A2CCD">
        <w:rPr>
          <w:rFonts w:asciiTheme="minorHAnsi" w:eastAsia="Times New Roman" w:hAnsiTheme="minorHAnsi" w:cstheme="minorHAnsi"/>
          <w:color w:val="000000"/>
          <w:lang w:eastAsia="en-AU"/>
        </w:rPr>
        <w:t>er, ex-partner or family member</w:t>
      </w:r>
      <w:r w:rsidR="002C159E">
        <w:rPr>
          <w:rFonts w:asciiTheme="minorHAnsi" w:eastAsia="Times New Roman" w:hAnsiTheme="minorHAnsi" w:cstheme="minorHAnsi"/>
          <w:color w:val="000000"/>
          <w:lang w:eastAsia="en-AU"/>
        </w:rPr>
        <w:t>.</w:t>
      </w:r>
      <w:r w:rsidR="00971795">
        <w:rPr>
          <w:rFonts w:asciiTheme="minorHAnsi" w:eastAsia="Times New Roman" w:hAnsiTheme="minorHAnsi" w:cstheme="minorHAnsi"/>
          <w:color w:val="000000"/>
          <w:lang w:eastAsia="en-AU"/>
        </w:rPr>
        <w:t xml:space="preserve"> </w:t>
      </w:r>
      <w:r w:rsidR="002C159E">
        <w:rPr>
          <w:rFonts w:asciiTheme="minorHAnsi" w:eastAsia="Times New Roman" w:hAnsiTheme="minorHAnsi" w:cstheme="minorHAnsi"/>
          <w:color w:val="000000"/>
          <w:lang w:eastAsia="en-AU"/>
        </w:rPr>
        <w:t xml:space="preserve"> </w:t>
      </w:r>
      <w:r w:rsidR="00F65C7A">
        <w:rPr>
          <w:rFonts w:asciiTheme="minorHAnsi" w:eastAsia="Times New Roman" w:hAnsiTheme="minorHAnsi" w:cstheme="minorHAnsi"/>
          <w:color w:val="000000"/>
          <w:lang w:eastAsia="en-AU"/>
        </w:rPr>
        <w:t xml:space="preserve">This control and dominance is central to understanding what </w:t>
      </w:r>
      <w:r w:rsidR="006B6CCD">
        <w:rPr>
          <w:rFonts w:asciiTheme="minorHAnsi" w:eastAsia="Times New Roman" w:hAnsiTheme="minorHAnsi" w:cstheme="minorHAnsi"/>
          <w:color w:val="000000"/>
          <w:lang w:eastAsia="en-AU"/>
        </w:rPr>
        <w:t xml:space="preserve">DFV is, and how to address it. </w:t>
      </w:r>
      <w:r w:rsidR="00971795">
        <w:rPr>
          <w:rFonts w:asciiTheme="minorHAnsi" w:eastAsia="Times New Roman" w:hAnsiTheme="minorHAnsi" w:cstheme="minorHAnsi"/>
          <w:color w:val="000000"/>
          <w:lang w:eastAsia="en-AU"/>
        </w:rPr>
        <w:t xml:space="preserve"> </w:t>
      </w:r>
      <w:r w:rsidR="00EE6369">
        <w:rPr>
          <w:rFonts w:asciiTheme="minorHAnsi" w:eastAsia="Times New Roman" w:hAnsiTheme="minorHAnsi" w:cstheme="minorHAnsi"/>
          <w:color w:val="000000"/>
          <w:lang w:eastAsia="en-AU"/>
        </w:rPr>
        <w:t xml:space="preserve">The power and dominance </w:t>
      </w:r>
      <w:r w:rsidR="00527937">
        <w:rPr>
          <w:rFonts w:asciiTheme="minorHAnsi" w:eastAsia="Times New Roman" w:hAnsiTheme="minorHAnsi" w:cstheme="minorHAnsi"/>
          <w:color w:val="000000"/>
          <w:lang w:eastAsia="en-AU"/>
        </w:rPr>
        <w:t xml:space="preserve">contributes to </w:t>
      </w:r>
      <w:r w:rsidR="00EE6369">
        <w:rPr>
          <w:rFonts w:asciiTheme="minorHAnsi" w:eastAsia="Times New Roman" w:hAnsiTheme="minorHAnsi" w:cstheme="minorHAnsi"/>
          <w:color w:val="000000"/>
          <w:lang w:eastAsia="en-AU"/>
        </w:rPr>
        <w:t>keep</w:t>
      </w:r>
      <w:r w:rsidR="00527937">
        <w:rPr>
          <w:rFonts w:asciiTheme="minorHAnsi" w:eastAsia="Times New Roman" w:hAnsiTheme="minorHAnsi" w:cstheme="minorHAnsi"/>
          <w:color w:val="000000"/>
          <w:lang w:eastAsia="en-AU"/>
        </w:rPr>
        <w:t>ing</w:t>
      </w:r>
      <w:r w:rsidR="00EE6369">
        <w:rPr>
          <w:rFonts w:asciiTheme="minorHAnsi" w:eastAsia="Times New Roman" w:hAnsiTheme="minorHAnsi" w:cstheme="minorHAnsi"/>
          <w:color w:val="000000"/>
          <w:lang w:eastAsia="en-AU"/>
        </w:rPr>
        <w:t xml:space="preserve"> people trapped in violent relationships.</w:t>
      </w:r>
    </w:p>
    <w:p w14:paraId="426629E9" w14:textId="7BDDC07B" w:rsidR="006D51B6" w:rsidRDefault="005D01DD" w:rsidP="006D51B6">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The definition </w:t>
      </w:r>
      <w:r w:rsidR="00117F83">
        <w:rPr>
          <w:rFonts w:asciiTheme="minorHAnsi" w:eastAsia="Times New Roman" w:hAnsiTheme="minorHAnsi" w:cstheme="minorHAnsi"/>
          <w:color w:val="000000"/>
          <w:lang w:eastAsia="en-AU"/>
        </w:rPr>
        <w:t xml:space="preserve">of DFV </w:t>
      </w:r>
      <w:r w:rsidR="003B0F66">
        <w:rPr>
          <w:rFonts w:asciiTheme="minorHAnsi" w:eastAsia="Times New Roman" w:hAnsiTheme="minorHAnsi" w:cstheme="minorHAnsi"/>
          <w:color w:val="000000"/>
          <w:lang w:eastAsia="en-AU"/>
        </w:rPr>
        <w:t xml:space="preserve">set out </w:t>
      </w:r>
      <w:r>
        <w:rPr>
          <w:rFonts w:asciiTheme="minorHAnsi" w:eastAsia="Times New Roman" w:hAnsiTheme="minorHAnsi" w:cstheme="minorHAnsi"/>
          <w:color w:val="000000"/>
          <w:lang w:eastAsia="en-AU"/>
        </w:rPr>
        <w:t xml:space="preserve">above differs from the definition in the </w:t>
      </w:r>
      <w:r w:rsidR="003B0F66" w:rsidRPr="003B0F66">
        <w:rPr>
          <w:rFonts w:asciiTheme="minorHAnsi" w:eastAsia="Times New Roman" w:hAnsiTheme="minorHAnsi" w:cstheme="minorHAnsi"/>
          <w:color w:val="000000"/>
          <w:lang w:eastAsia="en-AU"/>
        </w:rPr>
        <w:t>DFV</w:t>
      </w:r>
      <w:r w:rsidR="00971795">
        <w:rPr>
          <w:rFonts w:asciiTheme="minorHAnsi" w:eastAsia="Times New Roman" w:hAnsiTheme="minorHAnsi" w:cstheme="minorHAnsi"/>
          <w:color w:val="000000"/>
          <w:lang w:eastAsia="en-AU"/>
        </w:rPr>
        <w:t> </w:t>
      </w:r>
      <w:r w:rsidR="003B0F66" w:rsidRPr="003B0F66">
        <w:rPr>
          <w:rFonts w:asciiTheme="minorHAnsi" w:eastAsia="Times New Roman" w:hAnsiTheme="minorHAnsi" w:cstheme="minorHAnsi"/>
          <w:color w:val="000000"/>
          <w:lang w:eastAsia="en-AU"/>
        </w:rPr>
        <w:t>A</w:t>
      </w:r>
      <w:r w:rsidR="00971795">
        <w:rPr>
          <w:rFonts w:asciiTheme="minorHAnsi" w:eastAsia="Times New Roman" w:hAnsiTheme="minorHAnsi" w:cstheme="minorHAnsi"/>
          <w:color w:val="000000"/>
          <w:lang w:eastAsia="en-AU"/>
        </w:rPr>
        <w:t>ct</w:t>
      </w:r>
      <w:r w:rsidRPr="005D01DD">
        <w:rPr>
          <w:rFonts w:asciiTheme="minorHAnsi" w:eastAsia="Times New Roman" w:hAnsiTheme="minorHAnsi" w:cstheme="minorHAnsi"/>
          <w:i/>
          <w:iCs/>
          <w:color w:val="000000"/>
          <w:lang w:eastAsia="en-AU"/>
        </w:rPr>
        <w:t>.</w:t>
      </w:r>
      <w:r w:rsidR="00B84A0B" w:rsidRPr="005D01DD">
        <w:rPr>
          <w:rFonts w:asciiTheme="minorHAnsi" w:eastAsia="Times New Roman" w:hAnsiTheme="minorHAnsi" w:cstheme="minorHAnsi"/>
          <w:color w:val="000000"/>
          <w:lang w:eastAsia="en-AU"/>
        </w:rPr>
        <w:t xml:space="preserve"> </w:t>
      </w:r>
    </w:p>
    <w:p w14:paraId="6462B16D" w14:textId="27D9219B" w:rsidR="00F50CDF" w:rsidRPr="006D51B6" w:rsidRDefault="006D51B6" w:rsidP="006D51B6">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Section 5 </w:t>
      </w:r>
      <w:r w:rsidR="00D97AE2">
        <w:rPr>
          <w:rFonts w:asciiTheme="minorHAnsi" w:eastAsia="Times New Roman" w:hAnsiTheme="minorHAnsi" w:cstheme="minorHAnsi"/>
          <w:color w:val="000000"/>
          <w:lang w:eastAsia="en-AU"/>
        </w:rPr>
        <w:t>of the DFV</w:t>
      </w:r>
      <w:r w:rsidR="00971795">
        <w:rPr>
          <w:rFonts w:asciiTheme="minorHAnsi" w:eastAsia="Times New Roman" w:hAnsiTheme="minorHAnsi" w:cstheme="minorHAnsi"/>
          <w:color w:val="000000"/>
          <w:lang w:eastAsia="en-AU"/>
        </w:rPr>
        <w:t> </w:t>
      </w:r>
      <w:r w:rsidR="00D97AE2">
        <w:rPr>
          <w:rFonts w:asciiTheme="minorHAnsi" w:eastAsia="Times New Roman" w:hAnsiTheme="minorHAnsi" w:cstheme="minorHAnsi"/>
          <w:color w:val="000000"/>
          <w:lang w:eastAsia="en-AU"/>
        </w:rPr>
        <w:t>A</w:t>
      </w:r>
      <w:r w:rsidR="00971795">
        <w:rPr>
          <w:rFonts w:asciiTheme="minorHAnsi" w:eastAsia="Times New Roman" w:hAnsiTheme="minorHAnsi" w:cstheme="minorHAnsi"/>
          <w:color w:val="000000"/>
          <w:lang w:eastAsia="en-AU"/>
        </w:rPr>
        <w:t>ct</w:t>
      </w:r>
      <w:r w:rsidR="00D97AE2">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defines domestic violence as condu</w:t>
      </w:r>
      <w:r w:rsidR="00FC07BF">
        <w:rPr>
          <w:rFonts w:asciiTheme="minorHAnsi" w:eastAsia="Times New Roman" w:hAnsiTheme="minorHAnsi" w:cstheme="minorHAnsi"/>
          <w:color w:val="000000"/>
          <w:lang w:eastAsia="en-AU"/>
        </w:rPr>
        <w:t>ct – by a person against someone with whom they are in a domestic relationship – causing</w:t>
      </w:r>
      <w:r>
        <w:rPr>
          <w:rFonts w:asciiTheme="minorHAnsi" w:eastAsia="Times New Roman" w:hAnsiTheme="minorHAnsi" w:cstheme="minorHAnsi"/>
          <w:color w:val="000000"/>
          <w:lang w:eastAsia="en-AU"/>
        </w:rPr>
        <w:t xml:space="preserve"> harm; damag</w:t>
      </w:r>
      <w:r w:rsidR="00FC07BF">
        <w:rPr>
          <w:rFonts w:asciiTheme="minorHAnsi" w:eastAsia="Times New Roman" w:hAnsiTheme="minorHAnsi" w:cstheme="minorHAnsi"/>
          <w:color w:val="000000"/>
          <w:lang w:eastAsia="en-AU"/>
        </w:rPr>
        <w:t>ing</w:t>
      </w:r>
      <w:r>
        <w:rPr>
          <w:rFonts w:asciiTheme="minorHAnsi" w:eastAsia="Times New Roman" w:hAnsiTheme="minorHAnsi" w:cstheme="minorHAnsi"/>
          <w:color w:val="000000"/>
          <w:lang w:eastAsia="en-AU"/>
        </w:rPr>
        <w:t xml:space="preserve"> property, including the injury or death of an animal; intimidation; stalking; economic abuse; or attemptin</w:t>
      </w:r>
      <w:r w:rsidR="00A27E2C">
        <w:rPr>
          <w:rFonts w:asciiTheme="minorHAnsi" w:eastAsia="Times New Roman" w:hAnsiTheme="minorHAnsi" w:cstheme="minorHAnsi"/>
          <w:color w:val="000000"/>
          <w:lang w:eastAsia="en-AU"/>
        </w:rPr>
        <w:t xml:space="preserve">g or threatening to commit such </w:t>
      </w:r>
      <w:r>
        <w:rPr>
          <w:rFonts w:asciiTheme="minorHAnsi" w:eastAsia="Times New Roman" w:hAnsiTheme="minorHAnsi" w:cstheme="minorHAnsi"/>
          <w:color w:val="000000"/>
          <w:lang w:eastAsia="en-AU"/>
        </w:rPr>
        <w:t>conduct.</w:t>
      </w:r>
    </w:p>
    <w:p w14:paraId="08CFCFDC" w14:textId="553D890A" w:rsidR="00D97AE2" w:rsidRDefault="00491983" w:rsidP="003F6202">
      <w:pPr>
        <w:rPr>
          <w:lang w:eastAsia="en-AU"/>
        </w:rPr>
      </w:pPr>
      <w:r>
        <w:rPr>
          <w:lang w:eastAsia="en-AU"/>
        </w:rPr>
        <w:t>It is one of the proposals</w:t>
      </w:r>
      <w:r w:rsidR="006D51B6">
        <w:rPr>
          <w:lang w:eastAsia="en-AU"/>
        </w:rPr>
        <w:t xml:space="preserve"> in this </w:t>
      </w:r>
      <w:r w:rsidR="0061486C">
        <w:rPr>
          <w:lang w:eastAsia="en-AU"/>
        </w:rPr>
        <w:t>r</w:t>
      </w:r>
      <w:r w:rsidR="006D51B6">
        <w:rPr>
          <w:lang w:eastAsia="en-AU"/>
        </w:rPr>
        <w:t>eview that the</w:t>
      </w:r>
      <w:r w:rsidR="003B0F66">
        <w:rPr>
          <w:lang w:eastAsia="en-AU"/>
        </w:rPr>
        <w:t xml:space="preserve"> definition in </w:t>
      </w:r>
      <w:r w:rsidR="00A27E2C">
        <w:rPr>
          <w:lang w:eastAsia="en-AU"/>
        </w:rPr>
        <w:t xml:space="preserve">section 5 </w:t>
      </w:r>
      <w:r w:rsidR="003B0F66">
        <w:rPr>
          <w:lang w:eastAsia="en-AU"/>
        </w:rPr>
        <w:t xml:space="preserve">is </w:t>
      </w:r>
      <w:r w:rsidR="00D97AE2">
        <w:rPr>
          <w:lang w:eastAsia="en-AU"/>
        </w:rPr>
        <w:t xml:space="preserve">modernised so that it is more closely aligned with the above </w:t>
      </w:r>
      <w:r w:rsidR="00F65C7A">
        <w:rPr>
          <w:lang w:eastAsia="en-AU"/>
        </w:rPr>
        <w:t>understanding of DFV</w:t>
      </w:r>
      <w:r w:rsidR="00A22F11">
        <w:rPr>
          <w:lang w:eastAsia="en-AU"/>
        </w:rPr>
        <w:t xml:space="preserve"> </w:t>
      </w:r>
      <w:r w:rsidR="00A22F11" w:rsidRPr="000B3E35">
        <w:rPr>
          <w:lang w:eastAsia="en-AU"/>
        </w:rPr>
        <w:t xml:space="preserve">(see </w:t>
      </w:r>
      <w:r w:rsidR="00971795" w:rsidRPr="003757DB">
        <w:rPr>
          <w:lang w:eastAsia="en-AU"/>
        </w:rPr>
        <w:t xml:space="preserve">Part </w:t>
      </w:r>
      <w:r w:rsidR="00DB14C1">
        <w:rPr>
          <w:lang w:eastAsia="en-AU"/>
        </w:rPr>
        <w:t>4</w:t>
      </w:r>
      <w:r w:rsidR="008A2CCD" w:rsidRPr="003757DB">
        <w:rPr>
          <w:lang w:eastAsia="en-AU"/>
        </w:rPr>
        <w:t>.1.1</w:t>
      </w:r>
      <w:r w:rsidR="000B3E35">
        <w:rPr>
          <w:lang w:eastAsia="en-AU"/>
        </w:rPr>
        <w:t xml:space="preserve"> of this paper</w:t>
      </w:r>
      <w:r w:rsidR="00A22F11">
        <w:rPr>
          <w:lang w:eastAsia="en-AU"/>
        </w:rPr>
        <w:t>)</w:t>
      </w:r>
      <w:r w:rsidR="00D97AE2">
        <w:rPr>
          <w:lang w:eastAsia="en-AU"/>
        </w:rPr>
        <w:t>.</w:t>
      </w:r>
    </w:p>
    <w:p w14:paraId="2765E9CA" w14:textId="6EBBF800" w:rsidR="00DD64C1" w:rsidRDefault="00945C78" w:rsidP="00971795">
      <w:pPr>
        <w:pStyle w:val="Heading2"/>
        <w:ind w:left="1134"/>
        <w:rPr>
          <w:lang w:eastAsia="en-AU"/>
        </w:rPr>
      </w:pPr>
      <w:bookmarkStart w:id="10" w:name="_Toc112051800"/>
      <w:r>
        <w:rPr>
          <w:lang w:eastAsia="en-AU"/>
        </w:rPr>
        <w:lastRenderedPageBreak/>
        <w:t xml:space="preserve">The </w:t>
      </w:r>
      <w:r w:rsidR="00292523">
        <w:rPr>
          <w:lang w:eastAsia="en-AU"/>
        </w:rPr>
        <w:t>data</w:t>
      </w:r>
      <w:r>
        <w:rPr>
          <w:lang w:eastAsia="en-AU"/>
        </w:rPr>
        <w:t xml:space="preserve"> </w:t>
      </w:r>
      <w:r w:rsidR="0086113F">
        <w:rPr>
          <w:lang w:eastAsia="en-AU"/>
        </w:rPr>
        <w:t>in the NT</w:t>
      </w:r>
      <w:bookmarkEnd w:id="10"/>
    </w:p>
    <w:p w14:paraId="1E8205BF" w14:textId="5053EF23" w:rsidR="00D335D7" w:rsidRPr="00D335D7" w:rsidRDefault="00D335D7" w:rsidP="00061820">
      <w:pPr>
        <w:rPr>
          <w:rFonts w:asciiTheme="minorHAnsi" w:hAnsiTheme="minorHAnsi" w:cs="Arial"/>
        </w:rPr>
      </w:pPr>
      <w:r w:rsidRPr="00D335D7">
        <w:rPr>
          <w:rFonts w:asciiTheme="minorHAnsi" w:hAnsiTheme="minorHAnsi" w:cs="Arial"/>
        </w:rPr>
        <w:t>The paper recognises the significant concerns of many in the community about DFV-related harm and death, recently described by Her Honour Justice Kelly as an ‘epidemic of violence’</w:t>
      </w:r>
      <w:r w:rsidRPr="00D335D7">
        <w:rPr>
          <w:rStyle w:val="FootnoteReference"/>
          <w:rFonts w:asciiTheme="minorHAnsi" w:hAnsiTheme="minorHAnsi" w:cs="Arial"/>
        </w:rPr>
        <w:footnoteReference w:id="27"/>
      </w:r>
      <w:r w:rsidRPr="00D335D7">
        <w:rPr>
          <w:rFonts w:asciiTheme="minorHAnsi" w:hAnsiTheme="minorHAnsi" w:cs="Arial"/>
        </w:rPr>
        <w:t xml:space="preserve"> and by the Coroner as ‘contagion’ that ‘rages unabated.’ </w:t>
      </w:r>
      <w:r w:rsidRPr="00D335D7">
        <w:rPr>
          <w:rStyle w:val="FootnoteReference"/>
          <w:rFonts w:asciiTheme="minorHAnsi" w:hAnsiTheme="minorHAnsi" w:cs="Arial"/>
        </w:rPr>
        <w:footnoteReference w:id="28"/>
      </w:r>
    </w:p>
    <w:p w14:paraId="0BC6AD13" w14:textId="340AD45F" w:rsidR="00061820" w:rsidRDefault="00061820" w:rsidP="00061820">
      <w:pPr>
        <w:rPr>
          <w:lang w:eastAsia="en-AU"/>
        </w:rPr>
      </w:pPr>
      <w:r>
        <w:rPr>
          <w:lang w:eastAsia="en-AU"/>
        </w:rPr>
        <w:t xml:space="preserve">The Northern Territory </w:t>
      </w:r>
      <w:r w:rsidR="0004523E">
        <w:rPr>
          <w:lang w:eastAsia="en-AU"/>
        </w:rPr>
        <w:t xml:space="preserve">has a </w:t>
      </w:r>
      <w:r>
        <w:rPr>
          <w:lang w:eastAsia="en-AU"/>
        </w:rPr>
        <w:t>high</w:t>
      </w:r>
      <w:r w:rsidR="0004523E">
        <w:rPr>
          <w:lang w:eastAsia="en-AU"/>
        </w:rPr>
        <w:t>er</w:t>
      </w:r>
      <w:r>
        <w:rPr>
          <w:lang w:eastAsia="en-AU"/>
        </w:rPr>
        <w:t xml:space="preserve"> rate</w:t>
      </w:r>
      <w:r w:rsidR="0004523E">
        <w:rPr>
          <w:lang w:eastAsia="en-AU"/>
        </w:rPr>
        <w:t xml:space="preserve"> of DFV than</w:t>
      </w:r>
      <w:r w:rsidR="00C17787">
        <w:rPr>
          <w:lang w:eastAsia="en-AU"/>
        </w:rPr>
        <w:t xml:space="preserve"> any Australian </w:t>
      </w:r>
      <w:r w:rsidR="00C12606">
        <w:rPr>
          <w:lang w:eastAsia="en-AU"/>
        </w:rPr>
        <w:t>state or territory</w:t>
      </w:r>
      <w:r w:rsidR="00C17787">
        <w:rPr>
          <w:lang w:eastAsia="en-AU"/>
        </w:rPr>
        <w:t>.</w:t>
      </w:r>
      <w:r>
        <w:rPr>
          <w:lang w:eastAsia="en-AU"/>
        </w:rPr>
        <w:t xml:space="preserve"> </w:t>
      </w:r>
    </w:p>
    <w:p w14:paraId="5FEA5857" w14:textId="77777777" w:rsidR="00D10049" w:rsidRDefault="00061820" w:rsidP="00D10049">
      <w:r w:rsidRPr="00BC0D5F">
        <w:t>The victimisation rate for DFV related assault in the NT is more than double the rate of the next closest jurisdiction (WA) and more than three times as high as the rates in all other jurisdictio</w:t>
      </w:r>
      <w:r w:rsidR="00C17787">
        <w:t>ns for which data is available.</w:t>
      </w:r>
      <w:r w:rsidR="00C17787">
        <w:rPr>
          <w:rStyle w:val="FootnoteReference"/>
        </w:rPr>
        <w:footnoteReference w:id="29"/>
      </w:r>
    </w:p>
    <w:p w14:paraId="3C4BE26A" w14:textId="137E6A65" w:rsidR="00061820" w:rsidRDefault="00D10049" w:rsidP="00D10049">
      <w:r>
        <w:t>For females</w:t>
      </w:r>
      <w:r w:rsidR="00971795">
        <w:t>,</w:t>
      </w:r>
      <w:r>
        <w:t xml:space="preserve"> the victimisation rate is even more disparate. </w:t>
      </w:r>
      <w:r w:rsidR="00971795">
        <w:t xml:space="preserve"> </w:t>
      </w:r>
      <w:r w:rsidR="00061820" w:rsidRPr="00BC0D5F">
        <w:t>The female victimisation rate for DFV related assault in the NT is more than double the rate of the next closest jurisdiction (WA), four times as high as the rate in SA, and more than five times as high as the rates in other jurisdictions for which data is availab</w:t>
      </w:r>
      <w:r w:rsidR="00964629">
        <w:t>le, ie</w:t>
      </w:r>
      <w:r w:rsidR="00061820" w:rsidRPr="00BC0D5F">
        <w:t>. NSW, T</w:t>
      </w:r>
      <w:r w:rsidR="00971795">
        <w:t>asmania</w:t>
      </w:r>
      <w:r w:rsidR="00061820" w:rsidRPr="00BC0D5F">
        <w:t xml:space="preserve"> or the A</w:t>
      </w:r>
      <w:r w:rsidR="00971795">
        <w:t xml:space="preserve">ustralian </w:t>
      </w:r>
      <w:r w:rsidR="00061820" w:rsidRPr="00BC0D5F">
        <w:t>C</w:t>
      </w:r>
      <w:r w:rsidR="00971795">
        <w:t xml:space="preserve">apital </w:t>
      </w:r>
      <w:r w:rsidR="00061820" w:rsidRPr="00BC0D5F">
        <w:t>T</w:t>
      </w:r>
      <w:r w:rsidR="00971795">
        <w:t>erritory</w:t>
      </w:r>
      <w:r>
        <w:t>.</w:t>
      </w:r>
    </w:p>
    <w:p w14:paraId="12E9C71B" w14:textId="415B8751" w:rsidR="003C2CBF" w:rsidRDefault="003C2CBF" w:rsidP="00D10049">
      <w:r>
        <w:t>The rate of DFV-related assault in the NT increased by 27</w:t>
      </w:r>
      <w:r w:rsidR="00971795">
        <w:t> per cent</w:t>
      </w:r>
      <w:r>
        <w:t xml:space="preserve"> in 2020, compared with 2019</w:t>
      </w:r>
      <w:r w:rsidR="00C30D9F">
        <w:t>.</w:t>
      </w:r>
      <w:r>
        <w:rPr>
          <w:rStyle w:val="FootnoteReference"/>
        </w:rPr>
        <w:footnoteReference w:id="30"/>
      </w:r>
      <w:r w:rsidR="00C30D9F">
        <w:t xml:space="preserve">  </w:t>
      </w:r>
    </w:p>
    <w:p w14:paraId="688E9305" w14:textId="2A0BB226" w:rsidR="004C37C1" w:rsidRDefault="00FA36C8" w:rsidP="00D10049">
      <w:pPr>
        <w:rPr>
          <w:b/>
        </w:rPr>
      </w:pPr>
      <w:r>
        <w:rPr>
          <w:b/>
        </w:rPr>
        <w:t>Reported assaults</w:t>
      </w:r>
    </w:p>
    <w:p w14:paraId="080E44ED" w14:textId="0D49FEE6" w:rsidR="00F87E41" w:rsidRDefault="00F87E41" w:rsidP="00D10049">
      <w:pPr>
        <w:rPr>
          <w:lang w:eastAsia="en-AU"/>
        </w:rPr>
      </w:pPr>
      <w:r>
        <w:rPr>
          <w:lang w:eastAsia="en-AU"/>
        </w:rPr>
        <w:t>In 2020</w:t>
      </w:r>
      <w:r w:rsidR="00971795">
        <w:rPr>
          <w:lang w:eastAsia="en-AU"/>
        </w:rPr>
        <w:t>,</w:t>
      </w:r>
      <w:r>
        <w:rPr>
          <w:lang w:eastAsia="en-AU"/>
        </w:rPr>
        <w:t xml:space="preserve"> almost two thirds (63</w:t>
      </w:r>
      <w:r w:rsidR="00971795">
        <w:rPr>
          <w:lang w:eastAsia="en-AU"/>
        </w:rPr>
        <w:t> per cent</w:t>
      </w:r>
      <w:r>
        <w:rPr>
          <w:lang w:eastAsia="en-AU"/>
        </w:rPr>
        <w:t xml:space="preserve">) of assaults in the NT were DFV-related (5,131 victims).  </w:t>
      </w:r>
      <w:r>
        <w:rPr>
          <w:rStyle w:val="FootnoteReference"/>
          <w:lang w:eastAsia="en-AU"/>
        </w:rPr>
        <w:footnoteReference w:id="31"/>
      </w:r>
    </w:p>
    <w:p w14:paraId="17F18A1F" w14:textId="2AA3F9E0" w:rsidR="00F87E41" w:rsidRDefault="00F87E41" w:rsidP="00D10049">
      <w:pPr>
        <w:rPr>
          <w:lang w:eastAsia="en-AU"/>
        </w:rPr>
      </w:pPr>
      <w:r>
        <w:rPr>
          <w:lang w:eastAsia="en-AU"/>
        </w:rPr>
        <w:t>A weapon was used in over two in five assaults (42</w:t>
      </w:r>
      <w:r w:rsidR="00971795">
        <w:rPr>
          <w:lang w:eastAsia="en-AU"/>
        </w:rPr>
        <w:t> per cent</w:t>
      </w:r>
      <w:r>
        <w:rPr>
          <w:lang w:eastAsia="en-AU"/>
        </w:rPr>
        <w:t>), which is the highest proportion in any state or territory where assault data was available.</w:t>
      </w:r>
    </w:p>
    <w:p w14:paraId="72AC7ABB" w14:textId="61D76B8C" w:rsidR="00E40F38" w:rsidRDefault="00550EB5" w:rsidP="00D10049">
      <w:pPr>
        <w:rPr>
          <w:lang w:eastAsia="en-AU"/>
        </w:rPr>
      </w:pPr>
      <w:r>
        <w:rPr>
          <w:lang w:eastAsia="en-AU"/>
        </w:rPr>
        <w:t xml:space="preserve">The </w:t>
      </w:r>
      <w:r w:rsidR="00E40F38">
        <w:rPr>
          <w:lang w:eastAsia="en-AU"/>
        </w:rPr>
        <w:t xml:space="preserve">offences that are </w:t>
      </w:r>
      <w:r w:rsidR="00F122D7">
        <w:rPr>
          <w:lang w:eastAsia="en-AU"/>
        </w:rPr>
        <w:t xml:space="preserve">likely to be </w:t>
      </w:r>
      <w:r w:rsidR="00E40F38">
        <w:rPr>
          <w:lang w:eastAsia="en-AU"/>
        </w:rPr>
        <w:t xml:space="preserve">committed in DFV circumstances are </w:t>
      </w:r>
      <w:r w:rsidR="00F122D7">
        <w:rPr>
          <w:lang w:eastAsia="en-AU"/>
        </w:rPr>
        <w:t>listed</w:t>
      </w:r>
      <w:r w:rsidR="00E40F38">
        <w:rPr>
          <w:lang w:eastAsia="en-AU"/>
        </w:rPr>
        <w:t xml:space="preserve"> in </w:t>
      </w:r>
      <w:r w:rsidR="00971795" w:rsidRPr="003757DB">
        <w:rPr>
          <w:lang w:eastAsia="en-AU"/>
        </w:rPr>
        <w:t xml:space="preserve">Part </w:t>
      </w:r>
      <w:r w:rsidR="00DB14C1">
        <w:rPr>
          <w:lang w:eastAsia="en-AU"/>
        </w:rPr>
        <w:t>2</w:t>
      </w:r>
      <w:r w:rsidR="00E40F38" w:rsidRPr="003757DB">
        <w:rPr>
          <w:lang w:eastAsia="en-AU"/>
        </w:rPr>
        <w:t>.4.</w:t>
      </w:r>
    </w:p>
    <w:p w14:paraId="480B7023" w14:textId="0D5BB556" w:rsidR="00591747" w:rsidRPr="00E40F38" w:rsidRDefault="00591747" w:rsidP="00D10049">
      <w:pPr>
        <w:rPr>
          <w:lang w:eastAsia="en-AU"/>
        </w:rPr>
      </w:pPr>
      <w:r>
        <w:rPr>
          <w:lang w:eastAsia="en-AU"/>
        </w:rPr>
        <w:t>It is noted that a significant proportion of DFV is not reported to police.</w:t>
      </w:r>
      <w:r w:rsidR="00550EB5">
        <w:rPr>
          <w:lang w:eastAsia="en-AU"/>
        </w:rPr>
        <w:t xml:space="preserve">  It is not possible to gauge unreported DFV with accuracy in the NT.  However, estimates suggest that up to 90</w:t>
      </w:r>
      <w:r w:rsidR="00971795">
        <w:rPr>
          <w:lang w:eastAsia="en-AU"/>
        </w:rPr>
        <w:t> per cent</w:t>
      </w:r>
      <w:r w:rsidR="00550EB5">
        <w:rPr>
          <w:lang w:eastAsia="en-AU"/>
        </w:rPr>
        <w:t xml:space="preserve"> of incidents of violence perpetrated against Aboriginal women across Australia remain undisclosed to authorities.</w:t>
      </w:r>
      <w:r w:rsidR="00550EB5">
        <w:rPr>
          <w:rStyle w:val="FootnoteReference"/>
          <w:lang w:eastAsia="en-AU"/>
        </w:rPr>
        <w:footnoteReference w:id="32"/>
      </w:r>
    </w:p>
    <w:p w14:paraId="5EAEDB4D" w14:textId="08335E2E" w:rsidR="002D5640" w:rsidRPr="002D5640" w:rsidRDefault="00EA023D" w:rsidP="00971795">
      <w:pPr>
        <w:keepNext/>
        <w:rPr>
          <w:b/>
          <w:lang w:eastAsia="en-AU"/>
        </w:rPr>
      </w:pPr>
      <w:r>
        <w:rPr>
          <w:b/>
          <w:lang w:eastAsia="en-AU"/>
        </w:rPr>
        <w:t>R</w:t>
      </w:r>
      <w:r w:rsidR="00FA36C8">
        <w:rPr>
          <w:b/>
          <w:lang w:eastAsia="en-AU"/>
        </w:rPr>
        <w:t>eported sexual offending</w:t>
      </w:r>
    </w:p>
    <w:p w14:paraId="7B8A2FED" w14:textId="7D966825" w:rsidR="00FA36C8" w:rsidRPr="00FA36C8" w:rsidRDefault="00FA36C8" w:rsidP="00FA36C8">
      <w:pPr>
        <w:rPr>
          <w:lang w:eastAsia="en-AU"/>
        </w:rPr>
      </w:pPr>
      <w:r>
        <w:rPr>
          <w:lang w:eastAsia="en-AU"/>
        </w:rPr>
        <w:t>In 2020</w:t>
      </w:r>
      <w:r w:rsidR="00971795">
        <w:rPr>
          <w:lang w:eastAsia="en-AU"/>
        </w:rPr>
        <w:t>,</w:t>
      </w:r>
      <w:r>
        <w:rPr>
          <w:lang w:eastAsia="en-AU"/>
        </w:rPr>
        <w:t xml:space="preserve"> t</w:t>
      </w:r>
      <w:r w:rsidRPr="00FA36C8">
        <w:rPr>
          <w:lang w:eastAsia="en-AU"/>
        </w:rPr>
        <w:t xml:space="preserve">he number of </w:t>
      </w:r>
      <w:r>
        <w:rPr>
          <w:lang w:eastAsia="en-AU"/>
        </w:rPr>
        <w:t xml:space="preserve">reported </w:t>
      </w:r>
      <w:r w:rsidRPr="00FA36C8">
        <w:rPr>
          <w:lang w:eastAsia="en-AU"/>
        </w:rPr>
        <w:t>sexual assault victims</w:t>
      </w:r>
      <w:r>
        <w:rPr>
          <w:lang w:eastAsia="en-AU"/>
        </w:rPr>
        <w:t xml:space="preserve"> in the NT was 370</w:t>
      </w:r>
      <w:r w:rsidRPr="00FA36C8">
        <w:rPr>
          <w:lang w:eastAsia="en-AU"/>
        </w:rPr>
        <w:t>.</w:t>
      </w:r>
      <w:r>
        <w:rPr>
          <w:rStyle w:val="FootnoteReference"/>
          <w:lang w:eastAsia="en-AU"/>
        </w:rPr>
        <w:footnoteReference w:id="33"/>
      </w:r>
    </w:p>
    <w:p w14:paraId="02159549" w14:textId="4350A12D" w:rsidR="00FA36C8" w:rsidRDefault="00FA36C8" w:rsidP="00FA36C8">
      <w:pPr>
        <w:rPr>
          <w:lang w:eastAsia="en-AU"/>
        </w:rPr>
      </w:pPr>
      <w:r>
        <w:rPr>
          <w:lang w:eastAsia="en-AU"/>
        </w:rPr>
        <w:t xml:space="preserve">Most victims of sexual assault </w:t>
      </w:r>
      <w:r w:rsidRPr="00FA36C8">
        <w:rPr>
          <w:rFonts w:eastAsia="Times New Roman"/>
          <w:lang w:eastAsia="en-AU"/>
        </w:rPr>
        <w:t>were female (90</w:t>
      </w:r>
      <w:r w:rsidR="00971795">
        <w:rPr>
          <w:rFonts w:eastAsia="Times New Roman"/>
          <w:lang w:eastAsia="en-AU"/>
        </w:rPr>
        <w:t> per cent</w:t>
      </w:r>
      <w:r w:rsidRPr="00FA36C8">
        <w:rPr>
          <w:rFonts w:eastAsia="Times New Roman"/>
          <w:lang w:eastAsia="en-AU"/>
        </w:rPr>
        <w:t xml:space="preserve"> or 331 victims)</w:t>
      </w:r>
      <w:r>
        <w:rPr>
          <w:lang w:eastAsia="en-AU"/>
        </w:rPr>
        <w:t xml:space="preserve"> and </w:t>
      </w:r>
      <w:r w:rsidRPr="00FA36C8">
        <w:rPr>
          <w:rFonts w:eastAsia="Times New Roman"/>
          <w:lang w:eastAsia="en-AU"/>
        </w:rPr>
        <w:t>knew the offender (55</w:t>
      </w:r>
      <w:r w:rsidR="00971795">
        <w:rPr>
          <w:rFonts w:eastAsia="Times New Roman"/>
          <w:lang w:eastAsia="en-AU"/>
        </w:rPr>
        <w:t> per cent</w:t>
      </w:r>
      <w:r w:rsidRPr="00FA36C8">
        <w:rPr>
          <w:rFonts w:eastAsia="Times New Roman"/>
          <w:lang w:eastAsia="en-AU"/>
        </w:rPr>
        <w:t xml:space="preserve"> or 204 victims)</w:t>
      </w:r>
      <w:r>
        <w:rPr>
          <w:rFonts w:eastAsia="Times New Roman"/>
          <w:lang w:eastAsia="en-AU"/>
        </w:rPr>
        <w:t>.</w:t>
      </w:r>
      <w:r>
        <w:rPr>
          <w:lang w:eastAsia="en-AU"/>
        </w:rPr>
        <w:t xml:space="preserve">  A</w:t>
      </w:r>
      <w:r w:rsidRPr="00FA36C8">
        <w:rPr>
          <w:rFonts w:eastAsia="Times New Roman"/>
          <w:lang w:eastAsia="en-AU"/>
        </w:rPr>
        <w:t>lmost a quarter (24</w:t>
      </w:r>
      <w:r w:rsidR="00971795">
        <w:rPr>
          <w:rFonts w:eastAsia="Times New Roman"/>
          <w:lang w:eastAsia="en-AU"/>
        </w:rPr>
        <w:t> per cent</w:t>
      </w:r>
      <w:r w:rsidRPr="00FA36C8">
        <w:rPr>
          <w:rFonts w:eastAsia="Times New Roman"/>
          <w:lang w:eastAsia="en-AU"/>
        </w:rPr>
        <w:t>) were aged under 15 years at the date of incident (90 victims)</w:t>
      </w:r>
      <w:r>
        <w:rPr>
          <w:rFonts w:eastAsia="Times New Roman"/>
          <w:lang w:eastAsia="en-AU"/>
        </w:rPr>
        <w:t>.</w:t>
      </w:r>
      <w:r>
        <w:rPr>
          <w:lang w:eastAsia="en-AU"/>
        </w:rPr>
        <w:t xml:space="preserve">  </w:t>
      </w:r>
    </w:p>
    <w:p w14:paraId="5CA27344" w14:textId="7596BF45" w:rsidR="00FA36C8" w:rsidRPr="00FA36C8" w:rsidRDefault="00FA36C8" w:rsidP="00FA36C8">
      <w:pPr>
        <w:rPr>
          <w:lang w:eastAsia="en-AU"/>
        </w:rPr>
      </w:pPr>
      <w:r w:rsidRPr="00FA36C8">
        <w:rPr>
          <w:rFonts w:eastAsia="Times New Roman"/>
          <w:lang w:eastAsia="en-AU"/>
        </w:rPr>
        <w:lastRenderedPageBreak/>
        <w:t>Nearly one third (30</w:t>
      </w:r>
      <w:r w:rsidR="004313F9">
        <w:rPr>
          <w:rFonts w:eastAsia="Times New Roman"/>
          <w:lang w:eastAsia="en-AU"/>
        </w:rPr>
        <w:t> per cent</w:t>
      </w:r>
      <w:r w:rsidRPr="00FA36C8">
        <w:rPr>
          <w:rFonts w:eastAsia="Times New Roman"/>
          <w:lang w:eastAsia="en-AU"/>
        </w:rPr>
        <w:t xml:space="preserve">) </w:t>
      </w:r>
      <w:r>
        <w:rPr>
          <w:rFonts w:eastAsia="Times New Roman"/>
          <w:lang w:eastAsia="en-AU"/>
        </w:rPr>
        <w:t xml:space="preserve">of sexual assaults </w:t>
      </w:r>
      <w:r w:rsidRPr="00FA36C8">
        <w:rPr>
          <w:rFonts w:eastAsia="Times New Roman"/>
          <w:lang w:eastAsia="en-AU"/>
        </w:rPr>
        <w:t>were DFV-related (111 victims)</w:t>
      </w:r>
      <w:r>
        <w:rPr>
          <w:rFonts w:eastAsia="Times New Roman"/>
          <w:lang w:eastAsia="en-AU"/>
        </w:rPr>
        <w:t>.</w:t>
      </w:r>
    </w:p>
    <w:p w14:paraId="03B2DE2C" w14:textId="4F83172A" w:rsidR="00EA023D" w:rsidRPr="002D5640" w:rsidRDefault="00591747" w:rsidP="00FA36C8">
      <w:pPr>
        <w:rPr>
          <w:lang w:eastAsia="en-AU"/>
        </w:rPr>
      </w:pPr>
      <w:r>
        <w:rPr>
          <w:lang w:eastAsia="en-AU"/>
        </w:rPr>
        <w:t xml:space="preserve">It is noted </w:t>
      </w:r>
      <w:r w:rsidR="00C15446">
        <w:rPr>
          <w:lang w:eastAsia="en-AU"/>
        </w:rPr>
        <w:t>that sexual offending is significantly under-reported</w:t>
      </w:r>
      <w:r w:rsidR="00FA36C8">
        <w:rPr>
          <w:lang w:eastAsia="en-AU"/>
        </w:rPr>
        <w:t xml:space="preserve"> (especially when committed by a partner or family member)</w:t>
      </w:r>
      <w:r w:rsidR="00C15446">
        <w:rPr>
          <w:lang w:eastAsia="en-AU"/>
        </w:rPr>
        <w:t xml:space="preserve"> and the</w:t>
      </w:r>
      <w:r w:rsidR="00550EB5">
        <w:rPr>
          <w:lang w:eastAsia="en-AU"/>
        </w:rPr>
        <w:t xml:space="preserve"> actual level of offending is expected to </w:t>
      </w:r>
      <w:r w:rsidR="00C15446">
        <w:rPr>
          <w:lang w:eastAsia="en-AU"/>
        </w:rPr>
        <w:t>greatly exceed these figures.</w:t>
      </w:r>
    </w:p>
    <w:p w14:paraId="2832A783" w14:textId="4CFFD91C" w:rsidR="004C37C1" w:rsidRDefault="002D5640" w:rsidP="004313F9">
      <w:pPr>
        <w:keepNext/>
        <w:rPr>
          <w:b/>
        </w:rPr>
      </w:pPr>
      <w:r w:rsidRPr="002D5640">
        <w:rPr>
          <w:b/>
        </w:rPr>
        <w:t>Domestic homicide</w:t>
      </w:r>
    </w:p>
    <w:p w14:paraId="23B2479E" w14:textId="36334DD0" w:rsidR="000E78CF" w:rsidRDefault="00E526AB" w:rsidP="004C37C1">
      <w:pPr>
        <w:rPr>
          <w:lang w:eastAsia="en-AU"/>
        </w:rPr>
      </w:pPr>
      <w:r>
        <w:rPr>
          <w:lang w:eastAsia="en-AU"/>
        </w:rPr>
        <w:t xml:space="preserve">The Territory </w:t>
      </w:r>
      <w:r w:rsidR="003D6505">
        <w:rPr>
          <w:lang w:eastAsia="en-AU"/>
        </w:rPr>
        <w:t>Coroner has identified that from August 2000 throu</w:t>
      </w:r>
      <w:r w:rsidR="004313F9">
        <w:rPr>
          <w:lang w:eastAsia="en-AU"/>
        </w:rPr>
        <w:t>gh to August 2019 there were 65 </w:t>
      </w:r>
      <w:r w:rsidR="003D6505">
        <w:rPr>
          <w:lang w:eastAsia="en-AU"/>
        </w:rPr>
        <w:t xml:space="preserve">Aboriginal women </w:t>
      </w:r>
      <w:r w:rsidR="00315BF1">
        <w:rPr>
          <w:lang w:eastAsia="en-AU"/>
        </w:rPr>
        <w:t xml:space="preserve">in the NT </w:t>
      </w:r>
      <w:r w:rsidR="003D6505">
        <w:rPr>
          <w:lang w:eastAsia="en-AU"/>
        </w:rPr>
        <w:t xml:space="preserve">killed by a current or former partner. </w:t>
      </w:r>
    </w:p>
    <w:p w14:paraId="6521B10B" w14:textId="03D7D746" w:rsidR="00D76759" w:rsidRDefault="00A61849" w:rsidP="00D10049">
      <w:pPr>
        <w:rPr>
          <w:b/>
        </w:rPr>
      </w:pPr>
      <w:r>
        <w:rPr>
          <w:lang w:eastAsia="en-AU"/>
        </w:rPr>
        <w:t>In the period 2000-2020</w:t>
      </w:r>
      <w:r w:rsidR="004313F9">
        <w:rPr>
          <w:lang w:eastAsia="en-AU"/>
        </w:rPr>
        <w:t>,</w:t>
      </w:r>
      <w:r>
        <w:rPr>
          <w:lang w:eastAsia="en-AU"/>
        </w:rPr>
        <w:t xml:space="preserve"> there were 160 DFV-related homicides in the NT (101 homicides by former or current partners and 59 homicides by other family members).</w:t>
      </w:r>
      <w:r>
        <w:rPr>
          <w:rStyle w:val="FootnoteReference"/>
          <w:lang w:eastAsia="en-AU"/>
        </w:rPr>
        <w:footnoteReference w:id="34"/>
      </w:r>
    </w:p>
    <w:p w14:paraId="15DC0751" w14:textId="049BB955" w:rsidR="004C37C1" w:rsidRPr="004C37C1" w:rsidRDefault="004C37C1" w:rsidP="00D10049">
      <w:pPr>
        <w:rPr>
          <w:b/>
        </w:rPr>
      </w:pPr>
      <w:r w:rsidRPr="004C37C1">
        <w:rPr>
          <w:b/>
        </w:rPr>
        <w:t xml:space="preserve">Disproportionate impact </w:t>
      </w:r>
      <w:r w:rsidR="00B81772">
        <w:rPr>
          <w:b/>
        </w:rPr>
        <w:t>of violent crime</w:t>
      </w:r>
    </w:p>
    <w:p w14:paraId="5F78F79B" w14:textId="152071FC" w:rsidR="00B81772" w:rsidRDefault="00EF0E0D" w:rsidP="002241F8">
      <w:pPr>
        <w:rPr>
          <w:lang w:eastAsia="en-AU"/>
        </w:rPr>
      </w:pPr>
      <w:r>
        <w:rPr>
          <w:lang w:eastAsia="en-AU"/>
        </w:rPr>
        <w:t xml:space="preserve">The chart below shows </w:t>
      </w:r>
      <w:r w:rsidR="002241F8" w:rsidRPr="00627D34">
        <w:rPr>
          <w:lang w:eastAsia="en-AU"/>
        </w:rPr>
        <w:t xml:space="preserve">data on </w:t>
      </w:r>
      <w:r w:rsidR="002871F1">
        <w:rPr>
          <w:lang w:eastAsia="en-AU"/>
        </w:rPr>
        <w:t xml:space="preserve">all </w:t>
      </w:r>
      <w:r w:rsidR="002241F8" w:rsidRPr="00627D34">
        <w:rPr>
          <w:lang w:eastAsia="en-AU"/>
        </w:rPr>
        <w:t xml:space="preserve">assault victims in the NT.  </w:t>
      </w:r>
      <w:r w:rsidR="00B81772">
        <w:rPr>
          <w:lang w:eastAsia="en-AU"/>
        </w:rPr>
        <w:t>T</w:t>
      </w:r>
      <w:r w:rsidR="00B81772" w:rsidRPr="0081347E">
        <w:rPr>
          <w:lang w:eastAsia="en-AU"/>
        </w:rPr>
        <w:t>he group of people most affected by violent crime in the NT is Aboriginal women.</w:t>
      </w:r>
      <w:r w:rsidR="00B81772">
        <w:rPr>
          <w:lang w:eastAsia="en-AU"/>
        </w:rPr>
        <w:t xml:space="preserve"> </w:t>
      </w:r>
    </w:p>
    <w:p w14:paraId="30C8B7AF" w14:textId="72451664" w:rsidR="002241F8" w:rsidRPr="00627D34" w:rsidRDefault="002241F8" w:rsidP="00A60F47">
      <w:pPr>
        <w:spacing w:after="120"/>
        <w:rPr>
          <w:lang w:eastAsia="en-AU"/>
        </w:rPr>
      </w:pPr>
      <w:r w:rsidRPr="00627D34">
        <w:rPr>
          <w:lang w:eastAsia="en-AU"/>
        </w:rPr>
        <w:t>Aboriginal women living in the NT are:</w:t>
      </w:r>
    </w:p>
    <w:p w14:paraId="1F3B9216" w14:textId="387858BC" w:rsidR="002241F8" w:rsidRPr="00627D34" w:rsidRDefault="004313F9" w:rsidP="0067521E">
      <w:pPr>
        <w:pStyle w:val="ListParagraph"/>
        <w:numPr>
          <w:ilvl w:val="0"/>
          <w:numId w:val="25"/>
        </w:numPr>
        <w:ind w:left="993" w:hanging="426"/>
        <w:rPr>
          <w:lang w:eastAsia="en-AU"/>
        </w:rPr>
      </w:pPr>
      <w:r w:rsidRPr="00627D34">
        <w:rPr>
          <w:lang w:eastAsia="en-AU"/>
        </w:rPr>
        <w:t xml:space="preserve">over </w:t>
      </w:r>
      <w:r>
        <w:rPr>
          <w:lang w:eastAsia="en-AU"/>
        </w:rPr>
        <w:t>eight</w:t>
      </w:r>
      <w:r w:rsidR="002241F8" w:rsidRPr="00627D34">
        <w:rPr>
          <w:lang w:eastAsia="en-AU"/>
        </w:rPr>
        <w:t xml:space="preserve"> times more likely to be assaulted t</w:t>
      </w:r>
      <w:r>
        <w:rPr>
          <w:lang w:eastAsia="en-AU"/>
        </w:rPr>
        <w:t>han non-Indigenous women or men; and</w:t>
      </w:r>
    </w:p>
    <w:p w14:paraId="4B6023D8" w14:textId="0A9CC29E" w:rsidR="002241F8" w:rsidRPr="00627D34" w:rsidRDefault="004313F9" w:rsidP="0067521E">
      <w:pPr>
        <w:pStyle w:val="ListParagraph"/>
        <w:numPr>
          <w:ilvl w:val="0"/>
          <w:numId w:val="25"/>
        </w:numPr>
        <w:ind w:left="993" w:hanging="426"/>
        <w:rPr>
          <w:lang w:eastAsia="en-AU"/>
        </w:rPr>
      </w:pPr>
      <w:r w:rsidRPr="00627D34">
        <w:rPr>
          <w:lang w:eastAsia="en-AU"/>
        </w:rPr>
        <w:t xml:space="preserve">over </w:t>
      </w:r>
      <w:r>
        <w:rPr>
          <w:lang w:eastAsia="en-AU"/>
        </w:rPr>
        <w:t>three</w:t>
      </w:r>
      <w:r w:rsidR="002241F8" w:rsidRPr="00627D34">
        <w:rPr>
          <w:lang w:eastAsia="en-AU"/>
        </w:rPr>
        <w:t xml:space="preserve"> times more likely to be assaulted than Aboriginal men.</w:t>
      </w:r>
      <w:r w:rsidR="00F4291A">
        <w:rPr>
          <w:rStyle w:val="FootnoteReference"/>
          <w:lang w:eastAsia="en-AU"/>
        </w:rPr>
        <w:footnoteReference w:id="35"/>
      </w:r>
    </w:p>
    <w:p w14:paraId="15B3738E" w14:textId="5A8A0DA8" w:rsidR="00355DC0" w:rsidRDefault="002241F8">
      <w:pPr>
        <w:rPr>
          <w:lang w:eastAsia="en-AU"/>
        </w:rPr>
      </w:pPr>
      <w:r>
        <w:rPr>
          <w:noProof/>
          <w:lang w:eastAsia="en-AU"/>
        </w:rPr>
        <w:drawing>
          <wp:inline distT="0" distB="0" distL="0" distR="0" wp14:anchorId="6EC80674" wp14:editId="32515229">
            <wp:extent cx="4095750" cy="24574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33938F" w14:textId="3CCF44FC" w:rsidR="00B81772" w:rsidRDefault="00B81772" w:rsidP="00DE03E5">
      <w:pPr>
        <w:rPr>
          <w:lang w:eastAsia="en-AU"/>
        </w:rPr>
      </w:pPr>
      <w:r>
        <w:rPr>
          <w:lang w:eastAsia="en-AU"/>
        </w:rPr>
        <w:t>The data only includes assaults reported to police so it is likely to under-estimate the actual level of offending.</w:t>
      </w:r>
    </w:p>
    <w:p w14:paraId="5A924F7C" w14:textId="1164C057" w:rsidR="004C37C1" w:rsidRPr="00E40F38" w:rsidRDefault="00E40F38" w:rsidP="004313F9">
      <w:pPr>
        <w:keepNext/>
        <w:rPr>
          <w:b/>
          <w:lang w:eastAsia="en-AU"/>
        </w:rPr>
      </w:pPr>
      <w:r w:rsidRPr="00E40F38">
        <w:rPr>
          <w:b/>
          <w:lang w:eastAsia="en-AU"/>
        </w:rPr>
        <w:t>The response of justice agencies</w:t>
      </w:r>
    </w:p>
    <w:p w14:paraId="2064D82B" w14:textId="4F9D249C" w:rsidR="00DE03E5" w:rsidRPr="000306E9" w:rsidRDefault="002871F1" w:rsidP="00DE03E5">
      <w:pPr>
        <w:rPr>
          <w:lang w:eastAsia="en-AU"/>
        </w:rPr>
      </w:pPr>
      <w:r>
        <w:rPr>
          <w:lang w:eastAsia="en-AU"/>
        </w:rPr>
        <w:t xml:space="preserve">Responding to </w:t>
      </w:r>
      <w:r w:rsidR="002241F8">
        <w:rPr>
          <w:lang w:eastAsia="en-AU"/>
        </w:rPr>
        <w:t xml:space="preserve">DFV </w:t>
      </w:r>
      <w:r w:rsidR="00DE03E5" w:rsidRPr="000306E9">
        <w:rPr>
          <w:lang w:eastAsia="en-AU"/>
        </w:rPr>
        <w:t xml:space="preserve">requires a sizeable proportion of </w:t>
      </w:r>
      <w:r w:rsidR="00B02E6A">
        <w:rPr>
          <w:lang w:eastAsia="en-AU"/>
        </w:rPr>
        <w:t xml:space="preserve">the NT’s </w:t>
      </w:r>
      <w:r w:rsidR="00DE03E5" w:rsidRPr="000306E9">
        <w:rPr>
          <w:lang w:eastAsia="en-AU"/>
        </w:rPr>
        <w:t xml:space="preserve">police, court and corrections resources.  </w:t>
      </w:r>
    </w:p>
    <w:p w14:paraId="57C5AB55" w14:textId="1D4D12D9" w:rsidR="00782848" w:rsidRPr="00355DC0" w:rsidRDefault="002241F8" w:rsidP="004313F9">
      <w:pPr>
        <w:keepNext/>
        <w:spacing w:after="120"/>
        <w:ind w:left="1418" w:hanging="1418"/>
        <w:rPr>
          <w:b/>
          <w:bCs/>
        </w:rPr>
      </w:pPr>
      <w:r w:rsidRPr="00782848">
        <w:rPr>
          <w:b/>
          <w:bCs/>
        </w:rPr>
        <w:lastRenderedPageBreak/>
        <w:t>Policing</w:t>
      </w:r>
    </w:p>
    <w:p w14:paraId="554AC12E" w14:textId="4EB2B5F9" w:rsidR="00782848" w:rsidRDefault="00550EB5" w:rsidP="0067521E">
      <w:pPr>
        <w:pStyle w:val="ListParagraph"/>
        <w:numPr>
          <w:ilvl w:val="0"/>
          <w:numId w:val="79"/>
        </w:numPr>
        <w:ind w:left="993" w:hanging="426"/>
      </w:pPr>
      <w:r>
        <w:t>63</w:t>
      </w:r>
      <w:r w:rsidR="00EF0E0D">
        <w:t xml:space="preserve"> per cent of all assaults in the NT are DFV</w:t>
      </w:r>
      <w:r w:rsidR="00B02E6A">
        <w:t>-related</w:t>
      </w:r>
      <w:r w:rsidR="00EF0E0D">
        <w:t>.</w:t>
      </w:r>
      <w:r>
        <w:rPr>
          <w:rStyle w:val="FootnoteReference"/>
        </w:rPr>
        <w:footnoteReference w:id="36"/>
      </w:r>
    </w:p>
    <w:p w14:paraId="2FE1F1BB" w14:textId="43B42CBF" w:rsidR="00782848" w:rsidRDefault="00782848" w:rsidP="0067521E">
      <w:pPr>
        <w:pStyle w:val="ListParagraph"/>
        <w:numPr>
          <w:ilvl w:val="0"/>
          <w:numId w:val="79"/>
        </w:numPr>
        <w:ind w:left="993" w:hanging="426"/>
      </w:pPr>
      <w:r w:rsidRPr="00024F70">
        <w:rPr>
          <w:lang w:eastAsia="en-AU"/>
        </w:rPr>
        <w:t xml:space="preserve">For the year ending August 2021 there were </w:t>
      </w:r>
      <w:r>
        <w:rPr>
          <w:lang w:eastAsia="en-AU"/>
        </w:rPr>
        <w:t>5,</w:t>
      </w:r>
      <w:r w:rsidRPr="00024F70">
        <w:rPr>
          <w:lang w:eastAsia="en-AU"/>
        </w:rPr>
        <w:t>638 recorded DFV-related assaults – on average 108 per week</w:t>
      </w:r>
      <w:r w:rsidR="001C7E79">
        <w:rPr>
          <w:lang w:eastAsia="en-AU"/>
        </w:rPr>
        <w:t>.</w:t>
      </w:r>
      <w:r w:rsidRPr="00024F70">
        <w:rPr>
          <w:lang w:eastAsia="en-AU"/>
        </w:rPr>
        <w:t xml:space="preserve"> </w:t>
      </w:r>
    </w:p>
    <w:p w14:paraId="0A035B9E" w14:textId="6A9DE73F" w:rsidR="00782848" w:rsidRDefault="00782848" w:rsidP="0067521E">
      <w:pPr>
        <w:pStyle w:val="ListParagraph"/>
        <w:numPr>
          <w:ilvl w:val="0"/>
          <w:numId w:val="79"/>
        </w:numPr>
        <w:spacing w:after="200"/>
        <w:ind w:left="992" w:hanging="425"/>
        <w:rPr>
          <w:lang w:eastAsia="en-AU"/>
        </w:rPr>
      </w:pPr>
      <w:r>
        <w:rPr>
          <w:lang w:eastAsia="en-AU"/>
        </w:rPr>
        <w:t>3,</w:t>
      </w:r>
      <w:r w:rsidRPr="00024F70">
        <w:rPr>
          <w:lang w:eastAsia="en-AU"/>
        </w:rPr>
        <w:t>138 or around 5</w:t>
      </w:r>
      <w:r>
        <w:rPr>
          <w:lang w:eastAsia="en-AU"/>
        </w:rPr>
        <w:t>6</w:t>
      </w:r>
      <w:r w:rsidR="004313F9">
        <w:rPr>
          <w:lang w:eastAsia="en-AU"/>
        </w:rPr>
        <w:t xml:space="preserve"> per cent</w:t>
      </w:r>
      <w:r w:rsidRPr="00024F70">
        <w:rPr>
          <w:lang w:eastAsia="en-AU"/>
        </w:rPr>
        <w:t xml:space="preserve"> of the</w:t>
      </w:r>
      <w:r w:rsidR="0005542B">
        <w:rPr>
          <w:lang w:eastAsia="en-AU"/>
        </w:rPr>
        <w:t xml:space="preserve"> DFV-related</w:t>
      </w:r>
      <w:r w:rsidRPr="00024F70">
        <w:rPr>
          <w:lang w:eastAsia="en-AU"/>
        </w:rPr>
        <w:t xml:space="preserve"> assaults involved alcohol.</w:t>
      </w:r>
    </w:p>
    <w:p w14:paraId="1A906960" w14:textId="56547D18" w:rsidR="00782848" w:rsidRPr="00355DC0" w:rsidRDefault="002241F8" w:rsidP="004313F9">
      <w:pPr>
        <w:spacing w:after="120"/>
        <w:ind w:left="1420" w:hanging="1420"/>
        <w:rPr>
          <w:b/>
          <w:bCs/>
        </w:rPr>
      </w:pPr>
      <w:r w:rsidRPr="00782848">
        <w:rPr>
          <w:b/>
          <w:bCs/>
        </w:rPr>
        <w:t>Courts</w:t>
      </w:r>
      <w:r w:rsidR="00D47CF2">
        <w:rPr>
          <w:rStyle w:val="FootnoteReference"/>
          <w:b/>
          <w:bCs/>
        </w:rPr>
        <w:footnoteReference w:id="37"/>
      </w:r>
    </w:p>
    <w:p w14:paraId="42A642A4" w14:textId="425633AF" w:rsidR="0005542B" w:rsidRDefault="0005542B" w:rsidP="0067521E">
      <w:pPr>
        <w:pStyle w:val="ListParagraph"/>
        <w:numPr>
          <w:ilvl w:val="0"/>
          <w:numId w:val="79"/>
        </w:numPr>
        <w:ind w:left="993" w:hanging="426"/>
        <w:rPr>
          <w:lang w:eastAsia="en-AU"/>
        </w:rPr>
      </w:pPr>
      <w:r>
        <w:rPr>
          <w:lang w:eastAsia="en-AU"/>
        </w:rPr>
        <w:t>DFV matters represented 35</w:t>
      </w:r>
      <w:r w:rsidR="004313F9">
        <w:rPr>
          <w:lang w:eastAsia="en-AU"/>
        </w:rPr>
        <w:t xml:space="preserve"> per cent</w:t>
      </w:r>
      <w:r>
        <w:rPr>
          <w:lang w:eastAsia="en-AU"/>
        </w:rPr>
        <w:t xml:space="preserve"> of the total criminal matters finalised in NT </w:t>
      </w:r>
      <w:r w:rsidR="004313F9">
        <w:rPr>
          <w:lang w:eastAsia="en-AU"/>
        </w:rPr>
        <w:t xml:space="preserve">courts </w:t>
      </w:r>
      <w:r>
        <w:rPr>
          <w:lang w:eastAsia="en-AU"/>
        </w:rPr>
        <w:t>in 2020/21.</w:t>
      </w:r>
    </w:p>
    <w:p w14:paraId="31274D09" w14:textId="4DE66E83" w:rsidR="00D47CF2" w:rsidRDefault="00574ABC" w:rsidP="0067521E">
      <w:pPr>
        <w:pStyle w:val="ListParagraph"/>
        <w:numPr>
          <w:ilvl w:val="0"/>
          <w:numId w:val="79"/>
        </w:numPr>
        <w:ind w:left="993" w:hanging="426"/>
      </w:pPr>
      <w:r w:rsidRPr="00627D34">
        <w:t>In 2020/21</w:t>
      </w:r>
      <w:r w:rsidR="004313F9">
        <w:t>,</w:t>
      </w:r>
      <w:r w:rsidRPr="00627D34">
        <w:t xml:space="preserve"> there were 3606 DFV-related criminal matters finalised in NT </w:t>
      </w:r>
      <w:r w:rsidR="004313F9" w:rsidRPr="00627D34">
        <w:t>courts</w:t>
      </w:r>
      <w:r w:rsidR="004313F9">
        <w:t xml:space="preserve"> </w:t>
      </w:r>
      <w:r w:rsidR="002B2B84" w:rsidRPr="007F42D8">
        <w:t xml:space="preserve">– </w:t>
      </w:r>
      <w:r w:rsidRPr="007F42D8">
        <w:t>on average 69 a week.</w:t>
      </w:r>
      <w:r w:rsidR="00D47CF2">
        <w:t xml:space="preserve"> </w:t>
      </w:r>
    </w:p>
    <w:p w14:paraId="3E86CB8A" w14:textId="5D756E7F" w:rsidR="00672C22" w:rsidRDefault="00574ABC" w:rsidP="0067521E">
      <w:pPr>
        <w:pStyle w:val="ListParagraph"/>
        <w:numPr>
          <w:ilvl w:val="1"/>
          <w:numId w:val="79"/>
        </w:numPr>
        <w:ind w:hanging="447"/>
        <w:rPr>
          <w:lang w:eastAsia="en-AU"/>
        </w:rPr>
      </w:pPr>
      <w:r w:rsidRPr="00627D34">
        <w:t>81</w:t>
      </w:r>
      <w:r w:rsidR="004313F9">
        <w:t xml:space="preserve"> per cent</w:t>
      </w:r>
      <w:r w:rsidRPr="00627D34">
        <w:t xml:space="preserve"> resol</w:t>
      </w:r>
      <w:r w:rsidR="004313F9">
        <w:t>ved with a plea of guilty and 5 per cent</w:t>
      </w:r>
      <w:r w:rsidRPr="00627D34">
        <w:t xml:space="preserve"> were proven </w:t>
      </w:r>
      <w:r w:rsidR="004313F9">
        <w:t>guilt, 3 per cent</w:t>
      </w:r>
      <w:r w:rsidR="002B63CF">
        <w:t xml:space="preserve"> were acquitted and 8</w:t>
      </w:r>
      <w:r w:rsidR="004313F9">
        <w:t xml:space="preserve"> per cent</w:t>
      </w:r>
      <w:r w:rsidRPr="00627D34">
        <w:t xml:space="preserve"> withdrawn by the prosecution, with the remaining matters transferred to other </w:t>
      </w:r>
      <w:r w:rsidR="004313F9" w:rsidRPr="00627D34">
        <w:t>courts</w:t>
      </w:r>
      <w:r w:rsidRPr="00627D34">
        <w:t>.</w:t>
      </w:r>
    </w:p>
    <w:p w14:paraId="178336BD" w14:textId="14425B55" w:rsidR="00574ABC" w:rsidRPr="00627D34" w:rsidRDefault="00574ABC" w:rsidP="0067521E">
      <w:pPr>
        <w:pStyle w:val="ListParagraph"/>
        <w:numPr>
          <w:ilvl w:val="0"/>
          <w:numId w:val="79"/>
        </w:numPr>
        <w:ind w:left="993" w:hanging="426"/>
        <w:rPr>
          <w:lang w:eastAsia="en-AU"/>
        </w:rPr>
      </w:pPr>
      <w:r w:rsidRPr="00627D34">
        <w:rPr>
          <w:lang w:eastAsia="en-AU"/>
        </w:rPr>
        <w:t>In 2020/21</w:t>
      </w:r>
      <w:r w:rsidR="004313F9">
        <w:rPr>
          <w:lang w:eastAsia="en-AU"/>
        </w:rPr>
        <w:t>,</w:t>
      </w:r>
      <w:r w:rsidRPr="00627D34">
        <w:rPr>
          <w:lang w:eastAsia="en-AU"/>
        </w:rPr>
        <w:t xml:space="preserve"> there were 4280 </w:t>
      </w:r>
      <w:r w:rsidR="0005542B">
        <w:rPr>
          <w:lang w:eastAsia="en-AU"/>
        </w:rPr>
        <w:t xml:space="preserve">civil </w:t>
      </w:r>
      <w:r w:rsidRPr="00627D34">
        <w:rPr>
          <w:lang w:eastAsia="en-AU"/>
        </w:rPr>
        <w:t>applications for a</w:t>
      </w:r>
      <w:r>
        <w:rPr>
          <w:lang w:eastAsia="en-AU"/>
        </w:rPr>
        <w:t xml:space="preserve"> Domestic Violence Order (DVO)</w:t>
      </w:r>
      <w:r w:rsidR="007F42D8">
        <w:rPr>
          <w:lang w:eastAsia="en-AU"/>
        </w:rPr>
        <w:t xml:space="preserve"> – </w:t>
      </w:r>
      <w:r w:rsidRPr="00627D34">
        <w:rPr>
          <w:lang w:eastAsia="en-AU"/>
        </w:rPr>
        <w:t xml:space="preserve">on average 82 applications per week.  </w:t>
      </w:r>
    </w:p>
    <w:p w14:paraId="1FD7A437" w14:textId="7F1FD38C" w:rsidR="00574ABC" w:rsidRPr="00627D34" w:rsidRDefault="00574ABC" w:rsidP="0067521E">
      <w:pPr>
        <w:pStyle w:val="ListParagraph"/>
        <w:numPr>
          <w:ilvl w:val="1"/>
          <w:numId w:val="79"/>
        </w:numPr>
        <w:ind w:hanging="447"/>
        <w:rPr>
          <w:lang w:eastAsia="en-AU"/>
        </w:rPr>
      </w:pPr>
      <w:r w:rsidRPr="00627D34">
        <w:rPr>
          <w:lang w:eastAsia="en-AU"/>
        </w:rPr>
        <w:t>87</w:t>
      </w:r>
      <w:r w:rsidR="004313F9">
        <w:rPr>
          <w:lang w:eastAsia="en-AU"/>
        </w:rPr>
        <w:t xml:space="preserve"> per cent</w:t>
      </w:r>
      <w:r w:rsidRPr="00627D34">
        <w:rPr>
          <w:lang w:eastAsia="en-AU"/>
        </w:rPr>
        <w:t xml:space="preserve"> were police </w:t>
      </w:r>
      <w:r w:rsidR="001C7E79">
        <w:rPr>
          <w:lang w:eastAsia="en-AU"/>
        </w:rPr>
        <w:t>applications/orders</w:t>
      </w:r>
      <w:r w:rsidRPr="00627D34">
        <w:rPr>
          <w:lang w:eastAsia="en-AU"/>
        </w:rPr>
        <w:t xml:space="preserve"> and 13</w:t>
      </w:r>
      <w:r w:rsidR="004313F9">
        <w:rPr>
          <w:lang w:eastAsia="en-AU"/>
        </w:rPr>
        <w:t xml:space="preserve"> per cent</w:t>
      </w:r>
      <w:r w:rsidRPr="00627D34">
        <w:rPr>
          <w:lang w:eastAsia="en-AU"/>
        </w:rPr>
        <w:t xml:space="preserve"> were private applications.</w:t>
      </w:r>
    </w:p>
    <w:p w14:paraId="12A3CC69" w14:textId="172BCB27" w:rsidR="00672C22" w:rsidRPr="00672C22" w:rsidRDefault="00574ABC" w:rsidP="0067521E">
      <w:pPr>
        <w:pStyle w:val="ListParagraph"/>
        <w:numPr>
          <w:ilvl w:val="1"/>
          <w:numId w:val="79"/>
        </w:numPr>
        <w:spacing w:after="200"/>
        <w:ind w:hanging="448"/>
        <w:rPr>
          <w:sz w:val="24"/>
          <w:szCs w:val="24"/>
          <w:lang w:eastAsia="en-AU"/>
        </w:rPr>
      </w:pPr>
      <w:r w:rsidRPr="00627D34">
        <w:rPr>
          <w:lang w:eastAsia="en-AU"/>
        </w:rPr>
        <w:t>77</w:t>
      </w:r>
      <w:r w:rsidR="004313F9">
        <w:rPr>
          <w:lang w:eastAsia="en-AU"/>
        </w:rPr>
        <w:t xml:space="preserve"> per cent</w:t>
      </w:r>
      <w:r w:rsidRPr="00627D34">
        <w:rPr>
          <w:lang w:eastAsia="en-AU"/>
        </w:rPr>
        <w:t xml:space="preserve"> of applications resulted in a final DVO being issued, 13</w:t>
      </w:r>
      <w:r w:rsidR="004313F9">
        <w:rPr>
          <w:lang w:eastAsia="en-AU"/>
        </w:rPr>
        <w:t xml:space="preserve"> per cent</w:t>
      </w:r>
      <w:r w:rsidRPr="00627D34">
        <w:rPr>
          <w:lang w:eastAsia="en-AU"/>
        </w:rPr>
        <w:t xml:space="preserve"> resulted in an Interim DVO, 5</w:t>
      </w:r>
      <w:r w:rsidR="004313F9">
        <w:rPr>
          <w:lang w:eastAsia="en-AU"/>
        </w:rPr>
        <w:t xml:space="preserve"> per cent</w:t>
      </w:r>
      <w:r w:rsidRPr="00627D34">
        <w:rPr>
          <w:lang w:eastAsia="en-AU"/>
        </w:rPr>
        <w:t xml:space="preserve"> of applications were dismissed, 1.5</w:t>
      </w:r>
      <w:r w:rsidR="004313F9">
        <w:rPr>
          <w:lang w:eastAsia="en-AU"/>
        </w:rPr>
        <w:t xml:space="preserve"> per cent</w:t>
      </w:r>
      <w:r w:rsidRPr="00627D34">
        <w:rPr>
          <w:lang w:eastAsia="en-AU"/>
        </w:rPr>
        <w:t xml:space="preserve"> withdrawn and the remaining were pending.</w:t>
      </w:r>
      <w:r w:rsidR="00EF0E0D">
        <w:t xml:space="preserve"> </w:t>
      </w:r>
    </w:p>
    <w:p w14:paraId="5DC4187C" w14:textId="77777777" w:rsidR="001C7E79" w:rsidRPr="00355DC0" w:rsidRDefault="002241F8" w:rsidP="004313F9">
      <w:pPr>
        <w:keepNext/>
        <w:spacing w:after="120"/>
        <w:ind w:left="1418" w:hanging="1418"/>
        <w:rPr>
          <w:b/>
          <w:bCs/>
        </w:rPr>
      </w:pPr>
      <w:r w:rsidRPr="001C7E79">
        <w:rPr>
          <w:b/>
          <w:bCs/>
        </w:rPr>
        <w:t>Correction</w:t>
      </w:r>
      <w:r w:rsidR="001C7E79" w:rsidRPr="001C7E79">
        <w:rPr>
          <w:b/>
          <w:bCs/>
        </w:rPr>
        <w:t>s</w:t>
      </w:r>
    </w:p>
    <w:p w14:paraId="19642AF9" w14:textId="5596AABE" w:rsidR="0017479D" w:rsidRDefault="00EF0E0D" w:rsidP="0067521E">
      <w:pPr>
        <w:pStyle w:val="ListParagraph"/>
        <w:numPr>
          <w:ilvl w:val="0"/>
          <w:numId w:val="130"/>
        </w:numPr>
        <w:ind w:left="993" w:hanging="426"/>
      </w:pPr>
      <w:r>
        <w:t xml:space="preserve">The prison census shows that 63 per cent of NT prisoners were held for DFV related </w:t>
      </w:r>
      <w:r w:rsidR="000D2E62">
        <w:t xml:space="preserve">offences (on 30 June 2021). </w:t>
      </w:r>
      <w:r w:rsidR="0017479D">
        <w:rPr>
          <w:rStyle w:val="FootnoteReference"/>
        </w:rPr>
        <w:footnoteReference w:id="38"/>
      </w:r>
    </w:p>
    <w:p w14:paraId="53F353D1" w14:textId="6AD4C16B" w:rsidR="00D02A68" w:rsidRDefault="0017479D" w:rsidP="0067521E">
      <w:pPr>
        <w:pStyle w:val="ListParagraph"/>
        <w:numPr>
          <w:ilvl w:val="0"/>
          <w:numId w:val="80"/>
        </w:numPr>
        <w:ind w:left="993" w:hanging="426"/>
      </w:pPr>
      <w:r>
        <w:t>Of the 1139 prisoners held for DFV</w:t>
      </w:r>
      <w:r w:rsidR="0005542B">
        <w:t xml:space="preserve"> on census night</w:t>
      </w:r>
      <w:r>
        <w:t>:</w:t>
      </w:r>
    </w:p>
    <w:p w14:paraId="37535D04" w14:textId="669F4B97" w:rsidR="0017479D" w:rsidRDefault="0017479D" w:rsidP="0067521E">
      <w:pPr>
        <w:pStyle w:val="ListParagraph"/>
        <w:numPr>
          <w:ilvl w:val="1"/>
          <w:numId w:val="80"/>
        </w:numPr>
      </w:pPr>
      <w:r>
        <w:t>74 were female (6.5</w:t>
      </w:r>
      <w:r w:rsidR="004313F9">
        <w:t xml:space="preserve"> per cent</w:t>
      </w:r>
      <w:r>
        <w:t xml:space="preserve">), and of those 72 were Aboriginal women. </w:t>
      </w:r>
    </w:p>
    <w:p w14:paraId="5A52AF70" w14:textId="7E5FA0D9" w:rsidR="0017479D" w:rsidRDefault="0017479D" w:rsidP="0067521E">
      <w:pPr>
        <w:pStyle w:val="ListParagraph"/>
        <w:numPr>
          <w:ilvl w:val="1"/>
          <w:numId w:val="80"/>
        </w:numPr>
        <w:spacing w:after="200"/>
        <w:ind w:left="1434" w:hanging="357"/>
      </w:pPr>
      <w:r>
        <w:t>1065 were male (93.5</w:t>
      </w:r>
      <w:r w:rsidR="004313F9">
        <w:t xml:space="preserve"> per cent</w:t>
      </w:r>
      <w:r>
        <w:t xml:space="preserve">), and of those 1004 were Aboriginal </w:t>
      </w:r>
      <w:r w:rsidR="0005542B">
        <w:t>men</w:t>
      </w:r>
      <w:r>
        <w:t>.</w:t>
      </w:r>
    </w:p>
    <w:p w14:paraId="79D71E59" w14:textId="77777777" w:rsidR="00355DC0" w:rsidRPr="00355DC0" w:rsidRDefault="00355DC0" w:rsidP="004313F9">
      <w:pPr>
        <w:keepNext/>
        <w:spacing w:after="120"/>
        <w:rPr>
          <w:b/>
          <w:bCs/>
        </w:rPr>
      </w:pPr>
      <w:r w:rsidRPr="00355DC0">
        <w:rPr>
          <w:b/>
          <w:bCs/>
        </w:rPr>
        <w:t>Reoffending</w:t>
      </w:r>
    </w:p>
    <w:p w14:paraId="447C8F58" w14:textId="55D24F6F" w:rsidR="00BA4642" w:rsidRDefault="00BA4642" w:rsidP="004313F9">
      <w:pPr>
        <w:spacing w:after="120"/>
        <w:rPr>
          <w:lang w:eastAsia="en-AU"/>
        </w:rPr>
      </w:pPr>
      <w:r>
        <w:rPr>
          <w:lang w:eastAsia="en-AU"/>
        </w:rPr>
        <w:t>DFV has a particularly high rat</w:t>
      </w:r>
      <w:r w:rsidR="001B0056">
        <w:rPr>
          <w:lang w:eastAsia="en-AU"/>
        </w:rPr>
        <w:t>e of reoffending</w:t>
      </w:r>
      <w:r w:rsidR="00262F27">
        <w:rPr>
          <w:lang w:eastAsia="en-AU"/>
        </w:rPr>
        <w:t xml:space="preserve"> – 77</w:t>
      </w:r>
      <w:r w:rsidR="004313F9">
        <w:rPr>
          <w:lang w:eastAsia="en-AU"/>
        </w:rPr>
        <w:t xml:space="preserve"> per cent</w:t>
      </w:r>
      <w:r w:rsidR="00355DC0">
        <w:rPr>
          <w:lang w:eastAsia="en-AU"/>
        </w:rPr>
        <w:t xml:space="preserve"> of defendants found guilty of a DFV-related offence hav</w:t>
      </w:r>
      <w:r w:rsidR="001E5BC6">
        <w:rPr>
          <w:lang w:eastAsia="en-AU"/>
        </w:rPr>
        <w:t>e a prior violent offence and 72</w:t>
      </w:r>
      <w:r w:rsidR="00355DC0">
        <w:rPr>
          <w:lang w:eastAsia="en-AU"/>
        </w:rPr>
        <w:t xml:space="preserve"> </w:t>
      </w:r>
      <w:r w:rsidR="004313F9">
        <w:rPr>
          <w:lang w:eastAsia="en-AU"/>
        </w:rPr>
        <w:t>per cent</w:t>
      </w:r>
      <w:r w:rsidR="00355DC0">
        <w:rPr>
          <w:lang w:eastAsia="en-AU"/>
        </w:rPr>
        <w:t xml:space="preserve"> have a prior DFV offence.</w:t>
      </w:r>
      <w:r w:rsidR="00355DC0">
        <w:rPr>
          <w:rStyle w:val="FootnoteReference"/>
          <w:lang w:eastAsia="en-AU"/>
        </w:rPr>
        <w:footnoteReference w:id="39"/>
      </w:r>
      <w:r w:rsidR="00CB150B">
        <w:rPr>
          <w:lang w:eastAsia="en-AU"/>
        </w:rPr>
        <w:t xml:space="preserve">  </w:t>
      </w:r>
    </w:p>
    <w:p w14:paraId="37C48841" w14:textId="5D652882" w:rsidR="00E43583" w:rsidRPr="004839B3" w:rsidRDefault="00E43583" w:rsidP="00502E40">
      <w:pPr>
        <w:rPr>
          <w:highlight w:val="yellow"/>
          <w:lang w:eastAsia="en-AU"/>
        </w:rPr>
      </w:pPr>
      <w:r>
        <w:rPr>
          <w:highlight w:val="yellow"/>
          <w:lang w:eastAsia="en-AU"/>
        </w:rPr>
        <w:br w:type="page"/>
      </w:r>
    </w:p>
    <w:p w14:paraId="09ABE54E" w14:textId="77777777" w:rsidR="0029519A" w:rsidRDefault="00945C78" w:rsidP="004313F9">
      <w:pPr>
        <w:pStyle w:val="Heading2"/>
        <w:keepNext/>
        <w:ind w:left="1134" w:hanging="578"/>
        <w:rPr>
          <w:lang w:eastAsia="en-AU"/>
        </w:rPr>
      </w:pPr>
      <w:bookmarkStart w:id="11" w:name="_Toc112051801"/>
      <w:r>
        <w:rPr>
          <w:lang w:eastAsia="en-AU"/>
        </w:rPr>
        <w:lastRenderedPageBreak/>
        <w:t>L</w:t>
      </w:r>
      <w:r w:rsidR="00E43583">
        <w:rPr>
          <w:lang w:eastAsia="en-AU"/>
        </w:rPr>
        <w:t>ived experience</w:t>
      </w:r>
      <w:bookmarkEnd w:id="11"/>
    </w:p>
    <w:p w14:paraId="2288A3F3" w14:textId="39AEE68F" w:rsidR="008278E4" w:rsidRPr="000448DD" w:rsidRDefault="00A83E9C" w:rsidP="004313F9">
      <w:pPr>
        <w:pStyle w:val="Yourssincerely"/>
        <w:spacing w:before="0" w:after="200" w:line="276" w:lineRule="auto"/>
      </w:pPr>
      <w:r>
        <w:t>The l</w:t>
      </w:r>
      <w:r w:rsidR="008278E4">
        <w:t xml:space="preserve">ived experience </w:t>
      </w:r>
      <w:r>
        <w:t xml:space="preserve">of DFV victim-survivors </w:t>
      </w:r>
      <w:r w:rsidR="008278E4">
        <w:t>has been taken into account in this review, through</w:t>
      </w:r>
      <w:r w:rsidR="008278E4" w:rsidRPr="000448DD">
        <w:t xml:space="preserve"> the DFV Journey Mapping Project, </w:t>
      </w:r>
      <w:r w:rsidR="008278E4">
        <w:t xml:space="preserve">conducted by Alex Richmond then from </w:t>
      </w:r>
      <w:r w:rsidR="008278E4" w:rsidRPr="000448DD">
        <w:t>Dawn House</w:t>
      </w:r>
      <w:r w:rsidR="00EA1696">
        <w:t xml:space="preserve"> for the Domestic Violence</w:t>
      </w:r>
      <w:r w:rsidR="008278E4">
        <w:t xml:space="preserve"> Justice Reform Network.</w:t>
      </w:r>
      <w:r w:rsidR="008278E4">
        <w:rPr>
          <w:rStyle w:val="FootnoteReference"/>
        </w:rPr>
        <w:footnoteReference w:id="40"/>
      </w:r>
      <w:r w:rsidR="008278E4">
        <w:t xml:space="preserve">  </w:t>
      </w:r>
    </w:p>
    <w:p w14:paraId="63AE8219" w14:textId="18A39E3D" w:rsidR="008278E4" w:rsidRPr="000448DD" w:rsidRDefault="008278E4" w:rsidP="004313F9">
      <w:pPr>
        <w:pStyle w:val="Yourssincerely"/>
        <w:spacing w:before="0" w:after="200" w:line="276" w:lineRule="auto"/>
      </w:pPr>
      <w:r w:rsidRPr="000448DD">
        <w:t xml:space="preserve">In depth </w:t>
      </w:r>
      <w:r w:rsidR="0062085E">
        <w:t>interviews were</w:t>
      </w:r>
      <w:r w:rsidRPr="000448DD">
        <w:t xml:space="preserve"> conducted in 2018 with 45 people with direct experience of the N</w:t>
      </w:r>
      <w:r w:rsidR="00EA1696">
        <w:t>T justice system (mostly victim-</w:t>
      </w:r>
      <w:r w:rsidRPr="000448DD">
        <w:t xml:space="preserve">survivors and some professionals).  </w:t>
      </w:r>
      <w:r w:rsidR="0062085E">
        <w:t>The intervi</w:t>
      </w:r>
      <w:r w:rsidR="004313F9">
        <w:t>ews included Aboriginal and non</w:t>
      </w:r>
      <w:r w:rsidR="004313F9">
        <w:noBreakHyphen/>
      </w:r>
      <w:r w:rsidR="0062085E">
        <w:t xml:space="preserve">Aboriginal victim-survivors. </w:t>
      </w:r>
      <w:r>
        <w:t>Subsequently a</w:t>
      </w:r>
      <w:r w:rsidRPr="000448DD">
        <w:t xml:space="preserve"> workshop wa</w:t>
      </w:r>
      <w:r w:rsidR="004313F9">
        <w:t>s held in November 2018 with 23 </w:t>
      </w:r>
      <w:r w:rsidRPr="000448DD">
        <w:t xml:space="preserve">leaders in the justice system to consider </w:t>
      </w:r>
      <w:r>
        <w:t xml:space="preserve">the </w:t>
      </w:r>
      <w:r w:rsidR="00EA1696">
        <w:t>victim-</w:t>
      </w:r>
      <w:r w:rsidRPr="000448DD">
        <w:t xml:space="preserve">survivors’ perspectives and to discuss ways to improve the </w:t>
      </w:r>
      <w:r>
        <w:t>justice response to DFV.</w:t>
      </w:r>
      <w:r w:rsidR="00D5126B">
        <w:t xml:space="preserve"> </w:t>
      </w:r>
    </w:p>
    <w:p w14:paraId="02A24CEC" w14:textId="7DC95A26" w:rsidR="008278E4" w:rsidRPr="000448DD" w:rsidRDefault="008278E4" w:rsidP="00810BA6">
      <w:pPr>
        <w:pStyle w:val="Yourssincerely"/>
        <w:keepNext/>
        <w:spacing w:before="0" w:after="120" w:line="276" w:lineRule="auto"/>
      </w:pPr>
      <w:r w:rsidRPr="000448DD">
        <w:t>The report released in February 2019 identified that the just</w:t>
      </w:r>
      <w:r w:rsidR="00A83E9C">
        <w:t>ice system is a ‘system’</w:t>
      </w:r>
      <w:r w:rsidRPr="000448DD">
        <w:t>:</w:t>
      </w:r>
    </w:p>
    <w:p w14:paraId="276DAE90" w14:textId="163B8579" w:rsidR="008278E4" w:rsidRPr="000448DD" w:rsidRDefault="00810BA6" w:rsidP="0067521E">
      <w:pPr>
        <w:pStyle w:val="Yourssincerely"/>
        <w:numPr>
          <w:ilvl w:val="0"/>
          <w:numId w:val="23"/>
        </w:numPr>
        <w:spacing w:before="0" w:after="120" w:line="276" w:lineRule="auto"/>
        <w:ind w:left="993" w:hanging="426"/>
      </w:pPr>
      <w:r>
        <w:t xml:space="preserve">that </w:t>
      </w:r>
      <w:r w:rsidR="00A83E9C">
        <w:t>is d</w:t>
      </w:r>
      <w:r w:rsidR="008278E4" w:rsidRPr="000448DD">
        <w:t>isjointed an</w:t>
      </w:r>
      <w:r w:rsidR="00EA1696">
        <w:t>d disconnected (some people believed</w:t>
      </w:r>
      <w:r w:rsidR="008278E4" w:rsidRPr="000448DD">
        <w:t xml:space="preserve"> it could hardly be called a system at all)</w:t>
      </w:r>
      <w:r>
        <w:t>;</w:t>
      </w:r>
    </w:p>
    <w:p w14:paraId="35CE7FF7" w14:textId="10BF604D" w:rsidR="008278E4" w:rsidRPr="000448DD" w:rsidRDefault="00810BA6" w:rsidP="0067521E">
      <w:pPr>
        <w:pStyle w:val="Yourssincerely"/>
        <w:numPr>
          <w:ilvl w:val="0"/>
          <w:numId w:val="23"/>
        </w:numPr>
        <w:spacing w:before="0" w:after="120" w:line="276" w:lineRule="auto"/>
        <w:ind w:left="993" w:hanging="426"/>
      </w:pPr>
      <w:r w:rsidRPr="000448DD">
        <w:t xml:space="preserve">where </w:t>
      </w:r>
      <w:r w:rsidR="00535982">
        <w:t>victim-survivor</w:t>
      </w:r>
      <w:r w:rsidR="008278E4" w:rsidRPr="000448DD">
        <w:t>s have inadequate support</w:t>
      </w:r>
      <w:r>
        <w:t>;</w:t>
      </w:r>
    </w:p>
    <w:p w14:paraId="4E0FF34F" w14:textId="5E89524B" w:rsidR="008278E4" w:rsidRPr="000448DD" w:rsidRDefault="00810BA6" w:rsidP="0067521E">
      <w:pPr>
        <w:pStyle w:val="Yourssincerely"/>
        <w:numPr>
          <w:ilvl w:val="0"/>
          <w:numId w:val="23"/>
        </w:numPr>
        <w:spacing w:before="0" w:after="120" w:line="276" w:lineRule="auto"/>
        <w:ind w:left="993" w:hanging="426"/>
      </w:pPr>
      <w:r w:rsidRPr="000448DD">
        <w:t xml:space="preserve">that </w:t>
      </w:r>
      <w:r w:rsidR="008278E4" w:rsidRPr="000448DD">
        <w:t>is overloaded</w:t>
      </w:r>
      <w:r>
        <w:t>;</w:t>
      </w:r>
    </w:p>
    <w:p w14:paraId="54F5E99A" w14:textId="79221528" w:rsidR="008278E4" w:rsidRPr="000448DD" w:rsidRDefault="00810BA6" w:rsidP="0067521E">
      <w:pPr>
        <w:pStyle w:val="Yourssincerely"/>
        <w:numPr>
          <w:ilvl w:val="0"/>
          <w:numId w:val="23"/>
        </w:numPr>
        <w:spacing w:before="0" w:after="120" w:line="276" w:lineRule="auto"/>
        <w:ind w:left="993" w:hanging="426"/>
      </w:pPr>
      <w:r w:rsidRPr="000448DD">
        <w:t xml:space="preserve">where </w:t>
      </w:r>
      <w:r w:rsidR="008278E4" w:rsidRPr="000448DD">
        <w:t>long timeframes affect outcomes</w:t>
      </w:r>
      <w:r>
        <w:t>;</w:t>
      </w:r>
    </w:p>
    <w:p w14:paraId="790F92DB" w14:textId="155441E1" w:rsidR="008278E4" w:rsidRPr="000448DD" w:rsidRDefault="00810BA6" w:rsidP="0067521E">
      <w:pPr>
        <w:pStyle w:val="Yourssincerely"/>
        <w:numPr>
          <w:ilvl w:val="0"/>
          <w:numId w:val="23"/>
        </w:numPr>
        <w:spacing w:before="0" w:after="120" w:line="276" w:lineRule="auto"/>
        <w:ind w:left="993" w:hanging="426"/>
      </w:pPr>
      <w:r w:rsidRPr="000448DD">
        <w:t xml:space="preserve">where </w:t>
      </w:r>
      <w:r w:rsidR="008278E4" w:rsidRPr="000448DD">
        <w:t>there is not a focus on victim safety</w:t>
      </w:r>
      <w:r>
        <w:t>;</w:t>
      </w:r>
    </w:p>
    <w:p w14:paraId="6581DA8F" w14:textId="250DEBFE" w:rsidR="008278E4" w:rsidRDefault="00810BA6" w:rsidP="0067521E">
      <w:pPr>
        <w:pStyle w:val="Yourssincerely"/>
        <w:numPr>
          <w:ilvl w:val="0"/>
          <w:numId w:val="23"/>
        </w:numPr>
        <w:spacing w:before="0" w:after="200" w:line="276" w:lineRule="auto"/>
        <w:ind w:left="993" w:hanging="426"/>
      </w:pPr>
      <w:r w:rsidRPr="000448DD">
        <w:t xml:space="preserve">that </w:t>
      </w:r>
      <w:r w:rsidR="008278E4" w:rsidRPr="000448DD">
        <w:t>is not breaking the cycles of abuse which is critical for making individuals and communities safer.</w:t>
      </w:r>
    </w:p>
    <w:p w14:paraId="49225199" w14:textId="31AE5CEF" w:rsidR="008278E4" w:rsidRDefault="008278E4" w:rsidP="00810BA6">
      <w:pPr>
        <w:pStyle w:val="Yourssincerely"/>
        <w:keepNext/>
        <w:spacing w:before="0" w:after="120" w:line="276" w:lineRule="auto"/>
      </w:pPr>
      <w:r>
        <w:t xml:space="preserve">The vision put forward </w:t>
      </w:r>
      <w:r w:rsidR="00D12F2C">
        <w:t xml:space="preserve">in the report </w:t>
      </w:r>
      <w:r>
        <w:t>was to create a justice system:</w:t>
      </w:r>
    </w:p>
    <w:p w14:paraId="44A1450E" w14:textId="662CDB21" w:rsidR="008278E4" w:rsidRDefault="00810BA6" w:rsidP="0067521E">
      <w:pPr>
        <w:pStyle w:val="Yourssincerely"/>
        <w:numPr>
          <w:ilvl w:val="0"/>
          <w:numId w:val="47"/>
        </w:numPr>
        <w:spacing w:before="0" w:after="120" w:line="276" w:lineRule="auto"/>
        <w:ind w:left="993" w:hanging="426"/>
      </w:pPr>
      <w:r>
        <w:t xml:space="preserve">that </w:t>
      </w:r>
      <w:r w:rsidR="008278E4">
        <w:t>prioritises the safety of vic</w:t>
      </w:r>
      <w:r w:rsidR="00A83E9C">
        <w:t>tim-survivors, including</w:t>
      </w:r>
      <w:r>
        <w:t xml:space="preserve"> children;</w:t>
      </w:r>
    </w:p>
    <w:p w14:paraId="79E30831" w14:textId="57575994" w:rsidR="008278E4" w:rsidRDefault="00810BA6" w:rsidP="0067521E">
      <w:pPr>
        <w:pStyle w:val="Yourssincerely"/>
        <w:numPr>
          <w:ilvl w:val="0"/>
          <w:numId w:val="47"/>
        </w:numPr>
        <w:spacing w:before="0" w:after="120" w:line="276" w:lineRule="auto"/>
        <w:ind w:left="993" w:hanging="426"/>
      </w:pPr>
      <w:r>
        <w:t xml:space="preserve">that </w:t>
      </w:r>
      <w:r w:rsidR="008278E4">
        <w:t>provides respect, information and support for victim-survivors from very early in the process to ensure that they fully understand what is occurring a</w:t>
      </w:r>
      <w:r>
        <w:t>nd how to exercise their rights;</w:t>
      </w:r>
    </w:p>
    <w:p w14:paraId="15BE4567" w14:textId="48F51D90" w:rsidR="008278E4" w:rsidRDefault="00810BA6" w:rsidP="0067521E">
      <w:pPr>
        <w:pStyle w:val="Yourssincerely"/>
        <w:numPr>
          <w:ilvl w:val="0"/>
          <w:numId w:val="47"/>
        </w:numPr>
        <w:spacing w:before="0" w:after="120" w:line="276" w:lineRule="auto"/>
        <w:ind w:left="993" w:hanging="426"/>
      </w:pPr>
      <w:r>
        <w:t xml:space="preserve">that </w:t>
      </w:r>
      <w:r w:rsidR="00D12F2C">
        <w:t xml:space="preserve">is </w:t>
      </w:r>
      <w:r w:rsidR="008278E4">
        <w:t>understandable from the perspectives of victim-surviv</w:t>
      </w:r>
      <w:r w:rsidR="00A83E9C">
        <w:t>ors and defendants who are involved in</w:t>
      </w:r>
      <w:r>
        <w:t xml:space="preserve"> the system;</w:t>
      </w:r>
    </w:p>
    <w:p w14:paraId="3F792ECD" w14:textId="661E10AF" w:rsidR="008278E4" w:rsidRDefault="00810BA6" w:rsidP="0067521E">
      <w:pPr>
        <w:pStyle w:val="Yourssincerely"/>
        <w:numPr>
          <w:ilvl w:val="0"/>
          <w:numId w:val="47"/>
        </w:numPr>
        <w:spacing w:before="0" w:after="120" w:line="276" w:lineRule="auto"/>
        <w:ind w:left="993" w:hanging="426"/>
      </w:pPr>
      <w:r>
        <w:t xml:space="preserve">that </w:t>
      </w:r>
      <w:r w:rsidR="00D12F2C">
        <w:t>e</w:t>
      </w:r>
      <w:r w:rsidR="008278E4">
        <w:t>nsure</w:t>
      </w:r>
      <w:r w:rsidR="00D12F2C">
        <w:t>s</w:t>
      </w:r>
      <w:r w:rsidR="008278E4">
        <w:t xml:space="preserve"> that court and police provide a </w:t>
      </w:r>
      <w:r>
        <w:t>safe place to come and be heard;</w:t>
      </w:r>
    </w:p>
    <w:p w14:paraId="270532A9" w14:textId="5794328E" w:rsidR="008278E4" w:rsidRDefault="00810BA6" w:rsidP="0067521E">
      <w:pPr>
        <w:pStyle w:val="Yourssincerely"/>
        <w:numPr>
          <w:ilvl w:val="0"/>
          <w:numId w:val="47"/>
        </w:numPr>
        <w:spacing w:before="0" w:after="120" w:line="276" w:lineRule="auto"/>
        <w:ind w:left="993" w:hanging="426"/>
      </w:pPr>
      <w:r>
        <w:t xml:space="preserve">in </w:t>
      </w:r>
      <w:r w:rsidR="008278E4">
        <w:t>which people who use violence are held to account and have opportunities to change their behavi</w:t>
      </w:r>
      <w:r>
        <w:t>our;</w:t>
      </w:r>
    </w:p>
    <w:p w14:paraId="0D753C1D" w14:textId="04019C84" w:rsidR="008278E4" w:rsidRDefault="00810BA6" w:rsidP="0067521E">
      <w:pPr>
        <w:pStyle w:val="Yourssincerely"/>
        <w:numPr>
          <w:ilvl w:val="0"/>
          <w:numId w:val="47"/>
        </w:numPr>
        <w:spacing w:before="0" w:after="120" w:line="276" w:lineRule="auto"/>
        <w:ind w:left="993" w:hanging="426"/>
      </w:pPr>
      <w:r>
        <w:t xml:space="preserve">in </w:t>
      </w:r>
      <w:r w:rsidR="008278E4">
        <w:t>which there is a clear foc</w:t>
      </w:r>
      <w:r>
        <w:t>us on reducing repeat offending;</w:t>
      </w:r>
    </w:p>
    <w:p w14:paraId="658FD948" w14:textId="59349AE0" w:rsidR="008278E4" w:rsidRDefault="00810BA6" w:rsidP="0067521E">
      <w:pPr>
        <w:pStyle w:val="Yourssincerely"/>
        <w:numPr>
          <w:ilvl w:val="0"/>
          <w:numId w:val="47"/>
        </w:numPr>
        <w:spacing w:before="0" w:after="120" w:line="276" w:lineRule="auto"/>
        <w:ind w:left="993" w:hanging="426"/>
      </w:pPr>
      <w:r>
        <w:t xml:space="preserve">where </w:t>
      </w:r>
      <w:r w:rsidR="008278E4">
        <w:t>the whole system works in an integrated and co-ordinated way and send out clear messages that</w:t>
      </w:r>
      <w:r>
        <w:t xml:space="preserve"> violence will not be tolerated;</w:t>
      </w:r>
    </w:p>
    <w:p w14:paraId="5A8F9A90" w14:textId="486D46BE" w:rsidR="008278E4" w:rsidRDefault="00810BA6" w:rsidP="0067521E">
      <w:pPr>
        <w:pStyle w:val="Yourssincerely"/>
        <w:numPr>
          <w:ilvl w:val="0"/>
          <w:numId w:val="47"/>
        </w:numPr>
        <w:spacing w:before="0" w:after="120" w:line="276" w:lineRule="auto"/>
        <w:ind w:left="993" w:hanging="426"/>
      </w:pPr>
      <w:r>
        <w:t xml:space="preserve">that </w:t>
      </w:r>
      <w:r w:rsidR="008278E4">
        <w:t>is underpinne</w:t>
      </w:r>
      <w:r>
        <w:t>d by strong community education;</w:t>
      </w:r>
    </w:p>
    <w:p w14:paraId="54905691" w14:textId="77777777" w:rsidR="00810BA6" w:rsidRDefault="00810BA6" w:rsidP="0067521E">
      <w:pPr>
        <w:pStyle w:val="Yourssincerely"/>
        <w:numPr>
          <w:ilvl w:val="0"/>
          <w:numId w:val="47"/>
        </w:numPr>
        <w:spacing w:before="0" w:after="120" w:line="276" w:lineRule="auto"/>
        <w:ind w:left="993" w:hanging="426"/>
      </w:pPr>
      <w:r>
        <w:t xml:space="preserve">that </w:t>
      </w:r>
      <w:r w:rsidR="008278E4">
        <w:t>provides proper evidence-based and continuing</w:t>
      </w:r>
      <w:r>
        <w:t xml:space="preserve"> training for all professionals; </w:t>
      </w:r>
    </w:p>
    <w:p w14:paraId="19491F1C" w14:textId="07A4B3BF" w:rsidR="008278E4" w:rsidRDefault="00810BA6" w:rsidP="0067521E">
      <w:pPr>
        <w:pStyle w:val="Yourssincerely"/>
        <w:numPr>
          <w:ilvl w:val="0"/>
          <w:numId w:val="47"/>
        </w:numPr>
        <w:spacing w:before="0" w:after="120" w:line="276" w:lineRule="auto"/>
        <w:ind w:left="993" w:hanging="426"/>
      </w:pPr>
      <w:r>
        <w:lastRenderedPageBreak/>
        <w:t>that is trauma informed;</w:t>
      </w:r>
    </w:p>
    <w:p w14:paraId="253B2B6C" w14:textId="31498323" w:rsidR="008278E4" w:rsidRDefault="00810BA6" w:rsidP="0067521E">
      <w:pPr>
        <w:pStyle w:val="Yourssincerely"/>
        <w:numPr>
          <w:ilvl w:val="0"/>
          <w:numId w:val="47"/>
        </w:numPr>
        <w:spacing w:before="0" w:after="120" w:line="276" w:lineRule="auto"/>
        <w:ind w:left="993" w:hanging="426"/>
      </w:pPr>
      <w:r>
        <w:t xml:space="preserve">in </w:t>
      </w:r>
      <w:r w:rsidR="008278E4">
        <w:t>which technology and audio-visual links are u</w:t>
      </w:r>
      <w:r w:rsidR="00A83E9C">
        <w:t>sed to keep victim-survivors, including</w:t>
      </w:r>
      <w:r w:rsidR="008278E4">
        <w:t xml:space="preserve"> children</w:t>
      </w:r>
      <w:r w:rsidR="00A83E9C">
        <w:t>,</w:t>
      </w:r>
      <w:r>
        <w:t xml:space="preserve"> safer; and</w:t>
      </w:r>
    </w:p>
    <w:p w14:paraId="69FD9530" w14:textId="0C6D21E3" w:rsidR="008278E4" w:rsidRDefault="00810BA6" w:rsidP="0067521E">
      <w:pPr>
        <w:pStyle w:val="Yourssincerely"/>
        <w:numPr>
          <w:ilvl w:val="0"/>
          <w:numId w:val="47"/>
        </w:numPr>
        <w:spacing w:before="0" w:after="200" w:line="276" w:lineRule="auto"/>
        <w:ind w:left="993" w:hanging="426"/>
      </w:pPr>
      <w:r>
        <w:t xml:space="preserve">in </w:t>
      </w:r>
      <w:r w:rsidR="008278E4">
        <w:t>which men and women of all ages and cultures across the Territory, and all professional groups have a strong and shared commitment to ending violence.</w:t>
      </w:r>
    </w:p>
    <w:p w14:paraId="353C5294" w14:textId="77777777" w:rsidR="000D2E62" w:rsidRDefault="008278E4" w:rsidP="00810BA6">
      <w:pPr>
        <w:pStyle w:val="Yourssincerely"/>
        <w:spacing w:before="0" w:after="200" w:line="276" w:lineRule="auto"/>
      </w:pPr>
      <w:r>
        <w:t xml:space="preserve">Some specific suggestions </w:t>
      </w:r>
      <w:r w:rsidR="00166C6D">
        <w:t>identified</w:t>
      </w:r>
      <w:r>
        <w:t xml:space="preserve"> in the workshop have been </w:t>
      </w:r>
      <w:r w:rsidR="00EA1696">
        <w:t>taken into account prior to this r</w:t>
      </w:r>
      <w:r>
        <w:t>eview</w:t>
      </w:r>
      <w:r w:rsidR="00D12F2C">
        <w:t>.  For example, in 2020, the NT Government</w:t>
      </w:r>
      <w:r>
        <w:t xml:space="preserve"> introduced a new offence of non-lethal choking, suffocation and strangulation in a domestic relationship with a maximum penalty of five years.</w:t>
      </w:r>
      <w:r>
        <w:rPr>
          <w:rStyle w:val="FootnoteReference"/>
        </w:rPr>
        <w:footnoteReference w:id="41"/>
      </w:r>
      <w:r>
        <w:t xml:space="preserve">  </w:t>
      </w:r>
      <w:r w:rsidR="0089783A">
        <w:t>There has also been legislative reform to provide for court-ordered attendance at DFV behaviour change programs as part of a DVO.</w:t>
      </w:r>
      <w:r w:rsidR="0089783A">
        <w:rPr>
          <w:rStyle w:val="FootnoteReference"/>
        </w:rPr>
        <w:footnoteReference w:id="42"/>
      </w:r>
      <w:r w:rsidR="0089783A">
        <w:t xml:space="preserve">  This is currently being trialled in Alice Springs as part of a Specialist Approach to DFV at the Local Court in Alice Springs. </w:t>
      </w:r>
    </w:p>
    <w:p w14:paraId="0AF04E59" w14:textId="6861737C" w:rsidR="008278E4" w:rsidRDefault="008278E4" w:rsidP="00810BA6">
      <w:pPr>
        <w:pStyle w:val="Yourssincerely"/>
        <w:spacing w:before="0" w:after="200" w:line="276" w:lineRule="auto"/>
      </w:pPr>
      <w:r>
        <w:t>Other</w:t>
      </w:r>
      <w:r w:rsidR="000D2E62">
        <w:t xml:space="preserve"> suggestions</w:t>
      </w:r>
      <w:r>
        <w:t xml:space="preserve"> are being co</w:t>
      </w:r>
      <w:r w:rsidR="00EA1696">
        <w:t>nsidered as part of this review.</w:t>
      </w:r>
    </w:p>
    <w:p w14:paraId="6C01E3A5" w14:textId="6993476F" w:rsidR="005820DE" w:rsidRDefault="005820DE" w:rsidP="00810BA6">
      <w:pPr>
        <w:pStyle w:val="Yourssincerely"/>
        <w:spacing w:before="0" w:after="200" w:line="276" w:lineRule="auto"/>
      </w:pPr>
      <w:r>
        <w:t>The findings of the DFV victim journey mappin</w:t>
      </w:r>
      <w:r w:rsidR="000D2E62">
        <w:t xml:space="preserve">g report are confirmed by </w:t>
      </w:r>
      <w:r>
        <w:t>studies conducted</w:t>
      </w:r>
      <w:r w:rsidR="000E6204">
        <w:t xml:space="preserve"> in other states and territories.</w:t>
      </w:r>
    </w:p>
    <w:p w14:paraId="04962A3A" w14:textId="682486F7" w:rsidR="008278E4" w:rsidRDefault="008278E4" w:rsidP="00810BA6">
      <w:pPr>
        <w:pStyle w:val="Yourssincerely"/>
        <w:spacing w:before="0" w:after="200" w:line="276" w:lineRule="auto"/>
      </w:pPr>
      <w:r>
        <w:t>Research by Professor Heather Douglas on women’s experiences of the ju</w:t>
      </w:r>
      <w:r w:rsidR="00D12F2C">
        <w:t>stice system has also informed this</w:t>
      </w:r>
      <w:r>
        <w:t xml:space="preserve"> review. </w:t>
      </w:r>
      <w:r>
        <w:rPr>
          <w:rStyle w:val="FootnoteReference"/>
        </w:rPr>
        <w:footnoteReference w:id="43"/>
      </w:r>
      <w:r>
        <w:t xml:space="preserve"> </w:t>
      </w:r>
      <w:r w:rsidR="00810BA6">
        <w:t xml:space="preserve"> </w:t>
      </w:r>
      <w:r>
        <w:t xml:space="preserve">Although Professor Douglas’s interviews with victim-survivors were conducted between 2014 and 2017 in Queensland, the learnings from </w:t>
      </w:r>
      <w:r w:rsidR="007B0C93">
        <w:t>her</w:t>
      </w:r>
      <w:r>
        <w:t xml:space="preserve"> r</w:t>
      </w:r>
      <w:r w:rsidR="00EA1696">
        <w:t xml:space="preserve">esearch are </w:t>
      </w:r>
      <w:r>
        <w:t>relevant for Territorian women in 2022</w:t>
      </w:r>
      <w:r w:rsidR="00EA1696">
        <w:t xml:space="preserve"> and are consistent with the DFV Victim Journey Mapping Report</w:t>
      </w:r>
      <w:r>
        <w:t>.</w:t>
      </w:r>
    </w:p>
    <w:p w14:paraId="22FE9CED" w14:textId="6AEDA944" w:rsidR="00300D98" w:rsidRDefault="003842D1" w:rsidP="00810BA6">
      <w:pPr>
        <w:pStyle w:val="Yourssincerely"/>
        <w:spacing w:before="0" w:after="200" w:line="276" w:lineRule="auto"/>
      </w:pPr>
      <w:r>
        <w:t>Research led by Professor Marcia Langton</w:t>
      </w:r>
      <w:r w:rsidR="00AC69CA">
        <w:t xml:space="preserve"> with others for</w:t>
      </w:r>
      <w:r>
        <w:t xml:space="preserve"> ANROWS investigated the experience of Aboriginal </w:t>
      </w:r>
      <w:r w:rsidR="001871B0">
        <w:t xml:space="preserve">women </w:t>
      </w:r>
      <w:r>
        <w:t xml:space="preserve">victim-survivors </w:t>
      </w:r>
      <w:r w:rsidR="00AC69CA">
        <w:t>of DFV</w:t>
      </w:r>
      <w:r>
        <w:t xml:space="preserve"> in regional and cross-border areas</w:t>
      </w:r>
      <w:r w:rsidR="00AC69CA">
        <w:t xml:space="preserve"> of Victoria and NSW</w:t>
      </w:r>
      <w:r w:rsidR="000D2E62">
        <w:t xml:space="preserve"> (specifically Al</w:t>
      </w:r>
      <w:r>
        <w:t>b</w:t>
      </w:r>
      <w:r w:rsidR="00567703">
        <w:t>ur</w:t>
      </w:r>
      <w:r>
        <w:t xml:space="preserve">y-Wodonga and Mildura). </w:t>
      </w:r>
      <w:r w:rsidR="005820DE">
        <w:rPr>
          <w:rStyle w:val="FootnoteReference"/>
        </w:rPr>
        <w:footnoteReference w:id="44"/>
      </w:r>
      <w:r w:rsidR="00AC69CA">
        <w:t xml:space="preserve"> </w:t>
      </w:r>
      <w:r w:rsidR="00810BA6">
        <w:t xml:space="preserve"> </w:t>
      </w:r>
      <w:r w:rsidR="00AC69CA">
        <w:t xml:space="preserve">The report found </w:t>
      </w:r>
      <w:r w:rsidR="001871B0">
        <w:t xml:space="preserve">many </w:t>
      </w:r>
      <w:r w:rsidR="00B86EE9">
        <w:t>systems</w:t>
      </w:r>
      <w:r w:rsidR="001871B0">
        <w:t xml:space="preserve"> barriers to women reporting or seeking help for DFV, including fear of having their children removed, homeless</w:t>
      </w:r>
      <w:r w:rsidR="000D2E62">
        <w:t>ness</w:t>
      </w:r>
      <w:r w:rsidR="001871B0">
        <w:t xml:space="preserve"> and financial insecurity, and fear of isolation from family and community. </w:t>
      </w:r>
      <w:r w:rsidR="00810BA6">
        <w:t xml:space="preserve"> </w:t>
      </w:r>
      <w:r w:rsidR="001871B0">
        <w:t xml:space="preserve">The report found </w:t>
      </w:r>
      <w:r w:rsidR="000D2E62">
        <w:t xml:space="preserve">that </w:t>
      </w:r>
      <w:r w:rsidR="001871B0">
        <w:t>for Aboriginal woman reporting DFV can be especially problematic because</w:t>
      </w:r>
      <w:r w:rsidR="008E08FB">
        <w:t xml:space="preserve"> they may be ostracised and persecuted by other members of the Aboriginal community for reporting</w:t>
      </w:r>
      <w:r w:rsidR="00300D98">
        <w:t>, including from their own</w:t>
      </w:r>
      <w:r w:rsidR="000D2E62">
        <w:t>,</w:t>
      </w:r>
      <w:r w:rsidR="00300D98">
        <w:t xml:space="preserve"> or the perpetrator’s</w:t>
      </w:r>
      <w:r w:rsidR="000D2E62">
        <w:t>,</w:t>
      </w:r>
      <w:r w:rsidR="00300D98">
        <w:t xml:space="preserve"> family</w:t>
      </w:r>
      <w:r w:rsidR="000D2E62">
        <w:t>.  In addition:</w:t>
      </w:r>
      <w:r w:rsidR="008E08FB">
        <w:t xml:space="preserve"> </w:t>
      </w:r>
    </w:p>
    <w:p w14:paraId="59FAE578" w14:textId="06913FDE" w:rsidR="008E08FB" w:rsidRPr="00300D98" w:rsidRDefault="00300D98" w:rsidP="00810BA6">
      <w:pPr>
        <w:pStyle w:val="Yourssincerely"/>
        <w:spacing w:before="0" w:after="200" w:line="276" w:lineRule="auto"/>
        <w:ind w:left="567"/>
        <w:rPr>
          <w:sz w:val="20"/>
        </w:rPr>
      </w:pPr>
      <w:r>
        <w:rPr>
          <w:sz w:val="20"/>
        </w:rPr>
        <w:t>“</w:t>
      </w:r>
      <w:r w:rsidRPr="00300D98">
        <w:rPr>
          <w:sz w:val="20"/>
        </w:rPr>
        <w:t>Participants also explained that turning to the police – who are perceived as a source of harm for Aboriginal and Torres Strait Islander people, especially in relation to the incarceration of men at extreme rates – can feel problematic.</w:t>
      </w:r>
      <w:r>
        <w:rPr>
          <w:sz w:val="20"/>
        </w:rPr>
        <w:t>”</w:t>
      </w:r>
      <w:r w:rsidRPr="00300D98">
        <w:rPr>
          <w:sz w:val="20"/>
        </w:rPr>
        <w:t xml:space="preserve"> </w:t>
      </w:r>
      <w:r w:rsidR="00F2525B">
        <w:rPr>
          <w:rStyle w:val="FootnoteReference"/>
          <w:sz w:val="20"/>
        </w:rPr>
        <w:footnoteReference w:id="45"/>
      </w:r>
      <w:r w:rsidRPr="00300D98">
        <w:rPr>
          <w:sz w:val="20"/>
        </w:rPr>
        <w:t xml:space="preserve"> </w:t>
      </w:r>
    </w:p>
    <w:p w14:paraId="430F6044" w14:textId="2518C868" w:rsidR="001871B0" w:rsidRDefault="001871B0" w:rsidP="00810BA6">
      <w:pPr>
        <w:pStyle w:val="Yourssincerely"/>
        <w:spacing w:before="0" w:after="200" w:line="276" w:lineRule="auto"/>
      </w:pPr>
      <w:r>
        <w:lastRenderedPageBreak/>
        <w:t>A</w:t>
      </w:r>
      <w:r w:rsidR="00300D98">
        <w:t xml:space="preserve">mongst the solutions </w:t>
      </w:r>
      <w:r w:rsidR="00F2525B">
        <w:t xml:space="preserve">proposed in the report </w:t>
      </w:r>
      <w:r w:rsidR="00300D98">
        <w:t xml:space="preserve">are </w:t>
      </w:r>
      <w:r w:rsidR="004244EF">
        <w:t xml:space="preserve">access to </w:t>
      </w:r>
      <w:r w:rsidR="00F2525B">
        <w:t xml:space="preserve">culturally safe and </w:t>
      </w:r>
      <w:r w:rsidR="004244EF">
        <w:t xml:space="preserve">culturally </w:t>
      </w:r>
      <w:r w:rsidR="00F2525B">
        <w:t xml:space="preserve">relevant services and </w:t>
      </w:r>
      <w:r w:rsidR="004244EF">
        <w:t xml:space="preserve">the availability of </w:t>
      </w:r>
      <w:r w:rsidR="00F2525B">
        <w:t>Aboriginal service providers</w:t>
      </w:r>
      <w:r w:rsidR="004244EF">
        <w:t>,</w:t>
      </w:r>
      <w:r w:rsidR="00F2525B">
        <w:t xml:space="preserve"> a</w:t>
      </w:r>
      <w:r w:rsidR="003C2DAC">
        <w:t xml:space="preserve">s well as </w:t>
      </w:r>
      <w:r w:rsidR="00F2525B">
        <w:t>increased availability of housing and support.</w:t>
      </w:r>
      <w:r w:rsidR="0039520B">
        <w:t xml:space="preserve"> </w:t>
      </w:r>
    </w:p>
    <w:p w14:paraId="17994BB6" w14:textId="7E0A2537" w:rsidR="004244EF" w:rsidRDefault="008278E4" w:rsidP="00810BA6">
      <w:pPr>
        <w:pStyle w:val="Yourssincerely"/>
        <w:spacing w:before="0" w:after="200" w:line="276" w:lineRule="auto"/>
      </w:pPr>
      <w:r>
        <w:t>In the NT</w:t>
      </w:r>
      <w:r w:rsidR="00810BA6">
        <w:t>,</w:t>
      </w:r>
      <w:r>
        <w:t xml:space="preserve"> </w:t>
      </w:r>
      <w:r w:rsidR="00DE5CD5" w:rsidRPr="00DE5CD5">
        <w:t>the majority</w:t>
      </w:r>
      <w:r w:rsidRPr="00CB6883">
        <w:t xml:space="preserve"> of</w:t>
      </w:r>
      <w:r>
        <w:t xml:space="preserve"> victim-survivors of reported DFV are Aboriginal. </w:t>
      </w:r>
      <w:r w:rsidR="00223CD6">
        <w:rPr>
          <w:rStyle w:val="FootnoteReference"/>
        </w:rPr>
        <w:footnoteReference w:id="46"/>
      </w:r>
      <w:r>
        <w:t xml:space="preserve"> </w:t>
      </w:r>
      <w:r w:rsidR="00A83E9C">
        <w:t xml:space="preserve"> </w:t>
      </w:r>
    </w:p>
    <w:p w14:paraId="3921E0D5" w14:textId="1043ED0D" w:rsidR="00A3492D" w:rsidRDefault="00A3492D" w:rsidP="000448DD">
      <w:pPr>
        <w:pStyle w:val="Yourssincerely"/>
        <w:spacing w:before="0" w:after="0" w:line="276" w:lineRule="auto"/>
      </w:pPr>
      <w:r>
        <w:rPr>
          <w:noProof/>
          <w:lang w:eastAsia="en-AU"/>
        </w:rPr>
        <w:drawing>
          <wp:inline distT="0" distB="0" distL="0" distR="0" wp14:anchorId="60D9BB7F" wp14:editId="31A489B7">
            <wp:extent cx="4924425" cy="24955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BBDB9D" w14:textId="77777777" w:rsidR="00A83E9C" w:rsidRDefault="00A83E9C" w:rsidP="000448DD">
      <w:pPr>
        <w:pStyle w:val="Yourssincerely"/>
        <w:spacing w:before="0" w:after="0" w:line="276" w:lineRule="auto"/>
      </w:pPr>
    </w:p>
    <w:p w14:paraId="0591AA05" w14:textId="77777777" w:rsidR="005E547F" w:rsidRDefault="005E547F" w:rsidP="00810BA6">
      <w:pPr>
        <w:pStyle w:val="Yourssincerely"/>
        <w:spacing w:before="0" w:after="200" w:line="276" w:lineRule="auto"/>
      </w:pPr>
      <w:r>
        <w:t xml:space="preserve">Taking into account lived experience of DFV means listening to Aboriginal women.  </w:t>
      </w:r>
    </w:p>
    <w:p w14:paraId="4F6E4D78" w14:textId="26F1AFCA" w:rsidR="005E547F" w:rsidRDefault="005E547F" w:rsidP="00810BA6">
      <w:r>
        <w:t xml:space="preserve">A priority for the </w:t>
      </w:r>
      <w:r w:rsidR="00E37E7C">
        <w:t>DFSV-ICRO</w:t>
      </w:r>
      <w:r w:rsidRPr="005E547F">
        <w:t xml:space="preserve"> is ensuring that Aboriginal Territorians have an opportunity to con</w:t>
      </w:r>
      <w:r>
        <w:t xml:space="preserve">tribute to the work of the </w:t>
      </w:r>
      <w:r w:rsidR="00E37E7C">
        <w:t>DFSV-ICRO</w:t>
      </w:r>
      <w:r w:rsidRPr="005E547F">
        <w:t xml:space="preserve"> and other efforts to </w:t>
      </w:r>
      <w:r w:rsidR="00BC4F28">
        <w:t>prevent and respond to DFSV</w:t>
      </w:r>
      <w:r w:rsidRPr="005E547F">
        <w:t>.</w:t>
      </w:r>
      <w:r w:rsidR="00810BA6">
        <w:t xml:space="preserve"> </w:t>
      </w:r>
      <w:r w:rsidRPr="005E547F">
        <w:t xml:space="preserve"> This includes considering the establishment of an Aboriginal Advisory Group, for which the role, selection and authority will be considered as a priority.</w:t>
      </w:r>
    </w:p>
    <w:p w14:paraId="5C8A4B52" w14:textId="2C753615" w:rsidR="00FE3E43" w:rsidRDefault="00BC4F28" w:rsidP="00810BA6">
      <w:r>
        <w:t>AGD</w:t>
      </w:r>
      <w:r w:rsidR="008278E4">
        <w:t xml:space="preserve"> invites input from all victim-survivors about the </w:t>
      </w:r>
      <w:r w:rsidR="005B49AA">
        <w:t xml:space="preserve">proposals in this </w:t>
      </w:r>
      <w:r w:rsidR="000A786C">
        <w:t>paper</w:t>
      </w:r>
      <w:r w:rsidR="005B49AA">
        <w:t xml:space="preserve">, and particularly from </w:t>
      </w:r>
      <w:r w:rsidR="008278E4">
        <w:t>Aboriginal women</w:t>
      </w:r>
      <w:r w:rsidR="00F33A9B">
        <w:t>, communities and organisations</w:t>
      </w:r>
      <w:r w:rsidR="005B49AA">
        <w:t xml:space="preserve">.  This is </w:t>
      </w:r>
      <w:r w:rsidR="00CF08A0">
        <w:t>consistent</w:t>
      </w:r>
      <w:r w:rsidR="005B49AA">
        <w:t xml:space="preserve"> with the Government’s commitment in the Aboriginal Justice Agreement to improve the responsiveness of the justice system to Aboriginal people.</w:t>
      </w:r>
    </w:p>
    <w:p w14:paraId="40786626" w14:textId="22826356" w:rsidR="00E35DE9" w:rsidRDefault="00AB6D3D" w:rsidP="00810BA6">
      <w:pPr>
        <w:pStyle w:val="Heading2"/>
        <w:keepNext/>
        <w:ind w:left="1134" w:hanging="578"/>
        <w:rPr>
          <w:lang w:eastAsia="en-AU"/>
        </w:rPr>
      </w:pPr>
      <w:bookmarkStart w:id="12" w:name="_Toc112051802"/>
      <w:r>
        <w:rPr>
          <w:lang w:eastAsia="en-AU"/>
        </w:rPr>
        <w:t>D</w:t>
      </w:r>
      <w:r w:rsidR="00B150B2">
        <w:rPr>
          <w:lang w:eastAsia="en-AU"/>
        </w:rPr>
        <w:t>FV</w:t>
      </w:r>
      <w:r w:rsidR="00E35DE9">
        <w:rPr>
          <w:lang w:eastAsia="en-AU"/>
        </w:rPr>
        <w:t xml:space="preserve"> and the law</w:t>
      </w:r>
      <w:bookmarkEnd w:id="12"/>
    </w:p>
    <w:p w14:paraId="4F374B25" w14:textId="20602B19" w:rsidR="00D97870" w:rsidRDefault="00A83E9C"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There is no criminal offence of DFV in the NT.  However, </w:t>
      </w:r>
      <w:r w:rsidR="007D7BA9">
        <w:rPr>
          <w:rFonts w:asciiTheme="minorHAnsi" w:eastAsia="Times New Roman" w:hAnsiTheme="minorHAnsi" w:cstheme="minorHAnsi"/>
          <w:color w:val="000000"/>
          <w:lang w:eastAsia="en-AU"/>
        </w:rPr>
        <w:t xml:space="preserve">DFV </w:t>
      </w:r>
      <w:r w:rsidR="002B5886">
        <w:rPr>
          <w:rFonts w:asciiTheme="minorHAnsi" w:eastAsia="Times New Roman" w:hAnsiTheme="minorHAnsi" w:cstheme="minorHAnsi"/>
          <w:color w:val="000000"/>
          <w:lang w:eastAsia="en-AU"/>
        </w:rPr>
        <w:t>encompasses many</w:t>
      </w:r>
      <w:r w:rsidR="00D97870">
        <w:rPr>
          <w:rFonts w:asciiTheme="minorHAnsi" w:eastAsia="Times New Roman" w:hAnsiTheme="minorHAnsi" w:cstheme="minorHAnsi"/>
          <w:color w:val="000000"/>
          <w:lang w:eastAsia="en-AU"/>
        </w:rPr>
        <w:t xml:space="preserve"> </w:t>
      </w:r>
      <w:r w:rsidR="002B5886">
        <w:rPr>
          <w:rFonts w:asciiTheme="minorHAnsi" w:eastAsia="Times New Roman" w:hAnsiTheme="minorHAnsi" w:cstheme="minorHAnsi"/>
          <w:color w:val="000000"/>
          <w:lang w:eastAsia="en-AU"/>
        </w:rPr>
        <w:t>acts that are</w:t>
      </w:r>
      <w:r w:rsidR="00CB4B2A">
        <w:rPr>
          <w:rFonts w:asciiTheme="minorHAnsi" w:eastAsia="Times New Roman" w:hAnsiTheme="minorHAnsi" w:cstheme="minorHAnsi"/>
          <w:color w:val="000000"/>
          <w:lang w:eastAsia="en-AU"/>
        </w:rPr>
        <w:t xml:space="preserve"> </w:t>
      </w:r>
      <w:r w:rsidR="00AB0AD5">
        <w:rPr>
          <w:rFonts w:asciiTheme="minorHAnsi" w:eastAsia="Times New Roman" w:hAnsiTheme="minorHAnsi" w:cstheme="minorHAnsi"/>
          <w:color w:val="000000"/>
          <w:lang w:eastAsia="en-AU"/>
        </w:rPr>
        <w:t>criminal offence</w:t>
      </w:r>
      <w:r w:rsidR="002B5886">
        <w:rPr>
          <w:rFonts w:asciiTheme="minorHAnsi" w:eastAsia="Times New Roman" w:hAnsiTheme="minorHAnsi" w:cstheme="minorHAnsi"/>
          <w:color w:val="000000"/>
          <w:lang w:eastAsia="en-AU"/>
        </w:rPr>
        <w:t>s</w:t>
      </w:r>
      <w:r w:rsidR="00AB6D3D">
        <w:rPr>
          <w:rFonts w:asciiTheme="minorHAnsi" w:eastAsia="Times New Roman" w:hAnsiTheme="minorHAnsi" w:cstheme="minorHAnsi"/>
          <w:color w:val="000000"/>
          <w:lang w:eastAsia="en-AU"/>
        </w:rPr>
        <w:t xml:space="preserve">, </w:t>
      </w:r>
      <w:r w:rsidR="00D97870">
        <w:rPr>
          <w:rFonts w:asciiTheme="minorHAnsi" w:eastAsia="Times New Roman" w:hAnsiTheme="minorHAnsi" w:cstheme="minorHAnsi"/>
          <w:color w:val="000000"/>
          <w:lang w:eastAsia="en-AU"/>
        </w:rPr>
        <w:t>for e</w:t>
      </w:r>
      <w:r w:rsidR="00184BB7">
        <w:rPr>
          <w:rFonts w:asciiTheme="minorHAnsi" w:eastAsia="Times New Roman" w:hAnsiTheme="minorHAnsi" w:cstheme="minorHAnsi"/>
          <w:color w:val="000000"/>
          <w:lang w:eastAsia="en-AU"/>
        </w:rPr>
        <w:t xml:space="preserve">xample, </w:t>
      </w:r>
      <w:r w:rsidR="002B5886">
        <w:rPr>
          <w:rFonts w:asciiTheme="minorHAnsi" w:eastAsia="Times New Roman" w:hAnsiTheme="minorHAnsi" w:cstheme="minorHAnsi"/>
          <w:color w:val="000000"/>
          <w:lang w:eastAsia="en-AU"/>
        </w:rPr>
        <w:t xml:space="preserve">assault, </w:t>
      </w:r>
      <w:r w:rsidR="00184BB7">
        <w:rPr>
          <w:rFonts w:asciiTheme="minorHAnsi" w:eastAsia="Times New Roman" w:hAnsiTheme="minorHAnsi" w:cstheme="minorHAnsi"/>
          <w:color w:val="000000"/>
          <w:lang w:eastAsia="en-AU"/>
        </w:rPr>
        <w:t xml:space="preserve">aggravated assault, </w:t>
      </w:r>
      <w:r w:rsidR="002B5886">
        <w:rPr>
          <w:rFonts w:asciiTheme="minorHAnsi" w:eastAsia="Times New Roman" w:hAnsiTheme="minorHAnsi" w:cstheme="minorHAnsi"/>
          <w:color w:val="000000"/>
          <w:lang w:eastAsia="en-AU"/>
        </w:rPr>
        <w:t xml:space="preserve">choking in a domestic relationship, </w:t>
      </w:r>
      <w:r w:rsidR="00184BB7">
        <w:rPr>
          <w:rFonts w:asciiTheme="minorHAnsi" w:eastAsia="Times New Roman" w:hAnsiTheme="minorHAnsi" w:cstheme="minorHAnsi"/>
          <w:color w:val="000000"/>
          <w:lang w:eastAsia="en-AU"/>
        </w:rPr>
        <w:t>sexual intercourse without consent</w:t>
      </w:r>
      <w:r w:rsidR="003679B2">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 xml:space="preserve">stalking </w:t>
      </w:r>
      <w:r w:rsidR="003679B2">
        <w:rPr>
          <w:rFonts w:asciiTheme="minorHAnsi" w:eastAsia="Times New Roman" w:hAnsiTheme="minorHAnsi" w:cstheme="minorHAnsi"/>
          <w:color w:val="000000"/>
          <w:lang w:eastAsia="en-AU"/>
        </w:rPr>
        <w:t>and murder</w:t>
      </w:r>
      <w:r w:rsidR="00D97870">
        <w:rPr>
          <w:rFonts w:asciiTheme="minorHAnsi" w:eastAsia="Times New Roman" w:hAnsiTheme="minorHAnsi" w:cstheme="minorHAnsi"/>
          <w:color w:val="000000"/>
          <w:lang w:eastAsia="en-AU"/>
        </w:rPr>
        <w:t xml:space="preserve">. </w:t>
      </w:r>
      <w:r w:rsidR="00CB4B2A">
        <w:rPr>
          <w:rFonts w:asciiTheme="minorHAnsi" w:eastAsia="Times New Roman" w:hAnsiTheme="minorHAnsi" w:cstheme="minorHAnsi"/>
          <w:color w:val="000000"/>
          <w:lang w:eastAsia="en-AU"/>
        </w:rPr>
        <w:t xml:space="preserve"> </w:t>
      </w:r>
      <w:r w:rsidR="00923015">
        <w:rPr>
          <w:rFonts w:asciiTheme="minorHAnsi" w:eastAsia="Times New Roman" w:hAnsiTheme="minorHAnsi" w:cstheme="minorHAnsi"/>
          <w:color w:val="000000"/>
          <w:lang w:eastAsia="en-AU"/>
        </w:rPr>
        <w:t>DFV</w:t>
      </w:r>
      <w:r w:rsidR="00D97870">
        <w:rPr>
          <w:rFonts w:asciiTheme="minorHAnsi" w:eastAsia="Times New Roman" w:hAnsiTheme="minorHAnsi" w:cstheme="minorHAnsi"/>
          <w:color w:val="000000"/>
          <w:lang w:eastAsia="en-AU"/>
        </w:rPr>
        <w:t xml:space="preserve"> also includes</w:t>
      </w:r>
      <w:r w:rsidR="00CB4B2A">
        <w:rPr>
          <w:rFonts w:asciiTheme="minorHAnsi" w:eastAsia="Times New Roman" w:hAnsiTheme="minorHAnsi" w:cstheme="minorHAnsi"/>
          <w:color w:val="000000"/>
          <w:lang w:eastAsia="en-AU"/>
        </w:rPr>
        <w:t xml:space="preserve"> some</w:t>
      </w:r>
      <w:r w:rsidR="00D97870">
        <w:rPr>
          <w:rFonts w:asciiTheme="minorHAnsi" w:eastAsia="Times New Roman" w:hAnsiTheme="minorHAnsi" w:cstheme="minorHAnsi"/>
          <w:color w:val="000000"/>
          <w:lang w:eastAsia="en-AU"/>
        </w:rPr>
        <w:t xml:space="preserve"> behaviour </w:t>
      </w:r>
      <w:r w:rsidR="00E12DB9">
        <w:rPr>
          <w:rFonts w:asciiTheme="minorHAnsi" w:eastAsia="Times New Roman" w:hAnsiTheme="minorHAnsi" w:cstheme="minorHAnsi"/>
          <w:color w:val="000000"/>
          <w:lang w:eastAsia="en-AU"/>
        </w:rPr>
        <w:t>that has not been criminalised in legislation</w:t>
      </w:r>
      <w:r w:rsidR="00D97870">
        <w:rPr>
          <w:rFonts w:asciiTheme="minorHAnsi" w:eastAsia="Times New Roman" w:hAnsiTheme="minorHAnsi" w:cstheme="minorHAnsi"/>
          <w:color w:val="000000"/>
          <w:lang w:eastAsia="en-AU"/>
        </w:rPr>
        <w:t xml:space="preserve">, for example, some forms of psychological abuse.  </w:t>
      </w:r>
    </w:p>
    <w:p w14:paraId="174AAA47" w14:textId="458D7F91" w:rsidR="00D97870" w:rsidRDefault="00D97870"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Justice responses to DFV </w:t>
      </w:r>
      <w:r w:rsidR="00F92C71">
        <w:rPr>
          <w:rFonts w:asciiTheme="minorHAnsi" w:eastAsia="Times New Roman" w:hAnsiTheme="minorHAnsi" w:cstheme="minorHAnsi"/>
          <w:color w:val="000000"/>
          <w:lang w:eastAsia="en-AU"/>
        </w:rPr>
        <w:t xml:space="preserve">may </w:t>
      </w:r>
      <w:r w:rsidR="003679B2">
        <w:rPr>
          <w:rFonts w:asciiTheme="minorHAnsi" w:eastAsia="Times New Roman" w:hAnsiTheme="minorHAnsi" w:cstheme="minorHAnsi"/>
          <w:color w:val="000000"/>
          <w:lang w:eastAsia="en-AU"/>
        </w:rPr>
        <w:t xml:space="preserve">involve </w:t>
      </w:r>
      <w:r>
        <w:rPr>
          <w:rFonts w:asciiTheme="minorHAnsi" w:eastAsia="Times New Roman" w:hAnsiTheme="minorHAnsi" w:cstheme="minorHAnsi"/>
          <w:color w:val="000000"/>
          <w:lang w:eastAsia="en-AU"/>
        </w:rPr>
        <w:t xml:space="preserve">civil </w:t>
      </w:r>
      <w:r w:rsidR="00AC1DA1">
        <w:rPr>
          <w:rFonts w:asciiTheme="minorHAnsi" w:eastAsia="Times New Roman" w:hAnsiTheme="minorHAnsi" w:cstheme="minorHAnsi"/>
          <w:color w:val="000000"/>
          <w:lang w:eastAsia="en-AU"/>
        </w:rPr>
        <w:t>law, or</w:t>
      </w:r>
      <w:r>
        <w:rPr>
          <w:rFonts w:asciiTheme="minorHAnsi" w:eastAsia="Times New Roman" w:hAnsiTheme="minorHAnsi" w:cstheme="minorHAnsi"/>
          <w:color w:val="000000"/>
          <w:lang w:eastAsia="en-AU"/>
        </w:rPr>
        <w:t xml:space="preserve"> criminal law</w:t>
      </w:r>
      <w:r w:rsidR="00AC1DA1">
        <w:rPr>
          <w:rFonts w:asciiTheme="minorHAnsi" w:eastAsia="Times New Roman" w:hAnsiTheme="minorHAnsi" w:cstheme="minorHAnsi"/>
          <w:color w:val="000000"/>
          <w:lang w:eastAsia="en-AU"/>
        </w:rPr>
        <w:t>, or both.</w:t>
      </w:r>
    </w:p>
    <w:p w14:paraId="6063A561" w14:textId="6338A51E" w:rsidR="000D2E62" w:rsidRPr="000D2E62" w:rsidRDefault="000D2E62" w:rsidP="00810BA6">
      <w:pPr>
        <w:keepNext/>
        <w:spacing w:after="160" w:line="259" w:lineRule="auto"/>
        <w:rPr>
          <w:rFonts w:asciiTheme="minorHAnsi" w:eastAsia="Times New Roman" w:hAnsiTheme="minorHAnsi" w:cstheme="minorHAnsi"/>
          <w:b/>
          <w:color w:val="000000"/>
          <w:lang w:eastAsia="en-AU"/>
        </w:rPr>
      </w:pPr>
      <w:r w:rsidRPr="000D2E62">
        <w:rPr>
          <w:rFonts w:asciiTheme="minorHAnsi" w:eastAsia="Times New Roman" w:hAnsiTheme="minorHAnsi" w:cstheme="minorHAnsi"/>
          <w:b/>
          <w:color w:val="000000"/>
          <w:lang w:eastAsia="en-AU"/>
        </w:rPr>
        <w:t>Civil law – Domestic Violence Orders</w:t>
      </w:r>
    </w:p>
    <w:p w14:paraId="2673257C" w14:textId="5664CD13" w:rsidR="00D97870" w:rsidRDefault="00F92C71"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Police and </w:t>
      </w:r>
      <w:r w:rsidR="00810BA6">
        <w:rPr>
          <w:rFonts w:asciiTheme="minorHAnsi" w:eastAsia="Times New Roman" w:hAnsiTheme="minorHAnsi" w:cstheme="minorHAnsi"/>
          <w:color w:val="000000"/>
          <w:lang w:eastAsia="en-AU"/>
        </w:rPr>
        <w:t xml:space="preserve">courts </w:t>
      </w:r>
      <w:r>
        <w:rPr>
          <w:rFonts w:asciiTheme="minorHAnsi" w:eastAsia="Times New Roman" w:hAnsiTheme="minorHAnsi" w:cstheme="minorHAnsi"/>
          <w:color w:val="000000"/>
          <w:lang w:eastAsia="en-AU"/>
        </w:rPr>
        <w:t>can issue a domestic violence order (DVO) under the DFV</w:t>
      </w:r>
      <w:r w:rsidR="00810BA6">
        <w:rPr>
          <w:rFonts w:asciiTheme="minorHAnsi" w:eastAsia="Times New Roman" w:hAnsiTheme="minorHAnsi" w:cstheme="minorHAnsi"/>
          <w:color w:val="000000"/>
          <w:lang w:eastAsia="en-AU"/>
        </w:rPr>
        <w:t> </w:t>
      </w:r>
      <w:r>
        <w:rPr>
          <w:rFonts w:asciiTheme="minorHAnsi" w:eastAsia="Times New Roman" w:hAnsiTheme="minorHAnsi" w:cstheme="minorHAnsi"/>
          <w:color w:val="000000"/>
          <w:lang w:eastAsia="en-AU"/>
        </w:rPr>
        <w:t>A</w:t>
      </w:r>
      <w:r w:rsidR="00810BA6">
        <w:rPr>
          <w:rFonts w:asciiTheme="minorHAnsi" w:eastAsia="Times New Roman" w:hAnsiTheme="minorHAnsi" w:cstheme="minorHAnsi"/>
          <w:color w:val="000000"/>
          <w:lang w:eastAsia="en-AU"/>
        </w:rPr>
        <w:t>ct</w:t>
      </w:r>
      <w:r w:rsidR="00F424B6">
        <w:rPr>
          <w:rFonts w:asciiTheme="minorHAnsi" w:eastAsia="Times New Roman" w:hAnsiTheme="minorHAnsi" w:cstheme="minorHAnsi"/>
          <w:color w:val="000000"/>
          <w:lang w:eastAsia="en-AU"/>
        </w:rPr>
        <w:t xml:space="preserve"> if satisfied that there are reasonable grounds for a person to fear the commission of domestic violence against them by the defendant.  This is a civil order restraining the defendant from certain conduct, such as contacting, approaching or harming the protected person. </w:t>
      </w:r>
      <w:r w:rsidR="00B12CEB">
        <w:rPr>
          <w:rFonts w:asciiTheme="minorHAnsi" w:eastAsia="Times New Roman" w:hAnsiTheme="minorHAnsi" w:cstheme="minorHAnsi"/>
          <w:color w:val="000000"/>
          <w:lang w:eastAsia="en-AU"/>
        </w:rPr>
        <w:t xml:space="preserve"> Although it is a civil order, </w:t>
      </w:r>
      <w:r w:rsidR="00F424B6">
        <w:rPr>
          <w:rFonts w:asciiTheme="minorHAnsi" w:eastAsia="Times New Roman" w:hAnsiTheme="minorHAnsi" w:cstheme="minorHAnsi"/>
          <w:color w:val="000000"/>
          <w:lang w:eastAsia="en-AU"/>
        </w:rPr>
        <w:t xml:space="preserve">contravention of the </w:t>
      </w:r>
      <w:r w:rsidR="00E77E0B">
        <w:rPr>
          <w:rFonts w:asciiTheme="minorHAnsi" w:eastAsia="Times New Roman" w:hAnsiTheme="minorHAnsi" w:cstheme="minorHAnsi"/>
          <w:color w:val="000000"/>
          <w:lang w:eastAsia="en-AU"/>
        </w:rPr>
        <w:t xml:space="preserve">conditions in the </w:t>
      </w:r>
      <w:r w:rsidR="00F424B6">
        <w:rPr>
          <w:rFonts w:asciiTheme="minorHAnsi" w:eastAsia="Times New Roman" w:hAnsiTheme="minorHAnsi" w:cstheme="minorHAnsi"/>
          <w:color w:val="000000"/>
          <w:lang w:eastAsia="en-AU"/>
        </w:rPr>
        <w:t>DVO is a criminal offence (section 120</w:t>
      </w:r>
      <w:r w:rsidR="00B12CEB">
        <w:rPr>
          <w:rFonts w:asciiTheme="minorHAnsi" w:eastAsia="Times New Roman" w:hAnsiTheme="minorHAnsi" w:cstheme="minorHAnsi"/>
          <w:color w:val="000000"/>
          <w:lang w:eastAsia="en-AU"/>
        </w:rPr>
        <w:t xml:space="preserve"> of the DFV</w:t>
      </w:r>
      <w:r w:rsidR="00810BA6">
        <w:rPr>
          <w:rFonts w:asciiTheme="minorHAnsi" w:eastAsia="Times New Roman" w:hAnsiTheme="minorHAnsi" w:cstheme="minorHAnsi"/>
          <w:color w:val="000000"/>
          <w:lang w:eastAsia="en-AU"/>
        </w:rPr>
        <w:t> </w:t>
      </w:r>
      <w:r w:rsidR="00B12CEB">
        <w:rPr>
          <w:rFonts w:asciiTheme="minorHAnsi" w:eastAsia="Times New Roman" w:hAnsiTheme="minorHAnsi" w:cstheme="minorHAnsi"/>
          <w:color w:val="000000"/>
          <w:lang w:eastAsia="en-AU"/>
        </w:rPr>
        <w:t>A</w:t>
      </w:r>
      <w:r w:rsidR="00810BA6">
        <w:rPr>
          <w:rFonts w:asciiTheme="minorHAnsi" w:eastAsia="Times New Roman" w:hAnsiTheme="minorHAnsi" w:cstheme="minorHAnsi"/>
          <w:color w:val="000000"/>
          <w:lang w:eastAsia="en-AU"/>
        </w:rPr>
        <w:t>ct</w:t>
      </w:r>
      <w:r w:rsidR="00F424B6">
        <w:rPr>
          <w:rFonts w:asciiTheme="minorHAnsi" w:eastAsia="Times New Roman" w:hAnsiTheme="minorHAnsi" w:cstheme="minorHAnsi"/>
          <w:color w:val="000000"/>
          <w:lang w:eastAsia="en-AU"/>
        </w:rPr>
        <w:t>).</w:t>
      </w:r>
    </w:p>
    <w:p w14:paraId="17E74E83" w14:textId="38D6A2DF" w:rsidR="000D2E62" w:rsidRPr="000D2E62" w:rsidRDefault="000D2E62" w:rsidP="00810BA6">
      <w:pPr>
        <w:keepNext/>
        <w:spacing w:after="160" w:line="259" w:lineRule="auto"/>
        <w:rPr>
          <w:rFonts w:asciiTheme="minorHAnsi" w:eastAsia="Times New Roman" w:hAnsiTheme="minorHAnsi" w:cstheme="minorHAnsi"/>
          <w:b/>
          <w:color w:val="000000"/>
          <w:lang w:eastAsia="en-AU"/>
        </w:rPr>
      </w:pPr>
      <w:r w:rsidRPr="000D2E62">
        <w:rPr>
          <w:rFonts w:asciiTheme="minorHAnsi" w:eastAsia="Times New Roman" w:hAnsiTheme="minorHAnsi" w:cstheme="minorHAnsi"/>
          <w:b/>
          <w:color w:val="000000"/>
          <w:lang w:eastAsia="en-AU"/>
        </w:rPr>
        <w:lastRenderedPageBreak/>
        <w:t xml:space="preserve">Criminal law </w:t>
      </w:r>
      <w:r>
        <w:rPr>
          <w:rFonts w:asciiTheme="minorHAnsi" w:eastAsia="Times New Roman" w:hAnsiTheme="minorHAnsi" w:cstheme="minorHAnsi"/>
          <w:b/>
          <w:color w:val="000000"/>
          <w:lang w:eastAsia="en-AU"/>
        </w:rPr>
        <w:t>and offences</w:t>
      </w:r>
    </w:p>
    <w:p w14:paraId="07E20725" w14:textId="1B63DAAA" w:rsidR="00966510" w:rsidRDefault="00B12CEB"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C</w:t>
      </w:r>
      <w:r w:rsidR="00F424B6">
        <w:rPr>
          <w:rFonts w:asciiTheme="minorHAnsi" w:eastAsia="Times New Roman" w:hAnsiTheme="minorHAnsi" w:cstheme="minorHAnsi"/>
          <w:color w:val="000000"/>
          <w:lang w:eastAsia="en-AU"/>
        </w:rPr>
        <w:t>riminal charges may be l</w:t>
      </w:r>
      <w:r>
        <w:rPr>
          <w:rFonts w:asciiTheme="minorHAnsi" w:eastAsia="Times New Roman" w:hAnsiTheme="minorHAnsi" w:cstheme="minorHAnsi"/>
          <w:color w:val="000000"/>
          <w:lang w:eastAsia="en-AU"/>
        </w:rPr>
        <w:t>aid if a crim</w:t>
      </w:r>
      <w:r w:rsidR="004F3335">
        <w:rPr>
          <w:rFonts w:asciiTheme="minorHAnsi" w:eastAsia="Times New Roman" w:hAnsiTheme="minorHAnsi" w:cstheme="minorHAnsi"/>
          <w:color w:val="000000"/>
          <w:lang w:eastAsia="en-AU"/>
        </w:rPr>
        <w:t>inal offence</w:t>
      </w:r>
      <w:r>
        <w:rPr>
          <w:rFonts w:asciiTheme="minorHAnsi" w:eastAsia="Times New Roman" w:hAnsiTheme="minorHAnsi" w:cstheme="minorHAnsi"/>
          <w:color w:val="000000"/>
          <w:lang w:eastAsia="en-AU"/>
        </w:rPr>
        <w:t xml:space="preserve"> is committed </w:t>
      </w:r>
      <w:r w:rsidR="004F3335">
        <w:rPr>
          <w:rFonts w:asciiTheme="minorHAnsi" w:eastAsia="Times New Roman" w:hAnsiTheme="minorHAnsi" w:cstheme="minorHAnsi"/>
          <w:color w:val="000000"/>
          <w:lang w:eastAsia="en-AU"/>
        </w:rPr>
        <w:t>in the NT</w:t>
      </w:r>
      <w:r>
        <w:rPr>
          <w:rFonts w:asciiTheme="minorHAnsi" w:eastAsia="Times New Roman" w:hAnsiTheme="minorHAnsi" w:cstheme="minorHAnsi"/>
          <w:color w:val="000000"/>
          <w:lang w:eastAsia="en-AU"/>
        </w:rPr>
        <w:t>, including</w:t>
      </w:r>
      <w:r w:rsidR="004F3335">
        <w:rPr>
          <w:rFonts w:asciiTheme="minorHAnsi" w:eastAsia="Times New Roman" w:hAnsiTheme="minorHAnsi" w:cstheme="minorHAnsi"/>
          <w:color w:val="000000"/>
          <w:lang w:eastAsia="en-AU"/>
        </w:rPr>
        <w:t xml:space="preserve"> if a person commits a</w:t>
      </w:r>
      <w:r w:rsidR="00AB0AD5">
        <w:rPr>
          <w:rFonts w:asciiTheme="minorHAnsi" w:eastAsia="Times New Roman" w:hAnsiTheme="minorHAnsi" w:cstheme="minorHAnsi"/>
          <w:color w:val="000000"/>
          <w:lang w:eastAsia="en-AU"/>
        </w:rPr>
        <w:t xml:space="preserve">n </w:t>
      </w:r>
      <w:r w:rsidR="004F3335">
        <w:rPr>
          <w:rFonts w:asciiTheme="minorHAnsi" w:eastAsia="Times New Roman" w:hAnsiTheme="minorHAnsi" w:cstheme="minorHAnsi"/>
          <w:color w:val="000000"/>
          <w:lang w:eastAsia="en-AU"/>
        </w:rPr>
        <w:t>offence against a family member or current or former partner</w:t>
      </w:r>
      <w:r w:rsidR="00BB042D">
        <w:rPr>
          <w:rFonts w:asciiTheme="minorHAnsi" w:eastAsia="Times New Roman" w:hAnsiTheme="minorHAnsi" w:cstheme="minorHAnsi"/>
          <w:color w:val="000000"/>
          <w:lang w:eastAsia="en-AU"/>
        </w:rPr>
        <w:t xml:space="preserve"> (that is, in circumstances of DFV)</w:t>
      </w:r>
      <w:r w:rsidR="004F3335">
        <w:rPr>
          <w:rFonts w:asciiTheme="minorHAnsi" w:eastAsia="Times New Roman" w:hAnsiTheme="minorHAnsi" w:cstheme="minorHAnsi"/>
          <w:color w:val="000000"/>
          <w:lang w:eastAsia="en-AU"/>
        </w:rPr>
        <w:t>.</w:t>
      </w:r>
      <w:r w:rsidR="003679B2">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The Criminal Code provides for most crim</w:t>
      </w:r>
      <w:r w:rsidR="004F3335">
        <w:rPr>
          <w:rFonts w:asciiTheme="minorHAnsi" w:eastAsia="Times New Roman" w:hAnsiTheme="minorHAnsi" w:cstheme="minorHAnsi"/>
          <w:color w:val="000000"/>
          <w:lang w:eastAsia="en-AU"/>
        </w:rPr>
        <w:t>inal offences</w:t>
      </w:r>
      <w:r w:rsidR="003679B2">
        <w:rPr>
          <w:rFonts w:asciiTheme="minorHAnsi" w:eastAsia="Times New Roman" w:hAnsiTheme="minorHAnsi" w:cstheme="minorHAnsi"/>
          <w:color w:val="000000"/>
          <w:lang w:eastAsia="en-AU"/>
        </w:rPr>
        <w:t xml:space="preserve"> in the NT.</w:t>
      </w:r>
    </w:p>
    <w:p w14:paraId="1B180EA2" w14:textId="7A271684" w:rsidR="003679B2" w:rsidRDefault="00A06192" w:rsidP="00810BA6">
      <w:pPr>
        <w:spacing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C</w:t>
      </w:r>
      <w:r w:rsidR="003679B2">
        <w:rPr>
          <w:rFonts w:asciiTheme="minorHAnsi" w:eastAsia="Times New Roman" w:hAnsiTheme="minorHAnsi" w:cstheme="minorHAnsi"/>
          <w:color w:val="000000"/>
          <w:lang w:eastAsia="en-AU"/>
        </w:rPr>
        <w:t>riminal c</w:t>
      </w:r>
      <w:r w:rsidR="00184BB7">
        <w:rPr>
          <w:rFonts w:asciiTheme="minorHAnsi" w:eastAsia="Times New Roman" w:hAnsiTheme="minorHAnsi" w:cstheme="minorHAnsi"/>
          <w:color w:val="000000"/>
          <w:lang w:eastAsia="en-AU"/>
        </w:rPr>
        <w:t xml:space="preserve">harges </w:t>
      </w:r>
      <w:r>
        <w:rPr>
          <w:rFonts w:asciiTheme="minorHAnsi" w:eastAsia="Times New Roman" w:hAnsiTheme="minorHAnsi" w:cstheme="minorHAnsi"/>
          <w:color w:val="000000"/>
          <w:lang w:eastAsia="en-AU"/>
        </w:rPr>
        <w:t xml:space="preserve">that </w:t>
      </w:r>
      <w:r w:rsidR="009F3970">
        <w:rPr>
          <w:rFonts w:asciiTheme="minorHAnsi" w:eastAsia="Times New Roman" w:hAnsiTheme="minorHAnsi" w:cstheme="minorHAnsi"/>
          <w:color w:val="000000"/>
          <w:lang w:eastAsia="en-AU"/>
        </w:rPr>
        <w:t>may occur in DFV circumstances are listed below.</w:t>
      </w:r>
    </w:p>
    <w:tbl>
      <w:tblPr>
        <w:tblStyle w:val="TableGrid"/>
        <w:tblW w:w="0" w:type="auto"/>
        <w:tblLook w:val="04A0" w:firstRow="1" w:lastRow="0" w:firstColumn="1" w:lastColumn="0" w:noHBand="0" w:noVBand="1"/>
      </w:tblPr>
      <w:tblGrid>
        <w:gridCol w:w="6130"/>
        <w:gridCol w:w="3619"/>
      </w:tblGrid>
      <w:tr w:rsidR="003679B2" w14:paraId="5847A5F0" w14:textId="77777777" w:rsidTr="00536664">
        <w:tc>
          <w:tcPr>
            <w:tcW w:w="6516" w:type="dxa"/>
            <w:shd w:val="clear" w:color="auto" w:fill="C8E6FA" w:themeFill="accent2" w:themeFillTint="33"/>
          </w:tcPr>
          <w:p w14:paraId="592F3103" w14:textId="4D44634A" w:rsidR="003679B2" w:rsidRDefault="00966510"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Offence or </w:t>
            </w:r>
            <w:r w:rsidR="003679B2">
              <w:rPr>
                <w:rFonts w:asciiTheme="minorHAnsi" w:eastAsia="Times New Roman" w:hAnsiTheme="minorHAnsi" w:cstheme="minorHAnsi"/>
                <w:color w:val="000000"/>
                <w:lang w:eastAsia="en-AU"/>
              </w:rPr>
              <w:t>offence</w:t>
            </w:r>
            <w:r>
              <w:rPr>
                <w:rFonts w:asciiTheme="minorHAnsi" w:eastAsia="Times New Roman" w:hAnsiTheme="minorHAnsi" w:cstheme="minorHAnsi"/>
                <w:color w:val="000000"/>
                <w:lang w:eastAsia="en-AU"/>
              </w:rPr>
              <w:t xml:space="preserve"> category</w:t>
            </w:r>
          </w:p>
        </w:tc>
        <w:tc>
          <w:tcPr>
            <w:tcW w:w="3792" w:type="dxa"/>
            <w:shd w:val="clear" w:color="auto" w:fill="C8E6FA" w:themeFill="accent2" w:themeFillTint="33"/>
          </w:tcPr>
          <w:p w14:paraId="027832F6" w14:textId="6633A8D4" w:rsidR="003679B2" w:rsidRDefault="003679B2"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Number of </w:t>
            </w:r>
            <w:r w:rsidR="00536664">
              <w:rPr>
                <w:rFonts w:asciiTheme="minorHAnsi" w:eastAsia="Times New Roman" w:hAnsiTheme="minorHAnsi" w:cstheme="minorHAnsi"/>
                <w:color w:val="000000"/>
                <w:lang w:eastAsia="en-AU"/>
              </w:rPr>
              <w:t xml:space="preserve">persons charged with this as the </w:t>
            </w:r>
            <w:r>
              <w:rPr>
                <w:rFonts w:asciiTheme="minorHAnsi" w:eastAsia="Times New Roman" w:hAnsiTheme="minorHAnsi" w:cstheme="minorHAnsi"/>
                <w:color w:val="000000"/>
                <w:lang w:eastAsia="en-AU"/>
              </w:rPr>
              <w:t>principal offence in 2021</w:t>
            </w:r>
            <w:r w:rsidR="00966510">
              <w:rPr>
                <w:rFonts w:asciiTheme="minorHAnsi" w:eastAsia="Times New Roman" w:hAnsiTheme="minorHAnsi" w:cstheme="minorHAnsi"/>
                <w:color w:val="000000"/>
                <w:lang w:eastAsia="en-AU"/>
              </w:rPr>
              <w:t xml:space="preserve"> in DFV circumstances </w:t>
            </w:r>
            <w:r w:rsidR="00966510">
              <w:rPr>
                <w:rStyle w:val="FootnoteReference"/>
                <w:rFonts w:asciiTheme="minorHAnsi" w:eastAsia="Times New Roman" w:hAnsiTheme="minorHAnsi" w:cstheme="minorHAnsi"/>
                <w:color w:val="000000"/>
                <w:lang w:eastAsia="en-AU"/>
              </w:rPr>
              <w:footnoteReference w:id="47"/>
            </w:r>
          </w:p>
        </w:tc>
      </w:tr>
      <w:tr w:rsidR="003679B2" w14:paraId="24DBB18C" w14:textId="77777777" w:rsidTr="00536664">
        <w:tc>
          <w:tcPr>
            <w:tcW w:w="6516" w:type="dxa"/>
          </w:tcPr>
          <w:p w14:paraId="4FB5C639" w14:textId="030311B4" w:rsidR="003679B2"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Aggravated assault</w:t>
            </w:r>
          </w:p>
        </w:tc>
        <w:tc>
          <w:tcPr>
            <w:tcW w:w="3792" w:type="dxa"/>
          </w:tcPr>
          <w:p w14:paraId="0B8267FB" w14:textId="47609369" w:rsidR="003679B2" w:rsidRDefault="00FB0FC0"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2206</w:t>
            </w:r>
          </w:p>
        </w:tc>
      </w:tr>
      <w:tr w:rsidR="00536664" w14:paraId="6E84553B" w14:textId="77777777" w:rsidTr="00536664">
        <w:tc>
          <w:tcPr>
            <w:tcW w:w="6516" w:type="dxa"/>
          </w:tcPr>
          <w:p w14:paraId="5CCDBB93" w14:textId="5B74F5C6"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Contravention of a DVO</w:t>
            </w:r>
          </w:p>
        </w:tc>
        <w:tc>
          <w:tcPr>
            <w:tcW w:w="3792" w:type="dxa"/>
          </w:tcPr>
          <w:p w14:paraId="5BA1F016" w14:textId="1E298501"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1210</w:t>
            </w:r>
          </w:p>
        </w:tc>
      </w:tr>
      <w:tr w:rsidR="00536664" w14:paraId="67801AED" w14:textId="77777777" w:rsidTr="00536664">
        <w:tc>
          <w:tcPr>
            <w:tcW w:w="6516" w:type="dxa"/>
          </w:tcPr>
          <w:p w14:paraId="30DB0792" w14:textId="490E7237"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Non-lethal choking in a domestic relationship</w:t>
            </w:r>
          </w:p>
        </w:tc>
        <w:tc>
          <w:tcPr>
            <w:tcW w:w="3792" w:type="dxa"/>
          </w:tcPr>
          <w:p w14:paraId="5DBE4594" w14:textId="2A14047C"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146</w:t>
            </w:r>
          </w:p>
        </w:tc>
      </w:tr>
      <w:tr w:rsidR="00536664" w14:paraId="3F1D3DAE" w14:textId="77777777" w:rsidTr="00536664">
        <w:tc>
          <w:tcPr>
            <w:tcW w:w="6516" w:type="dxa"/>
          </w:tcPr>
          <w:p w14:paraId="7D37F420" w14:textId="78DD0908"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Unlawfully causing serious harm</w:t>
            </w:r>
          </w:p>
        </w:tc>
        <w:tc>
          <w:tcPr>
            <w:tcW w:w="3792" w:type="dxa"/>
          </w:tcPr>
          <w:p w14:paraId="669D6449" w14:textId="275F1C32"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129</w:t>
            </w:r>
          </w:p>
        </w:tc>
      </w:tr>
      <w:tr w:rsidR="00536664" w14:paraId="3877340E" w14:textId="77777777" w:rsidTr="00536664">
        <w:tc>
          <w:tcPr>
            <w:tcW w:w="6516" w:type="dxa"/>
          </w:tcPr>
          <w:p w14:paraId="1F0E2CE8" w14:textId="0E9550E4"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Damage to property</w:t>
            </w:r>
          </w:p>
        </w:tc>
        <w:tc>
          <w:tcPr>
            <w:tcW w:w="3792" w:type="dxa"/>
          </w:tcPr>
          <w:p w14:paraId="7DDD93AC" w14:textId="3DABDFF8"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96</w:t>
            </w:r>
          </w:p>
        </w:tc>
      </w:tr>
      <w:tr w:rsidR="00536664" w14:paraId="0EBEB373" w14:textId="77777777" w:rsidTr="00536664">
        <w:tc>
          <w:tcPr>
            <w:tcW w:w="6516" w:type="dxa"/>
          </w:tcPr>
          <w:p w14:paraId="5063DF58" w14:textId="25B08B3B"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Depriving a person of liberty</w:t>
            </w:r>
          </w:p>
        </w:tc>
        <w:tc>
          <w:tcPr>
            <w:tcW w:w="3792" w:type="dxa"/>
          </w:tcPr>
          <w:p w14:paraId="227C1F04" w14:textId="3A621229"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44</w:t>
            </w:r>
          </w:p>
        </w:tc>
      </w:tr>
      <w:tr w:rsidR="00536664" w14:paraId="49142016" w14:textId="77777777" w:rsidTr="00536664">
        <w:tc>
          <w:tcPr>
            <w:tcW w:w="6516" w:type="dxa"/>
          </w:tcPr>
          <w:p w14:paraId="20DAC160" w14:textId="73F6CAFF"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Sexual intercourse without consent</w:t>
            </w:r>
          </w:p>
        </w:tc>
        <w:tc>
          <w:tcPr>
            <w:tcW w:w="3792" w:type="dxa"/>
          </w:tcPr>
          <w:p w14:paraId="0339523A" w14:textId="59833FF0"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24</w:t>
            </w:r>
          </w:p>
        </w:tc>
      </w:tr>
      <w:tr w:rsidR="00536664" w14:paraId="3675FA8D" w14:textId="77777777" w:rsidTr="00536664">
        <w:tc>
          <w:tcPr>
            <w:tcW w:w="6516" w:type="dxa"/>
          </w:tcPr>
          <w:p w14:paraId="1F137594" w14:textId="2AC8E00E"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Other sexual offences</w:t>
            </w:r>
          </w:p>
        </w:tc>
        <w:tc>
          <w:tcPr>
            <w:tcW w:w="3792" w:type="dxa"/>
          </w:tcPr>
          <w:p w14:paraId="48927A98" w14:textId="3F41B921"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23</w:t>
            </w:r>
          </w:p>
        </w:tc>
      </w:tr>
      <w:tr w:rsidR="00536664" w14:paraId="68D5D8C3" w14:textId="77777777" w:rsidTr="00536664">
        <w:tc>
          <w:tcPr>
            <w:tcW w:w="6516" w:type="dxa"/>
          </w:tcPr>
          <w:p w14:paraId="5081C9E2" w14:textId="270702CA"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Making a threat to kill</w:t>
            </w:r>
          </w:p>
        </w:tc>
        <w:tc>
          <w:tcPr>
            <w:tcW w:w="3792" w:type="dxa"/>
          </w:tcPr>
          <w:p w14:paraId="1E2ABE5E" w14:textId="210494E7"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13</w:t>
            </w:r>
          </w:p>
        </w:tc>
      </w:tr>
      <w:tr w:rsidR="000046C5" w14:paraId="2AF0A371" w14:textId="77777777" w:rsidTr="00536664">
        <w:tc>
          <w:tcPr>
            <w:tcW w:w="6516" w:type="dxa"/>
          </w:tcPr>
          <w:p w14:paraId="5BDD4526" w14:textId="6D1997DA" w:rsidR="000046C5" w:rsidRDefault="000046C5"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Unlawful stalking</w:t>
            </w:r>
          </w:p>
        </w:tc>
        <w:tc>
          <w:tcPr>
            <w:tcW w:w="3792" w:type="dxa"/>
          </w:tcPr>
          <w:p w14:paraId="52B2A855" w14:textId="235D6B63" w:rsidR="000046C5" w:rsidRDefault="000046C5"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6</w:t>
            </w:r>
          </w:p>
        </w:tc>
      </w:tr>
      <w:tr w:rsidR="00536664" w14:paraId="7D5CCF73" w14:textId="77777777" w:rsidTr="00536664">
        <w:tc>
          <w:tcPr>
            <w:tcW w:w="6516" w:type="dxa"/>
          </w:tcPr>
          <w:p w14:paraId="10333EAC" w14:textId="6AC9C097" w:rsidR="00536664" w:rsidRDefault="00536664" w:rsidP="003757DB">
            <w:pPr>
              <w:spacing w:after="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Homicide related offences, such as murder or attempted murder</w:t>
            </w:r>
          </w:p>
        </w:tc>
        <w:tc>
          <w:tcPr>
            <w:tcW w:w="3792" w:type="dxa"/>
          </w:tcPr>
          <w:p w14:paraId="18F80176" w14:textId="36617B37" w:rsidR="00536664" w:rsidRDefault="00536664" w:rsidP="00D97870">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6</w:t>
            </w:r>
          </w:p>
        </w:tc>
      </w:tr>
    </w:tbl>
    <w:p w14:paraId="523446C6" w14:textId="77777777" w:rsidR="00536664" w:rsidRDefault="00536664" w:rsidP="003757DB">
      <w:pPr>
        <w:spacing w:after="0" w:line="259" w:lineRule="auto"/>
        <w:rPr>
          <w:rFonts w:asciiTheme="minorHAnsi" w:eastAsia="Times New Roman" w:hAnsiTheme="minorHAnsi" w:cstheme="minorHAnsi"/>
          <w:color w:val="000000"/>
          <w:lang w:eastAsia="en-AU"/>
        </w:rPr>
      </w:pPr>
    </w:p>
    <w:p w14:paraId="29575C86" w14:textId="711E5DBA" w:rsidR="00144506" w:rsidRPr="00944EB2" w:rsidRDefault="00AC1DA1" w:rsidP="00944EB2">
      <w:pPr>
        <w:spacing w:after="160" w:line="259"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C</w:t>
      </w:r>
      <w:r w:rsidR="00B12CEB">
        <w:rPr>
          <w:rFonts w:asciiTheme="minorHAnsi" w:eastAsia="Times New Roman" w:hAnsiTheme="minorHAnsi" w:cstheme="minorHAnsi"/>
          <w:color w:val="000000"/>
          <w:lang w:eastAsia="en-AU"/>
        </w:rPr>
        <w:t xml:space="preserve">riminal </w:t>
      </w:r>
      <w:r>
        <w:rPr>
          <w:rFonts w:asciiTheme="minorHAnsi" w:eastAsia="Times New Roman" w:hAnsiTheme="minorHAnsi" w:cstheme="minorHAnsi"/>
          <w:color w:val="000000"/>
          <w:lang w:eastAsia="en-AU"/>
        </w:rPr>
        <w:t>proceedings</w:t>
      </w:r>
      <w:r w:rsidR="00B12CEB">
        <w:rPr>
          <w:rFonts w:asciiTheme="minorHAnsi" w:eastAsia="Times New Roman" w:hAnsiTheme="minorHAnsi" w:cstheme="minorHAnsi"/>
          <w:color w:val="000000"/>
          <w:lang w:eastAsia="en-AU"/>
        </w:rPr>
        <w:t xml:space="preserve"> also involve </w:t>
      </w:r>
      <w:r>
        <w:rPr>
          <w:rFonts w:asciiTheme="minorHAnsi" w:eastAsia="Times New Roman" w:hAnsiTheme="minorHAnsi" w:cstheme="minorHAnsi"/>
          <w:color w:val="000000"/>
          <w:lang w:eastAsia="en-AU"/>
        </w:rPr>
        <w:t xml:space="preserve">other </w:t>
      </w:r>
      <w:r w:rsidR="004F3335">
        <w:rPr>
          <w:rFonts w:asciiTheme="minorHAnsi" w:eastAsia="Times New Roman" w:hAnsiTheme="minorHAnsi" w:cstheme="minorHAnsi"/>
          <w:color w:val="000000"/>
          <w:lang w:eastAsia="en-AU"/>
        </w:rPr>
        <w:t xml:space="preserve">legislation, </w:t>
      </w:r>
      <w:r>
        <w:rPr>
          <w:rFonts w:asciiTheme="minorHAnsi" w:eastAsia="Times New Roman" w:hAnsiTheme="minorHAnsi" w:cstheme="minorHAnsi"/>
          <w:color w:val="000000"/>
          <w:lang w:eastAsia="en-AU"/>
        </w:rPr>
        <w:t>such as</w:t>
      </w:r>
      <w:r w:rsidR="004F3335">
        <w:rPr>
          <w:rFonts w:asciiTheme="minorHAnsi" w:eastAsia="Times New Roman" w:hAnsiTheme="minorHAnsi" w:cstheme="minorHAnsi"/>
          <w:color w:val="000000"/>
          <w:lang w:eastAsia="en-AU"/>
        </w:rPr>
        <w:t xml:space="preserve"> the </w:t>
      </w:r>
      <w:r w:rsidR="004F3335" w:rsidRPr="004F3335">
        <w:rPr>
          <w:rFonts w:asciiTheme="minorHAnsi" w:eastAsia="Times New Roman" w:hAnsiTheme="minorHAnsi" w:cstheme="minorHAnsi"/>
          <w:i/>
          <w:iCs/>
          <w:color w:val="000000"/>
          <w:lang w:eastAsia="en-AU"/>
        </w:rPr>
        <w:t>Bail Act 1982</w:t>
      </w:r>
      <w:r w:rsidR="004F3335">
        <w:rPr>
          <w:rFonts w:asciiTheme="minorHAnsi" w:eastAsia="Times New Roman" w:hAnsiTheme="minorHAnsi" w:cstheme="minorHAnsi"/>
          <w:color w:val="000000"/>
          <w:lang w:eastAsia="en-AU"/>
        </w:rPr>
        <w:t xml:space="preserve">, the </w:t>
      </w:r>
      <w:r w:rsidR="004F3335" w:rsidRPr="004F3335">
        <w:rPr>
          <w:rFonts w:asciiTheme="minorHAnsi" w:eastAsia="Times New Roman" w:hAnsiTheme="minorHAnsi" w:cstheme="minorHAnsi"/>
          <w:i/>
          <w:iCs/>
          <w:color w:val="000000"/>
          <w:lang w:eastAsia="en-AU"/>
        </w:rPr>
        <w:t>Sentencing Act 1995</w:t>
      </w:r>
      <w:r w:rsidR="004F3335">
        <w:rPr>
          <w:rFonts w:asciiTheme="minorHAnsi" w:eastAsia="Times New Roman" w:hAnsiTheme="minorHAnsi" w:cstheme="minorHAnsi"/>
          <w:color w:val="000000"/>
          <w:lang w:eastAsia="en-AU"/>
        </w:rPr>
        <w:t>, the</w:t>
      </w:r>
      <w:r w:rsidR="004F3335" w:rsidRPr="00AC1DA1">
        <w:rPr>
          <w:rFonts w:asciiTheme="minorHAnsi" w:eastAsia="Times New Roman" w:hAnsiTheme="minorHAnsi" w:cstheme="minorHAnsi"/>
          <w:i/>
          <w:iCs/>
          <w:color w:val="000000"/>
          <w:lang w:eastAsia="en-AU"/>
        </w:rPr>
        <w:t xml:space="preserve"> </w:t>
      </w:r>
      <w:r w:rsidRPr="00AC1DA1">
        <w:rPr>
          <w:rFonts w:asciiTheme="minorHAnsi" w:eastAsia="Times New Roman" w:hAnsiTheme="minorHAnsi" w:cstheme="minorHAnsi"/>
          <w:i/>
          <w:iCs/>
          <w:color w:val="000000"/>
          <w:lang w:eastAsia="en-AU"/>
        </w:rPr>
        <w:t>Evidence Act 1939</w:t>
      </w:r>
      <w:r>
        <w:rPr>
          <w:rFonts w:asciiTheme="minorHAnsi" w:eastAsia="Times New Roman" w:hAnsiTheme="minorHAnsi" w:cstheme="minorHAnsi"/>
          <w:i/>
          <w:iCs/>
          <w:color w:val="000000"/>
          <w:lang w:eastAsia="en-AU"/>
        </w:rPr>
        <w:t>,</w:t>
      </w:r>
      <w:r>
        <w:rPr>
          <w:rFonts w:asciiTheme="minorHAnsi" w:eastAsia="Times New Roman" w:hAnsiTheme="minorHAnsi" w:cstheme="minorHAnsi"/>
          <w:color w:val="000000"/>
          <w:lang w:eastAsia="en-AU"/>
        </w:rPr>
        <w:t xml:space="preserve"> </w:t>
      </w:r>
      <w:r w:rsidR="004F3335">
        <w:rPr>
          <w:rFonts w:asciiTheme="minorHAnsi" w:eastAsia="Times New Roman" w:hAnsiTheme="minorHAnsi" w:cstheme="minorHAnsi"/>
          <w:color w:val="000000"/>
          <w:lang w:eastAsia="en-AU"/>
        </w:rPr>
        <w:t xml:space="preserve">the </w:t>
      </w:r>
      <w:r w:rsidR="004F3335" w:rsidRPr="00AC1DA1">
        <w:rPr>
          <w:rFonts w:asciiTheme="minorHAnsi" w:eastAsia="Times New Roman" w:hAnsiTheme="minorHAnsi" w:cstheme="minorHAnsi"/>
          <w:i/>
          <w:iCs/>
          <w:color w:val="000000"/>
          <w:lang w:eastAsia="en-AU"/>
        </w:rPr>
        <w:t xml:space="preserve">Evidence (National Uniform Legislation) Act </w:t>
      </w:r>
      <w:r w:rsidRPr="00AC1DA1">
        <w:rPr>
          <w:rFonts w:asciiTheme="minorHAnsi" w:eastAsia="Times New Roman" w:hAnsiTheme="minorHAnsi" w:cstheme="minorHAnsi"/>
          <w:i/>
          <w:iCs/>
          <w:color w:val="000000"/>
          <w:lang w:eastAsia="en-AU"/>
        </w:rPr>
        <w:t>2011</w:t>
      </w:r>
      <w:r w:rsidR="004F3335">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 xml:space="preserve"> the </w:t>
      </w:r>
      <w:r w:rsidRPr="00AC1DA1">
        <w:rPr>
          <w:rFonts w:asciiTheme="minorHAnsi" w:eastAsia="Times New Roman" w:hAnsiTheme="minorHAnsi" w:cstheme="minorHAnsi"/>
          <w:i/>
          <w:iCs/>
          <w:color w:val="000000"/>
          <w:lang w:eastAsia="en-AU"/>
        </w:rPr>
        <w:t>Victims of Crime Assistance Act 2006</w:t>
      </w:r>
      <w:r>
        <w:rPr>
          <w:rFonts w:asciiTheme="minorHAnsi" w:eastAsia="Times New Roman" w:hAnsiTheme="minorHAnsi" w:cstheme="minorHAnsi"/>
          <w:color w:val="000000"/>
          <w:lang w:eastAsia="en-AU"/>
        </w:rPr>
        <w:t xml:space="preserve">, the </w:t>
      </w:r>
      <w:r w:rsidRPr="00AC1DA1">
        <w:rPr>
          <w:rFonts w:asciiTheme="minorHAnsi" w:eastAsia="Times New Roman" w:hAnsiTheme="minorHAnsi" w:cstheme="minorHAnsi"/>
          <w:i/>
          <w:iCs/>
          <w:color w:val="000000"/>
          <w:lang w:eastAsia="en-AU"/>
        </w:rPr>
        <w:t>Victims of Crime Rights and Services Act 2006</w:t>
      </w:r>
      <w:r w:rsidR="00AB0AD5">
        <w:rPr>
          <w:rFonts w:asciiTheme="minorHAnsi" w:eastAsia="Times New Roman" w:hAnsiTheme="minorHAnsi" w:cstheme="minorHAnsi"/>
          <w:i/>
          <w:iCs/>
          <w:color w:val="000000"/>
          <w:lang w:eastAsia="en-AU"/>
        </w:rPr>
        <w:t>,</w:t>
      </w:r>
      <w:r w:rsidR="004F3335">
        <w:rPr>
          <w:rFonts w:asciiTheme="minorHAnsi" w:eastAsia="Times New Roman" w:hAnsiTheme="minorHAnsi" w:cstheme="minorHAnsi"/>
          <w:color w:val="000000"/>
          <w:lang w:eastAsia="en-AU"/>
        </w:rPr>
        <w:t xml:space="preserve"> </w:t>
      </w:r>
      <w:r w:rsidR="00923015">
        <w:rPr>
          <w:rFonts w:asciiTheme="minorHAnsi" w:eastAsia="Times New Roman" w:hAnsiTheme="minorHAnsi" w:cstheme="minorHAnsi"/>
          <w:color w:val="000000"/>
          <w:lang w:eastAsia="en-AU"/>
        </w:rPr>
        <w:t xml:space="preserve">and </w:t>
      </w:r>
      <w:r w:rsidR="00E06B0B">
        <w:rPr>
          <w:rFonts w:asciiTheme="minorHAnsi" w:eastAsia="Times New Roman" w:hAnsiTheme="minorHAnsi" w:cstheme="minorHAnsi"/>
          <w:color w:val="000000"/>
          <w:lang w:eastAsia="en-AU"/>
        </w:rPr>
        <w:t xml:space="preserve">the </w:t>
      </w:r>
      <w:r w:rsidR="00E06B0B" w:rsidRPr="00E06B0B">
        <w:rPr>
          <w:rFonts w:asciiTheme="minorHAnsi" w:eastAsia="Times New Roman" w:hAnsiTheme="minorHAnsi" w:cstheme="minorHAnsi"/>
          <w:i/>
          <w:iCs/>
          <w:color w:val="000000"/>
          <w:lang w:eastAsia="en-AU"/>
        </w:rPr>
        <w:t>Local Court (Criminal Procedure) Act 1928</w:t>
      </w:r>
      <w:r w:rsidR="00923015">
        <w:rPr>
          <w:rFonts w:asciiTheme="minorHAnsi" w:eastAsia="Times New Roman" w:hAnsiTheme="minorHAnsi" w:cstheme="minorHAnsi"/>
          <w:color w:val="000000"/>
          <w:lang w:eastAsia="en-AU"/>
        </w:rPr>
        <w:t>.</w:t>
      </w:r>
      <w:r w:rsidR="00810BA6">
        <w:rPr>
          <w:rFonts w:asciiTheme="minorHAnsi" w:eastAsia="Times New Roman" w:hAnsiTheme="minorHAnsi" w:cstheme="minorHAnsi"/>
          <w:color w:val="000000"/>
          <w:lang w:eastAsia="en-AU"/>
        </w:rPr>
        <w:t xml:space="preserve"> </w:t>
      </w:r>
      <w:r w:rsidR="00453F87">
        <w:rPr>
          <w:rFonts w:asciiTheme="minorHAnsi" w:eastAsia="Times New Roman" w:hAnsiTheme="minorHAnsi" w:cstheme="minorHAnsi"/>
          <w:color w:val="000000"/>
          <w:lang w:eastAsia="en-AU"/>
        </w:rPr>
        <w:t xml:space="preserve"> Amendments to some of this legislation are proposed in this paper.</w:t>
      </w:r>
    </w:p>
    <w:p w14:paraId="6827C072" w14:textId="3B1C73A7" w:rsidR="00EC698A" w:rsidRDefault="00EC698A" w:rsidP="00810BA6">
      <w:pPr>
        <w:pStyle w:val="Heading2"/>
        <w:keepNext/>
        <w:ind w:left="1134" w:hanging="578"/>
        <w:rPr>
          <w:lang w:eastAsia="en-AU"/>
        </w:rPr>
      </w:pPr>
      <w:bookmarkStart w:id="13" w:name="_Toc112051803"/>
      <w:r>
        <w:rPr>
          <w:lang w:eastAsia="en-AU"/>
        </w:rPr>
        <w:t>High risk factors</w:t>
      </w:r>
      <w:bookmarkEnd w:id="13"/>
    </w:p>
    <w:p w14:paraId="7415B481" w14:textId="77777777" w:rsidR="00BC1122" w:rsidRDefault="0086113F" w:rsidP="00EC698A">
      <w:pPr>
        <w:rPr>
          <w:lang w:eastAsia="en-AU"/>
        </w:rPr>
      </w:pPr>
      <w:r>
        <w:rPr>
          <w:lang w:eastAsia="en-AU"/>
        </w:rPr>
        <w:t xml:space="preserve">The proposals in this </w:t>
      </w:r>
      <w:r w:rsidR="009F3970">
        <w:rPr>
          <w:lang w:eastAsia="en-AU"/>
        </w:rPr>
        <w:t xml:space="preserve">paper </w:t>
      </w:r>
      <w:r>
        <w:rPr>
          <w:lang w:eastAsia="en-AU"/>
        </w:rPr>
        <w:t>have endeavoured to take into account the high</w:t>
      </w:r>
      <w:r w:rsidR="009F3970">
        <w:rPr>
          <w:lang w:eastAsia="en-AU"/>
        </w:rPr>
        <w:t>-</w:t>
      </w:r>
      <w:r>
        <w:rPr>
          <w:lang w:eastAsia="en-AU"/>
        </w:rPr>
        <w:t xml:space="preserve">risk factors for serious harm </w:t>
      </w:r>
      <w:r w:rsidR="00BC1122">
        <w:rPr>
          <w:lang w:eastAsia="en-AU"/>
        </w:rPr>
        <w:t xml:space="preserve">and death in DFV circumstances.  </w:t>
      </w:r>
    </w:p>
    <w:p w14:paraId="580ECF8C" w14:textId="0E4A0B63" w:rsidR="00EC698A" w:rsidRDefault="00BC1122" w:rsidP="00EC698A">
      <w:pPr>
        <w:rPr>
          <w:lang w:eastAsia="en-AU"/>
        </w:rPr>
      </w:pPr>
      <w:r>
        <w:rPr>
          <w:lang w:eastAsia="en-AU"/>
        </w:rPr>
        <w:t xml:space="preserve">These </w:t>
      </w:r>
      <w:r w:rsidR="00EC698A">
        <w:rPr>
          <w:lang w:eastAsia="en-AU"/>
        </w:rPr>
        <w:t>have been identified during the development of the NT’s</w:t>
      </w:r>
      <w:r w:rsidR="00EC698A" w:rsidRPr="00B26281">
        <w:rPr>
          <w:i/>
          <w:lang w:eastAsia="en-AU"/>
        </w:rPr>
        <w:t xml:space="preserve"> DFV Risk Assessment and Management Framework</w:t>
      </w:r>
      <w:r w:rsidR="006334F7">
        <w:rPr>
          <w:i/>
          <w:lang w:eastAsia="en-AU"/>
        </w:rPr>
        <w:t xml:space="preserve"> </w:t>
      </w:r>
      <w:r w:rsidR="006334F7" w:rsidRPr="006334F7">
        <w:rPr>
          <w:iCs/>
          <w:lang w:eastAsia="en-AU"/>
        </w:rPr>
        <w:t>(RAMF)</w:t>
      </w:r>
      <w:r w:rsidR="00EC698A" w:rsidRPr="006334F7">
        <w:rPr>
          <w:iCs/>
          <w:lang w:eastAsia="en-AU"/>
        </w:rPr>
        <w:t>.</w:t>
      </w:r>
      <w:r w:rsidR="005506B7" w:rsidRPr="006334F7">
        <w:rPr>
          <w:rStyle w:val="FootnoteReference"/>
          <w:iCs/>
          <w:lang w:eastAsia="en-AU"/>
        </w:rPr>
        <w:footnoteReference w:id="48"/>
      </w:r>
      <w:r w:rsidR="00EC698A">
        <w:rPr>
          <w:lang w:eastAsia="en-AU"/>
        </w:rPr>
        <w:t xml:space="preserve"> This Framework was informed by extensive research and </w:t>
      </w:r>
      <w:r>
        <w:rPr>
          <w:lang w:eastAsia="en-AU"/>
        </w:rPr>
        <w:t>coroner’s findings and recommendations.  It</w:t>
      </w:r>
      <w:r w:rsidR="00EC698A">
        <w:rPr>
          <w:lang w:eastAsia="en-AU"/>
        </w:rPr>
        <w:t xml:space="preserve"> builds on the </w:t>
      </w:r>
      <w:r w:rsidR="00EC698A" w:rsidRPr="00B26281">
        <w:rPr>
          <w:i/>
        </w:rPr>
        <w:t xml:space="preserve">National Risk Assessment Principles </w:t>
      </w:r>
      <w:r w:rsidR="00EC698A">
        <w:rPr>
          <w:i/>
        </w:rPr>
        <w:t>for Family and Domestic Violence</w:t>
      </w:r>
      <w:r w:rsidR="00EC698A">
        <w:t xml:space="preserve"> </w:t>
      </w:r>
      <w:r>
        <w:t>published by ANROWS</w:t>
      </w:r>
      <w:r w:rsidR="00EC698A" w:rsidRPr="00B26281">
        <w:t xml:space="preserve"> in 2018</w:t>
      </w:r>
      <w:r w:rsidR="00EC698A">
        <w:rPr>
          <w:i/>
        </w:rPr>
        <w:t>.</w:t>
      </w:r>
      <w:r w:rsidR="00EC698A">
        <w:rPr>
          <w:rStyle w:val="FootnoteReference"/>
          <w:lang w:eastAsia="en-AU"/>
        </w:rPr>
        <w:footnoteReference w:id="49"/>
      </w:r>
    </w:p>
    <w:p w14:paraId="4B3D0A8C" w14:textId="342D197C" w:rsidR="00EC698A" w:rsidRDefault="00D8724A" w:rsidP="00810BA6">
      <w:pPr>
        <w:keepNext/>
        <w:rPr>
          <w:lang w:eastAsia="en-AU"/>
        </w:rPr>
      </w:pPr>
      <w:r>
        <w:rPr>
          <w:lang w:eastAsia="en-AU"/>
        </w:rPr>
        <w:lastRenderedPageBreak/>
        <w:t>The</w:t>
      </w:r>
      <w:r w:rsidR="00EC698A">
        <w:rPr>
          <w:lang w:eastAsia="en-AU"/>
        </w:rPr>
        <w:t xml:space="preserve"> high</w:t>
      </w:r>
      <w:r w:rsidR="00BC1122">
        <w:rPr>
          <w:lang w:eastAsia="en-AU"/>
        </w:rPr>
        <w:t>-</w:t>
      </w:r>
      <w:r w:rsidR="00EC698A">
        <w:rPr>
          <w:lang w:eastAsia="en-AU"/>
        </w:rPr>
        <w:t>risk factors for serious harm or death in DFV circumstances include:</w:t>
      </w:r>
      <w:r w:rsidR="006726B8" w:rsidRPr="006726B8">
        <w:rPr>
          <w:rStyle w:val="FootnoteReference"/>
          <w:lang w:eastAsia="en-AU"/>
        </w:rPr>
        <w:t xml:space="preserve"> </w:t>
      </w:r>
      <w:r w:rsidR="006726B8">
        <w:rPr>
          <w:rStyle w:val="FootnoteReference"/>
          <w:lang w:eastAsia="en-AU"/>
        </w:rPr>
        <w:footnoteReference w:id="50"/>
      </w:r>
    </w:p>
    <w:p w14:paraId="7FCA6AC8" w14:textId="1AEE8858" w:rsidR="00EC698A" w:rsidRDefault="00810BA6" w:rsidP="0067521E">
      <w:pPr>
        <w:pStyle w:val="ListParagraph"/>
        <w:numPr>
          <w:ilvl w:val="0"/>
          <w:numId w:val="119"/>
        </w:numPr>
        <w:ind w:left="993" w:hanging="426"/>
        <w:rPr>
          <w:lang w:eastAsia="en-AU"/>
        </w:rPr>
      </w:pPr>
      <w:r>
        <w:rPr>
          <w:lang w:eastAsia="en-AU"/>
        </w:rPr>
        <w:t xml:space="preserve">the </w:t>
      </w:r>
      <w:r w:rsidR="00EC698A">
        <w:rPr>
          <w:lang w:eastAsia="en-AU"/>
        </w:rPr>
        <w:t>perpetrator has a previous history of violence</w:t>
      </w:r>
      <w:r>
        <w:rPr>
          <w:lang w:eastAsia="en-AU"/>
        </w:rPr>
        <w:t>;</w:t>
      </w:r>
    </w:p>
    <w:p w14:paraId="136F7744" w14:textId="002429C7" w:rsidR="00EC698A" w:rsidRDefault="00810BA6" w:rsidP="0067521E">
      <w:pPr>
        <w:pStyle w:val="ListParagraph"/>
        <w:numPr>
          <w:ilvl w:val="0"/>
          <w:numId w:val="119"/>
        </w:numPr>
        <w:ind w:left="993" w:hanging="426"/>
        <w:rPr>
          <w:lang w:eastAsia="en-AU"/>
        </w:rPr>
      </w:pPr>
      <w:r>
        <w:rPr>
          <w:lang w:eastAsia="en-AU"/>
        </w:rPr>
        <w:t xml:space="preserve">alcohol </w:t>
      </w:r>
      <w:r w:rsidR="00EC698A">
        <w:rPr>
          <w:lang w:eastAsia="en-AU"/>
        </w:rPr>
        <w:t>or drug misuse or intoxication</w:t>
      </w:r>
      <w:r>
        <w:rPr>
          <w:lang w:eastAsia="en-AU"/>
        </w:rPr>
        <w:t>;</w:t>
      </w:r>
    </w:p>
    <w:p w14:paraId="2F0374BA" w14:textId="21EFED96" w:rsidR="00EC698A" w:rsidRDefault="00810BA6" w:rsidP="0067521E">
      <w:pPr>
        <w:pStyle w:val="ListParagraph"/>
        <w:numPr>
          <w:ilvl w:val="0"/>
          <w:numId w:val="119"/>
        </w:numPr>
        <w:ind w:left="993" w:hanging="426"/>
        <w:rPr>
          <w:lang w:eastAsia="en-AU"/>
        </w:rPr>
      </w:pPr>
      <w:r>
        <w:rPr>
          <w:lang w:eastAsia="en-AU"/>
        </w:rPr>
        <w:t xml:space="preserve">early </w:t>
      </w:r>
      <w:r w:rsidR="00EC698A">
        <w:rPr>
          <w:lang w:eastAsia="en-AU"/>
        </w:rPr>
        <w:t>onset of DFV in the relationship, or early possessiveness or jealousy</w:t>
      </w:r>
      <w:r>
        <w:rPr>
          <w:lang w:eastAsia="en-AU"/>
        </w:rPr>
        <w:t>;</w:t>
      </w:r>
    </w:p>
    <w:p w14:paraId="32A1E20E" w14:textId="50E0065F" w:rsidR="00EC698A" w:rsidRDefault="00810BA6" w:rsidP="0067521E">
      <w:pPr>
        <w:pStyle w:val="ListParagraph"/>
        <w:numPr>
          <w:ilvl w:val="0"/>
          <w:numId w:val="119"/>
        </w:numPr>
        <w:ind w:left="993" w:hanging="426"/>
        <w:rPr>
          <w:lang w:eastAsia="en-AU"/>
        </w:rPr>
      </w:pPr>
      <w:r>
        <w:rPr>
          <w:lang w:eastAsia="en-AU"/>
        </w:rPr>
        <w:t xml:space="preserve">separation </w:t>
      </w:r>
      <w:r w:rsidR="00EC698A">
        <w:rPr>
          <w:lang w:eastAsia="en-AU"/>
        </w:rPr>
        <w:t xml:space="preserve">(actual or pending) – </w:t>
      </w:r>
      <w:r w:rsidR="004857ED">
        <w:rPr>
          <w:lang w:eastAsia="en-AU"/>
        </w:rPr>
        <w:t>W</w:t>
      </w:r>
      <w:r w:rsidR="00EC698A">
        <w:rPr>
          <w:lang w:eastAsia="en-AU"/>
        </w:rPr>
        <w:t>omen victims are at high risk from male partners immediately after separation</w:t>
      </w:r>
      <w:r w:rsidR="000A0775">
        <w:rPr>
          <w:lang w:eastAsia="en-AU"/>
        </w:rPr>
        <w:t>;</w:t>
      </w:r>
    </w:p>
    <w:p w14:paraId="076A0ECD" w14:textId="4B72A78B" w:rsidR="00EC698A" w:rsidRDefault="00810BA6" w:rsidP="0067521E">
      <w:pPr>
        <w:pStyle w:val="ListParagraph"/>
        <w:numPr>
          <w:ilvl w:val="0"/>
          <w:numId w:val="119"/>
        </w:numPr>
        <w:ind w:left="993" w:hanging="426"/>
        <w:rPr>
          <w:lang w:eastAsia="en-AU"/>
        </w:rPr>
      </w:pPr>
      <w:r>
        <w:rPr>
          <w:lang w:eastAsia="en-AU"/>
        </w:rPr>
        <w:t>intimate partner sexual violence</w:t>
      </w:r>
      <w:r w:rsidR="000A0775">
        <w:rPr>
          <w:lang w:eastAsia="en-AU"/>
        </w:rPr>
        <w:t>;</w:t>
      </w:r>
    </w:p>
    <w:p w14:paraId="0AC68E8A" w14:textId="49B862C4" w:rsidR="00EC698A" w:rsidRDefault="00810BA6" w:rsidP="0067521E">
      <w:pPr>
        <w:pStyle w:val="ListParagraph"/>
        <w:numPr>
          <w:ilvl w:val="0"/>
          <w:numId w:val="119"/>
        </w:numPr>
        <w:ind w:left="993" w:hanging="426"/>
        <w:rPr>
          <w:lang w:eastAsia="en-AU"/>
        </w:rPr>
      </w:pPr>
      <w:r>
        <w:rPr>
          <w:lang w:eastAsia="en-AU"/>
        </w:rPr>
        <w:t>no</w:t>
      </w:r>
      <w:r w:rsidR="00EC698A">
        <w:rPr>
          <w:lang w:eastAsia="en-AU"/>
        </w:rPr>
        <w:t>n-lethal choking, strangulation or suffocation</w:t>
      </w:r>
      <w:r w:rsidR="000A0775">
        <w:rPr>
          <w:lang w:eastAsia="en-AU"/>
        </w:rPr>
        <w:t>;</w:t>
      </w:r>
    </w:p>
    <w:p w14:paraId="7E570338" w14:textId="0FE68885" w:rsidR="00EC698A" w:rsidRDefault="00810BA6" w:rsidP="0067521E">
      <w:pPr>
        <w:pStyle w:val="ListParagraph"/>
        <w:numPr>
          <w:ilvl w:val="0"/>
          <w:numId w:val="119"/>
        </w:numPr>
        <w:ind w:left="993" w:hanging="426"/>
        <w:rPr>
          <w:lang w:eastAsia="en-AU"/>
        </w:rPr>
      </w:pPr>
      <w:r>
        <w:rPr>
          <w:lang w:eastAsia="en-AU"/>
        </w:rPr>
        <w:t xml:space="preserve">the </w:t>
      </w:r>
      <w:r w:rsidR="00D8724A">
        <w:rPr>
          <w:lang w:eastAsia="en-AU"/>
        </w:rPr>
        <w:t>perpetrator has stalked the family members</w:t>
      </w:r>
      <w:r w:rsidR="000A0775">
        <w:rPr>
          <w:lang w:eastAsia="en-AU"/>
        </w:rPr>
        <w:t>;</w:t>
      </w:r>
    </w:p>
    <w:p w14:paraId="6B23794C" w14:textId="57577E59" w:rsidR="00EC698A" w:rsidRDefault="00810BA6" w:rsidP="0067521E">
      <w:pPr>
        <w:pStyle w:val="ListParagraph"/>
        <w:numPr>
          <w:ilvl w:val="0"/>
          <w:numId w:val="119"/>
        </w:numPr>
        <w:ind w:left="993" w:hanging="426"/>
        <w:rPr>
          <w:lang w:eastAsia="en-AU"/>
        </w:rPr>
      </w:pPr>
      <w:r>
        <w:rPr>
          <w:lang w:eastAsia="en-AU"/>
        </w:rPr>
        <w:t xml:space="preserve">the </w:t>
      </w:r>
      <w:r w:rsidR="00D8724A">
        <w:rPr>
          <w:lang w:eastAsia="en-AU"/>
        </w:rPr>
        <w:t>perpetrator has threatened to kill a family member</w:t>
      </w:r>
      <w:r w:rsidR="000A0775">
        <w:rPr>
          <w:lang w:eastAsia="en-AU"/>
        </w:rPr>
        <w:t>;</w:t>
      </w:r>
    </w:p>
    <w:p w14:paraId="4AF13F7C" w14:textId="39D59643" w:rsidR="00EC698A" w:rsidRDefault="00810BA6" w:rsidP="0067521E">
      <w:pPr>
        <w:pStyle w:val="ListParagraph"/>
        <w:numPr>
          <w:ilvl w:val="0"/>
          <w:numId w:val="119"/>
        </w:numPr>
        <w:ind w:left="993" w:hanging="426"/>
        <w:rPr>
          <w:lang w:eastAsia="en-AU"/>
        </w:rPr>
      </w:pPr>
      <w:r>
        <w:rPr>
          <w:lang w:eastAsia="en-AU"/>
        </w:rPr>
        <w:t xml:space="preserve">access </w:t>
      </w:r>
      <w:r w:rsidR="00EC698A">
        <w:rPr>
          <w:lang w:eastAsia="en-AU"/>
        </w:rPr>
        <w:t>to</w:t>
      </w:r>
      <w:r w:rsidR="00D8724A">
        <w:rPr>
          <w:lang w:eastAsia="en-AU"/>
        </w:rPr>
        <w:t>, or past use of,</w:t>
      </w:r>
      <w:r w:rsidR="00EC698A">
        <w:rPr>
          <w:lang w:eastAsia="en-AU"/>
        </w:rPr>
        <w:t xml:space="preserve"> weapons or objects to injure, kill or destroy property</w:t>
      </w:r>
      <w:r w:rsidR="000A0775">
        <w:rPr>
          <w:lang w:eastAsia="en-AU"/>
        </w:rPr>
        <w:t>;</w:t>
      </w:r>
    </w:p>
    <w:p w14:paraId="241D6106" w14:textId="41B5E778" w:rsidR="00EC698A" w:rsidRDefault="00810BA6" w:rsidP="0067521E">
      <w:pPr>
        <w:pStyle w:val="ListParagraph"/>
        <w:numPr>
          <w:ilvl w:val="0"/>
          <w:numId w:val="119"/>
        </w:numPr>
        <w:ind w:left="993" w:hanging="426"/>
        <w:rPr>
          <w:lang w:eastAsia="en-AU"/>
        </w:rPr>
      </w:pPr>
      <w:r>
        <w:rPr>
          <w:lang w:eastAsia="en-AU"/>
        </w:rPr>
        <w:t xml:space="preserve">escalation </w:t>
      </w:r>
      <w:r w:rsidR="00EC698A">
        <w:rPr>
          <w:lang w:eastAsia="en-AU"/>
        </w:rPr>
        <w:t>in the frequency and/or severity of violence over time</w:t>
      </w:r>
      <w:r w:rsidR="000A0775">
        <w:rPr>
          <w:lang w:eastAsia="en-AU"/>
        </w:rPr>
        <w:t>;</w:t>
      </w:r>
    </w:p>
    <w:p w14:paraId="161FE904" w14:textId="718078FF" w:rsidR="00EC698A" w:rsidRDefault="00810BA6" w:rsidP="0067521E">
      <w:pPr>
        <w:pStyle w:val="ListParagraph"/>
        <w:numPr>
          <w:ilvl w:val="0"/>
          <w:numId w:val="119"/>
        </w:numPr>
        <w:ind w:left="993" w:hanging="426"/>
        <w:rPr>
          <w:lang w:eastAsia="en-AU"/>
        </w:rPr>
      </w:pPr>
      <w:r>
        <w:rPr>
          <w:lang w:eastAsia="en-AU"/>
        </w:rPr>
        <w:t xml:space="preserve">the </w:t>
      </w:r>
      <w:r w:rsidR="00EC698A">
        <w:rPr>
          <w:lang w:eastAsia="en-AU"/>
        </w:rPr>
        <w:t>presence of coercive control</w:t>
      </w:r>
      <w:r w:rsidR="000A0775">
        <w:rPr>
          <w:lang w:eastAsia="en-AU"/>
        </w:rPr>
        <w:t>;</w:t>
      </w:r>
    </w:p>
    <w:p w14:paraId="613AFD04" w14:textId="05F05380" w:rsidR="00EC698A" w:rsidRDefault="00810BA6" w:rsidP="0067521E">
      <w:pPr>
        <w:pStyle w:val="ListParagraph"/>
        <w:numPr>
          <w:ilvl w:val="0"/>
          <w:numId w:val="119"/>
        </w:numPr>
        <w:ind w:left="993" w:hanging="426"/>
        <w:rPr>
          <w:lang w:eastAsia="en-AU"/>
        </w:rPr>
      </w:pPr>
      <w:r>
        <w:rPr>
          <w:lang w:eastAsia="en-AU"/>
        </w:rPr>
        <w:t xml:space="preserve">the </w:t>
      </w:r>
      <w:r w:rsidR="00D8724A">
        <w:rPr>
          <w:lang w:eastAsia="en-AU"/>
        </w:rPr>
        <w:t>perpetrator threatened</w:t>
      </w:r>
      <w:r w:rsidR="00EC698A">
        <w:rPr>
          <w:lang w:eastAsia="en-AU"/>
        </w:rPr>
        <w:t xml:space="preserve"> or attempt</w:t>
      </w:r>
      <w:r w:rsidR="000D2E62">
        <w:rPr>
          <w:lang w:eastAsia="en-AU"/>
        </w:rPr>
        <w:t>ed</w:t>
      </w:r>
      <w:r w:rsidR="00EC698A">
        <w:rPr>
          <w:lang w:eastAsia="en-AU"/>
        </w:rPr>
        <w:t xml:space="preserve"> to self-harm or suicide</w:t>
      </w:r>
      <w:r w:rsidR="000A0775">
        <w:rPr>
          <w:lang w:eastAsia="en-AU"/>
        </w:rPr>
        <w:t>;</w:t>
      </w:r>
      <w:r w:rsidR="00EC698A">
        <w:rPr>
          <w:lang w:eastAsia="en-AU"/>
        </w:rPr>
        <w:t xml:space="preserve"> </w:t>
      </w:r>
    </w:p>
    <w:p w14:paraId="2F0975FE" w14:textId="6374D11C" w:rsidR="00EC698A" w:rsidRDefault="00810BA6" w:rsidP="0067521E">
      <w:pPr>
        <w:pStyle w:val="ListParagraph"/>
        <w:numPr>
          <w:ilvl w:val="0"/>
          <w:numId w:val="119"/>
        </w:numPr>
        <w:ind w:left="993" w:hanging="426"/>
        <w:rPr>
          <w:lang w:eastAsia="en-AU"/>
        </w:rPr>
      </w:pPr>
      <w:r>
        <w:rPr>
          <w:lang w:eastAsia="en-AU"/>
        </w:rPr>
        <w:t xml:space="preserve">upcoming </w:t>
      </w:r>
      <w:r w:rsidR="00EC698A">
        <w:rPr>
          <w:lang w:eastAsia="en-AU"/>
        </w:rPr>
        <w:t>or recent release from prison</w:t>
      </w:r>
      <w:r w:rsidR="000A0775">
        <w:rPr>
          <w:lang w:eastAsia="en-AU"/>
        </w:rPr>
        <w:t>;</w:t>
      </w:r>
      <w:r w:rsidR="00D8724A">
        <w:rPr>
          <w:lang w:eastAsia="en-AU"/>
        </w:rPr>
        <w:t xml:space="preserve"> </w:t>
      </w:r>
    </w:p>
    <w:p w14:paraId="19006E90" w14:textId="2C83AFC4" w:rsidR="00EC698A" w:rsidRDefault="00810BA6" w:rsidP="0067521E">
      <w:pPr>
        <w:pStyle w:val="ListParagraph"/>
        <w:numPr>
          <w:ilvl w:val="0"/>
          <w:numId w:val="119"/>
        </w:numPr>
        <w:ind w:left="993" w:hanging="426"/>
        <w:rPr>
          <w:lang w:eastAsia="en-AU"/>
        </w:rPr>
      </w:pPr>
      <w:r>
        <w:rPr>
          <w:lang w:eastAsia="en-AU"/>
        </w:rPr>
        <w:t xml:space="preserve">previous </w:t>
      </w:r>
      <w:r w:rsidR="00EC698A">
        <w:rPr>
          <w:lang w:eastAsia="en-AU"/>
        </w:rPr>
        <w:t>o</w:t>
      </w:r>
      <w:r w:rsidR="004857ED">
        <w:rPr>
          <w:lang w:eastAsia="en-AU"/>
        </w:rPr>
        <w:t>r</w:t>
      </w:r>
      <w:r w:rsidR="00EC698A">
        <w:rPr>
          <w:lang w:eastAsia="en-AU"/>
        </w:rPr>
        <w:t xml:space="preserve"> current breach of court orders/DVO</w:t>
      </w:r>
      <w:r w:rsidR="000A0775">
        <w:rPr>
          <w:lang w:eastAsia="en-AU"/>
        </w:rPr>
        <w:t>;</w:t>
      </w:r>
    </w:p>
    <w:p w14:paraId="18B5008C" w14:textId="334B8043" w:rsidR="00BC19F2" w:rsidRDefault="00810BA6" w:rsidP="0067521E">
      <w:pPr>
        <w:pStyle w:val="ListParagraph"/>
        <w:numPr>
          <w:ilvl w:val="0"/>
          <w:numId w:val="119"/>
        </w:numPr>
        <w:spacing w:after="200"/>
        <w:ind w:left="992" w:hanging="425"/>
        <w:rPr>
          <w:lang w:eastAsia="en-AU"/>
        </w:rPr>
      </w:pPr>
      <w:r>
        <w:rPr>
          <w:lang w:eastAsia="en-AU"/>
        </w:rPr>
        <w:t xml:space="preserve">the </w:t>
      </w:r>
      <w:r w:rsidR="004857ED">
        <w:rPr>
          <w:lang w:eastAsia="en-AU"/>
        </w:rPr>
        <w:t>victim-survivor is pregnant or has</w:t>
      </w:r>
      <w:r w:rsidR="0089289C">
        <w:rPr>
          <w:lang w:eastAsia="en-AU"/>
        </w:rPr>
        <w:t xml:space="preserve"> a new baby.</w:t>
      </w:r>
    </w:p>
    <w:p w14:paraId="4A4C3898" w14:textId="77777777" w:rsidR="000D2E62" w:rsidRDefault="006334F7" w:rsidP="006334F7">
      <w:pPr>
        <w:rPr>
          <w:lang w:eastAsia="en-AU"/>
        </w:rPr>
      </w:pPr>
      <w:r>
        <w:rPr>
          <w:lang w:eastAsia="en-AU"/>
        </w:rPr>
        <w:t>The above factors must be considered to identify and manage the risk of DFV and have been incorporate</w:t>
      </w:r>
      <w:r w:rsidR="000D2E62">
        <w:rPr>
          <w:lang w:eastAsia="en-AU"/>
        </w:rPr>
        <w:t>d</w:t>
      </w:r>
      <w:r>
        <w:rPr>
          <w:lang w:eastAsia="en-AU"/>
        </w:rPr>
        <w:t xml:space="preserve"> into the RAMF. </w:t>
      </w:r>
      <w:r w:rsidR="004F19EA">
        <w:rPr>
          <w:lang w:eastAsia="en-AU"/>
        </w:rPr>
        <w:t xml:space="preserve"> </w:t>
      </w:r>
    </w:p>
    <w:p w14:paraId="364DCB32" w14:textId="06E22240" w:rsidR="006334F7" w:rsidRDefault="000D2E62" w:rsidP="006334F7">
      <w:pPr>
        <w:rPr>
          <w:lang w:eastAsia="en-AU"/>
        </w:rPr>
      </w:pPr>
      <w:r>
        <w:rPr>
          <w:lang w:eastAsia="en-AU"/>
        </w:rPr>
        <w:t>This is important because the assessment of the future risk of DFV should not be based on the</w:t>
      </w:r>
      <w:r w:rsidR="006334F7">
        <w:rPr>
          <w:lang w:eastAsia="en-AU"/>
        </w:rPr>
        <w:t xml:space="preserve"> nature and severity of </w:t>
      </w:r>
      <w:r w:rsidR="004F19EA">
        <w:rPr>
          <w:lang w:eastAsia="en-AU"/>
        </w:rPr>
        <w:t>the presenting injury</w:t>
      </w:r>
      <w:r>
        <w:rPr>
          <w:lang w:eastAsia="en-AU"/>
        </w:rPr>
        <w:t xml:space="preserve"> alone (</w:t>
      </w:r>
      <w:r w:rsidR="004F19EA">
        <w:rPr>
          <w:lang w:eastAsia="en-AU"/>
        </w:rPr>
        <w:t>although that is one important factor to be taken into account</w:t>
      </w:r>
      <w:r>
        <w:rPr>
          <w:lang w:eastAsia="en-AU"/>
        </w:rPr>
        <w:t>)</w:t>
      </w:r>
      <w:r w:rsidR="004F19EA">
        <w:rPr>
          <w:lang w:eastAsia="en-AU"/>
        </w:rPr>
        <w:t>.</w:t>
      </w:r>
      <w:r w:rsidR="000A0775">
        <w:rPr>
          <w:lang w:eastAsia="en-AU"/>
        </w:rPr>
        <w:t xml:space="preserve"> </w:t>
      </w:r>
      <w:r w:rsidR="00894FB3">
        <w:rPr>
          <w:lang w:eastAsia="en-AU"/>
        </w:rPr>
        <w:t xml:space="preserve"> Rather </w:t>
      </w:r>
      <w:r>
        <w:rPr>
          <w:lang w:eastAsia="en-AU"/>
        </w:rPr>
        <w:t>assessment of the above factors and dynamics are critical in efforts to identify and manage future risk of DFV.</w:t>
      </w:r>
    </w:p>
    <w:p w14:paraId="554DAAE0" w14:textId="2D564D87" w:rsidR="00894FB3" w:rsidRDefault="00894FB3" w:rsidP="006334F7">
      <w:pPr>
        <w:rPr>
          <w:lang w:eastAsia="en-AU"/>
        </w:rPr>
      </w:pPr>
      <w:r>
        <w:rPr>
          <w:lang w:eastAsia="en-AU"/>
        </w:rPr>
        <w:t>These factors have informed the RAMF and must also be built in to each agencies response to DFV.</w:t>
      </w:r>
    </w:p>
    <w:p w14:paraId="5E0A8DAC" w14:textId="0427AA21" w:rsidR="00BC19F2" w:rsidRDefault="00BC19F2" w:rsidP="00ED0FB7">
      <w:pPr>
        <w:pStyle w:val="Heading2"/>
        <w:keepNext/>
        <w:ind w:left="1134" w:hanging="578"/>
        <w:rPr>
          <w:lang w:eastAsia="en-AU"/>
        </w:rPr>
      </w:pPr>
      <w:bookmarkStart w:id="14" w:name="_Toc112051804"/>
      <w:r>
        <w:rPr>
          <w:lang w:eastAsia="en-AU"/>
        </w:rPr>
        <w:t>Misidentification</w:t>
      </w:r>
      <w:bookmarkEnd w:id="14"/>
    </w:p>
    <w:p w14:paraId="4BF09018" w14:textId="313BC1FB" w:rsidR="00A5205D" w:rsidRDefault="00D62361" w:rsidP="000A0775">
      <w:pPr>
        <w:spacing w:line="276" w:lineRule="auto"/>
      </w:pPr>
      <w:r>
        <w:t>One of the challenges in effectively responding to DFV</w:t>
      </w:r>
      <w:r w:rsidR="00A5205D" w:rsidRPr="00D62361">
        <w:t xml:space="preserve"> is how to reduce the misidentification </w:t>
      </w:r>
      <w:r>
        <w:t xml:space="preserve">of </w:t>
      </w:r>
      <w:r w:rsidR="00112240">
        <w:t>the victim and the perpetrator</w:t>
      </w:r>
      <w:r w:rsidR="00A5205D" w:rsidRPr="00D62361">
        <w:t xml:space="preserve"> in DFV proceed</w:t>
      </w:r>
      <w:r>
        <w:t xml:space="preserve">ings.  Misidentification is a significant impediment to the safety of victim-survivors and is a theme throughout this </w:t>
      </w:r>
      <w:r w:rsidR="00210E52">
        <w:t>paper</w:t>
      </w:r>
      <w:r>
        <w:t>.</w:t>
      </w:r>
      <w:r w:rsidR="00112240">
        <w:t xml:space="preserve">  </w:t>
      </w:r>
      <w:r w:rsidR="00210E52">
        <w:t>It is important for law, procedure and training to minimise misidentification as far as possible.</w:t>
      </w:r>
    </w:p>
    <w:p w14:paraId="445749C9" w14:textId="5DA11B59" w:rsidR="0086113F" w:rsidRDefault="00927BB8" w:rsidP="000A0775">
      <w:pPr>
        <w:spacing w:line="276" w:lineRule="auto"/>
      </w:pPr>
      <w:r>
        <w:rPr>
          <w:lang w:eastAsia="en-AU"/>
        </w:rPr>
        <w:t>S</w:t>
      </w:r>
      <w:r w:rsidR="0086113F">
        <w:t>pecialist DFV serv</w:t>
      </w:r>
      <w:r w:rsidR="002B0483">
        <w:t>ices have expressed concern about the</w:t>
      </w:r>
      <w:r w:rsidR="0086113F">
        <w:t xml:space="preserve"> growing n</w:t>
      </w:r>
      <w:r w:rsidR="00ED0FB7">
        <w:t>umber of women who are both (1) </w:t>
      </w:r>
      <w:r w:rsidR="0086113F">
        <w:t xml:space="preserve">long term </w:t>
      </w:r>
      <w:r w:rsidR="00ED0FB7">
        <w:t>victim-survivors of DFV and (2) </w:t>
      </w:r>
      <w:r w:rsidR="0086113F">
        <w:t>named as defendants in DVO applications or orders.</w:t>
      </w:r>
      <w:r w:rsidR="0086113F">
        <w:rPr>
          <w:rStyle w:val="FootnoteReference"/>
        </w:rPr>
        <w:footnoteReference w:id="51"/>
      </w:r>
      <w:r w:rsidR="0086113F">
        <w:rPr>
          <w:lang w:eastAsia="en-AU"/>
        </w:rPr>
        <w:t xml:space="preserve">  </w:t>
      </w:r>
      <w:r w:rsidR="00941AF3">
        <w:rPr>
          <w:lang w:eastAsia="en-AU"/>
        </w:rPr>
        <w:lastRenderedPageBreak/>
        <w:t xml:space="preserve">This has been identified </w:t>
      </w:r>
      <w:r w:rsidR="00AC4007">
        <w:rPr>
          <w:lang w:eastAsia="en-AU"/>
        </w:rPr>
        <w:t>in the NT and in other jurisdictions.</w:t>
      </w:r>
      <w:r w:rsidR="00AC4007">
        <w:rPr>
          <w:rStyle w:val="FootnoteReference"/>
          <w:lang w:eastAsia="en-AU"/>
        </w:rPr>
        <w:footnoteReference w:id="52"/>
      </w:r>
      <w:r w:rsidR="00941AF3">
        <w:rPr>
          <w:lang w:eastAsia="en-AU"/>
        </w:rPr>
        <w:t xml:space="preserve">  It is often referred to as the</w:t>
      </w:r>
      <w:r w:rsidR="002B0483">
        <w:rPr>
          <w:lang w:eastAsia="en-AU"/>
        </w:rPr>
        <w:t xml:space="preserve"> </w:t>
      </w:r>
      <w:r w:rsidR="006C3170">
        <w:rPr>
          <w:lang w:eastAsia="en-AU"/>
        </w:rPr>
        <w:t>misi</w:t>
      </w:r>
      <w:r w:rsidR="00112240">
        <w:rPr>
          <w:lang w:eastAsia="en-AU"/>
        </w:rPr>
        <w:t>dentification of the victim/</w:t>
      </w:r>
      <w:r w:rsidR="006C3170">
        <w:rPr>
          <w:lang w:eastAsia="en-AU"/>
        </w:rPr>
        <w:t xml:space="preserve">perpetrator or the </w:t>
      </w:r>
      <w:r w:rsidR="0086113F">
        <w:rPr>
          <w:lang w:eastAsia="en-AU"/>
        </w:rPr>
        <w:t>‘misidentification of the person</w:t>
      </w:r>
      <w:r w:rsidR="006C3170">
        <w:rPr>
          <w:lang w:eastAsia="en-AU"/>
        </w:rPr>
        <w:t xml:space="preserve"> most in need of protection.’</w:t>
      </w:r>
      <w:r w:rsidR="0086113F">
        <w:rPr>
          <w:lang w:eastAsia="en-AU"/>
        </w:rPr>
        <w:t xml:space="preserve"> </w:t>
      </w:r>
      <w:r w:rsidR="006C3170">
        <w:rPr>
          <w:lang w:eastAsia="en-AU"/>
        </w:rPr>
        <w:t xml:space="preserve"> </w:t>
      </w:r>
    </w:p>
    <w:p w14:paraId="5CD2E733" w14:textId="4601E74F" w:rsidR="00BC19F2" w:rsidRDefault="00941AF3" w:rsidP="000A0775">
      <w:pPr>
        <w:spacing w:after="120" w:line="276" w:lineRule="auto"/>
      </w:pPr>
      <w:r>
        <w:t>P</w:t>
      </w:r>
      <w:r w:rsidR="00BC19F2">
        <w:t xml:space="preserve">olice and courts </w:t>
      </w:r>
      <w:r>
        <w:t>face significant challenges in</w:t>
      </w:r>
      <w:r w:rsidR="00BC19F2">
        <w:t xml:space="preserve"> effectively responding to situations in which:</w:t>
      </w:r>
    </w:p>
    <w:p w14:paraId="21FC7821" w14:textId="1EEB1A5B" w:rsidR="00BC19F2" w:rsidRDefault="00BC19F2" w:rsidP="0067521E">
      <w:pPr>
        <w:pStyle w:val="ListParagraph"/>
        <w:numPr>
          <w:ilvl w:val="0"/>
          <w:numId w:val="21"/>
        </w:numPr>
        <w:spacing w:line="276" w:lineRule="auto"/>
        <w:ind w:left="993" w:hanging="426"/>
      </w:pPr>
      <w:r>
        <w:t>there ar</w:t>
      </w:r>
      <w:r w:rsidR="000A0775">
        <w:t>e cross-allegations of violence;</w:t>
      </w:r>
      <w:r>
        <w:t xml:space="preserve"> or </w:t>
      </w:r>
    </w:p>
    <w:p w14:paraId="6D995357" w14:textId="718F00AC" w:rsidR="00BC19F2" w:rsidRDefault="00BC19F2" w:rsidP="0067521E">
      <w:pPr>
        <w:pStyle w:val="ListParagraph"/>
        <w:numPr>
          <w:ilvl w:val="0"/>
          <w:numId w:val="21"/>
        </w:numPr>
        <w:spacing w:line="276" w:lineRule="auto"/>
        <w:ind w:left="993" w:hanging="426"/>
      </w:pPr>
      <w:r>
        <w:t xml:space="preserve">it is unclear who </w:t>
      </w:r>
      <w:r w:rsidR="000A0775">
        <w:t>committed violence against whom;</w:t>
      </w:r>
      <w:r>
        <w:t xml:space="preserve"> or </w:t>
      </w:r>
    </w:p>
    <w:p w14:paraId="2E1F2A24" w14:textId="2EE1EF86" w:rsidR="00BC19F2" w:rsidRDefault="00941AF3" w:rsidP="0067521E">
      <w:pPr>
        <w:pStyle w:val="ListParagraph"/>
        <w:numPr>
          <w:ilvl w:val="0"/>
          <w:numId w:val="21"/>
        </w:numPr>
        <w:spacing w:after="200" w:line="276" w:lineRule="auto"/>
        <w:ind w:left="993" w:hanging="426"/>
      </w:pPr>
      <w:r>
        <w:t xml:space="preserve">it may appear </w:t>
      </w:r>
      <w:r w:rsidR="00BC19F2">
        <w:t>that both parties have committed violence against each other.</w:t>
      </w:r>
    </w:p>
    <w:p w14:paraId="3256A1E0" w14:textId="182543F1" w:rsidR="00BC19F2" w:rsidRDefault="00BC19F2" w:rsidP="000A0775">
      <w:pPr>
        <w:spacing w:line="276" w:lineRule="auto"/>
      </w:pPr>
      <w:r>
        <w:t xml:space="preserve">A common response from police and courts is to make mutual DVOs, that is, a corresponding DVO against </w:t>
      </w:r>
      <w:r w:rsidR="005D207A">
        <w:t>both parties</w:t>
      </w:r>
      <w:r>
        <w:t xml:space="preserve">. </w:t>
      </w:r>
      <w:r w:rsidR="00927BB8">
        <w:t xml:space="preserve">In some cases, a DVO protecting both parties may genuinely be required. </w:t>
      </w:r>
      <w:r w:rsidR="000A0775">
        <w:t xml:space="preserve"> </w:t>
      </w:r>
      <w:r>
        <w:t>However, DFV is an abuse of power and as a result is usually not symmetrical.  In other words</w:t>
      </w:r>
      <w:r w:rsidR="005E1854">
        <w:t>,</w:t>
      </w:r>
      <w:r>
        <w:t xml:space="preserve"> experts are clear that it is only rarely perpetrated equally by both parties. </w:t>
      </w:r>
      <w:r w:rsidR="000A0775">
        <w:t xml:space="preserve"> </w:t>
      </w:r>
      <w:r w:rsidR="005E1854">
        <w:t>Typically</w:t>
      </w:r>
      <w:r>
        <w:t xml:space="preserve"> the violence by one party is more severe, has a long history or involves significant coercive control, causing the other party to have </w:t>
      </w:r>
      <w:r w:rsidR="005E1854">
        <w:t xml:space="preserve">justifiably </w:t>
      </w:r>
      <w:r>
        <w:t>greater fear of the commission of domestic violence.</w:t>
      </w:r>
      <w:r w:rsidR="00927BB8">
        <w:t xml:space="preserve">  </w:t>
      </w:r>
    </w:p>
    <w:p w14:paraId="7681F0FF" w14:textId="00DFE19D" w:rsidR="00BC19F2" w:rsidRDefault="00BC19F2" w:rsidP="000A0775">
      <w:pPr>
        <w:spacing w:line="276" w:lineRule="auto"/>
      </w:pPr>
      <w:r>
        <w:t>It is particularly concerning that there are high numbers of Aboriginal and Torres Stra</w:t>
      </w:r>
      <w:r w:rsidR="00112240">
        <w:t xml:space="preserve">it Islander women who are both </w:t>
      </w:r>
      <w:r>
        <w:t>victims of DFV and named as defendants in DVO applications or criminal matters.</w:t>
      </w:r>
      <w:r w:rsidR="00E132C7">
        <w:rPr>
          <w:rStyle w:val="FootnoteReference"/>
        </w:rPr>
        <w:footnoteReference w:id="53"/>
      </w:r>
    </w:p>
    <w:p w14:paraId="21405502" w14:textId="3686BAE7" w:rsidR="00BC19F2" w:rsidRDefault="00BC19F2" w:rsidP="000A0775">
      <w:pPr>
        <w:spacing w:line="276" w:lineRule="auto"/>
      </w:pPr>
      <w:r>
        <w:t>There are various reasons for misidentification of a DFV victim-survivor.</w:t>
      </w:r>
      <w:r w:rsidR="000A0775">
        <w:t xml:space="preserve"> </w:t>
      </w:r>
      <w:r>
        <w:t xml:space="preserve"> One reason may be that a long</w:t>
      </w:r>
      <w:r w:rsidR="006258C9">
        <w:t>-</w:t>
      </w:r>
      <w:r>
        <w:t>term victim</w:t>
      </w:r>
      <w:r w:rsidR="006258C9">
        <w:t>-survivor</w:t>
      </w:r>
      <w:r>
        <w:t xml:space="preserve"> of violence, actually uses violence themselves in self-defence or retaliation. </w:t>
      </w:r>
      <w:r w:rsidR="000A0775">
        <w:t xml:space="preserve"> </w:t>
      </w:r>
      <w:r>
        <w:t xml:space="preserve">However, in other cases the victim may have used no or little violence. </w:t>
      </w:r>
      <w:r w:rsidR="000A0775">
        <w:t xml:space="preserve"> </w:t>
      </w:r>
      <w:r>
        <w:t>There is a growing number of cases in which a long</w:t>
      </w:r>
      <w:r w:rsidR="006258C9">
        <w:t>-</w:t>
      </w:r>
      <w:r>
        <w:t>term offender uses the legal system as a vehicle to continue to harass, intim</w:t>
      </w:r>
      <w:r w:rsidR="000854F5">
        <w:t>id</w:t>
      </w:r>
      <w:r>
        <w:t xml:space="preserve">ate or control the victim (often referred to ‘systems abuse’).  For example, some long-term offenders contact the police first (or apply for their own DVO) alleging they are the victim of violence, as a tactic to gain the upper hand, or to deflect attention away from their own offending. </w:t>
      </w:r>
      <w:r>
        <w:rPr>
          <w:rStyle w:val="FootnoteReference"/>
        </w:rPr>
        <w:footnoteReference w:id="54"/>
      </w:r>
    </w:p>
    <w:p w14:paraId="66B76405" w14:textId="1FC08DC7" w:rsidR="00BC19F2" w:rsidRDefault="00BC19F2" w:rsidP="003757DB">
      <w:pPr>
        <w:spacing w:line="276" w:lineRule="auto"/>
      </w:pPr>
      <w:r>
        <w:t>In these circumstances</w:t>
      </w:r>
      <w:r w:rsidR="000A0775">
        <w:t>,</w:t>
      </w:r>
      <w:r>
        <w:t xml:space="preserve"> police or courts may issue a DVO protecting a person who is actually the predominant aggressor.  Police may also issue mutual DVOs against both parties because they are uncertain who is the victim and the offender. </w:t>
      </w:r>
      <w:r w:rsidR="000A0775">
        <w:t xml:space="preserve"> </w:t>
      </w:r>
      <w:r>
        <w:t>Without the full history of the relationship the police make a judgment that the parties are equally at fault and are equally in need of protection.  Often the initial view formed by police is perpetuated by the Court</w:t>
      </w:r>
      <w:r w:rsidR="00E30250">
        <w:t xml:space="preserve"> </w:t>
      </w:r>
      <w:r>
        <w:t xml:space="preserve">which is relying, to a large extent, on evidence and submissions made by the police. </w:t>
      </w:r>
      <w:r w:rsidR="00E30250">
        <w:rPr>
          <w:rStyle w:val="FootnoteReference"/>
        </w:rPr>
        <w:footnoteReference w:id="55"/>
      </w:r>
    </w:p>
    <w:p w14:paraId="74B2528D" w14:textId="77777777" w:rsidR="003757DB" w:rsidRDefault="00BC19F2" w:rsidP="003757DB">
      <w:pPr>
        <w:spacing w:after="120" w:line="276" w:lineRule="auto"/>
      </w:pPr>
      <w:r>
        <w:t xml:space="preserve">Women’s Legal Service Victoria (WLSV) prepared a paper on misidentification in 2018. </w:t>
      </w:r>
      <w:r w:rsidR="000A0775">
        <w:t xml:space="preserve"> </w:t>
      </w:r>
      <w:r>
        <w:t>A review of 600</w:t>
      </w:r>
      <w:r w:rsidR="000A0775">
        <w:t> </w:t>
      </w:r>
      <w:r>
        <w:t>client intake forms suggested that women were misidentified in as many as 1 in 10 police applications for family violence intervention orders.</w:t>
      </w:r>
      <w:r>
        <w:rPr>
          <w:rStyle w:val="FootnoteReference"/>
        </w:rPr>
        <w:footnoteReference w:id="56"/>
      </w:r>
      <w:r>
        <w:t xml:space="preserve">  </w:t>
      </w:r>
    </w:p>
    <w:p w14:paraId="1D94F590" w14:textId="74F1A0CA" w:rsidR="00BC19F2" w:rsidRDefault="00BC19F2" w:rsidP="000A0775">
      <w:pPr>
        <w:keepNext/>
        <w:spacing w:after="120" w:line="276" w:lineRule="auto"/>
      </w:pPr>
      <w:r>
        <w:lastRenderedPageBreak/>
        <w:t>WLSV identified four key drivers of police misidentification:</w:t>
      </w:r>
    </w:p>
    <w:p w14:paraId="0E9BD56A" w14:textId="3D912B25" w:rsidR="00BC19F2" w:rsidRDefault="000A0775" w:rsidP="0067521E">
      <w:pPr>
        <w:pStyle w:val="ListParagraph"/>
        <w:numPr>
          <w:ilvl w:val="0"/>
          <w:numId w:val="33"/>
        </w:numPr>
        <w:spacing w:line="276" w:lineRule="auto"/>
        <w:ind w:left="993" w:hanging="426"/>
      </w:pPr>
      <w:r>
        <w:t xml:space="preserve">aggressors </w:t>
      </w:r>
      <w:r w:rsidR="00BC19F2">
        <w:t>‘gaming the system’ (for example, ringing police to report the violence first because whoever calls the police is likely to be considered the victim)</w:t>
      </w:r>
      <w:r>
        <w:t>;</w:t>
      </w:r>
    </w:p>
    <w:p w14:paraId="0B570646" w14:textId="32A88CB7" w:rsidR="00BC19F2" w:rsidRPr="0086328C" w:rsidRDefault="000A0775" w:rsidP="0067521E">
      <w:pPr>
        <w:pStyle w:val="ListParagraph"/>
        <w:numPr>
          <w:ilvl w:val="0"/>
          <w:numId w:val="33"/>
        </w:numPr>
        <w:spacing w:line="276" w:lineRule="auto"/>
        <w:ind w:left="993" w:hanging="426"/>
      </w:pPr>
      <w:r w:rsidRPr="0086328C">
        <w:t xml:space="preserve">police </w:t>
      </w:r>
      <w:r w:rsidR="00BC19F2" w:rsidRPr="0086328C">
        <w:t>forming an early view that there is mutual and equal violence between the parties, without understanding the history of domestic violence and coercive control between the parties</w:t>
      </w:r>
      <w:r>
        <w:t>;</w:t>
      </w:r>
    </w:p>
    <w:p w14:paraId="249858D7" w14:textId="2921BA3E" w:rsidR="00BC19F2" w:rsidRPr="0086328C" w:rsidRDefault="000A0775" w:rsidP="0067521E">
      <w:pPr>
        <w:pStyle w:val="ListParagraph"/>
        <w:numPr>
          <w:ilvl w:val="0"/>
          <w:numId w:val="33"/>
        </w:numPr>
        <w:spacing w:line="276" w:lineRule="auto"/>
        <w:ind w:left="993" w:hanging="426"/>
      </w:pPr>
      <w:r w:rsidRPr="0086328C">
        <w:t xml:space="preserve">police </w:t>
      </w:r>
      <w:r w:rsidR="00BC19F2" w:rsidRPr="0086328C">
        <w:t>and courts focussing on single incidents of violence, without looking at the pattern of abuse over the course of the relationship</w:t>
      </w:r>
      <w:r>
        <w:t>;</w:t>
      </w:r>
    </w:p>
    <w:p w14:paraId="0394E66F" w14:textId="64A8A2D9" w:rsidR="00BC19F2" w:rsidRPr="0086328C" w:rsidRDefault="000A0775" w:rsidP="0067521E">
      <w:pPr>
        <w:pStyle w:val="ListParagraph"/>
        <w:numPr>
          <w:ilvl w:val="0"/>
          <w:numId w:val="33"/>
        </w:numPr>
        <w:spacing w:after="200" w:line="276" w:lineRule="auto"/>
        <w:ind w:left="993" w:hanging="426"/>
      </w:pPr>
      <w:r w:rsidRPr="0086328C">
        <w:t xml:space="preserve">police </w:t>
      </w:r>
      <w:r w:rsidR="00BC19F2" w:rsidRPr="0086328C">
        <w:t xml:space="preserve">failure to interview both parties, or </w:t>
      </w:r>
      <w:r w:rsidR="004822EA">
        <w:t xml:space="preserve">a failure </w:t>
      </w:r>
      <w:r w:rsidR="00BC19F2" w:rsidRPr="0086328C">
        <w:t>to interview the parties separately.</w:t>
      </w:r>
      <w:r w:rsidR="00BC19F2" w:rsidRPr="007851DA">
        <w:rPr>
          <w:rStyle w:val="FootnoteReference"/>
        </w:rPr>
        <w:t xml:space="preserve"> </w:t>
      </w:r>
      <w:r w:rsidR="00BC19F2">
        <w:rPr>
          <w:rStyle w:val="FootnoteReference"/>
        </w:rPr>
        <w:footnoteReference w:id="57"/>
      </w:r>
    </w:p>
    <w:p w14:paraId="255EF5B6" w14:textId="77777777" w:rsidR="00BC19F2" w:rsidRDefault="00BC19F2" w:rsidP="000A0775">
      <w:pPr>
        <w:spacing w:line="276" w:lineRule="auto"/>
      </w:pPr>
      <w:r w:rsidRPr="0086328C">
        <w:t>WLSV acknowledge that police members attending a DFV incident can arrive at a ‘chaotic and overwhelming scene’.</w:t>
      </w:r>
      <w:r w:rsidRPr="0086328C">
        <w:rPr>
          <w:rStyle w:val="FootnoteReference"/>
        </w:rPr>
        <w:footnoteReference w:id="58"/>
      </w:r>
      <w:r w:rsidRPr="0086328C">
        <w:t xml:space="preserve">  However, their research showed that where the primary aggressor is wrongly identified it often occurred because police were not familiar with duties required of them in DFV situations as outlined in Victoria Police’s </w:t>
      </w:r>
      <w:r w:rsidRPr="0086328C">
        <w:rPr>
          <w:i/>
        </w:rPr>
        <w:t>Code of Practice for the Investigation of Family Violence.</w:t>
      </w:r>
    </w:p>
    <w:p w14:paraId="25731D5E" w14:textId="41A9AFAF" w:rsidR="00BC19F2" w:rsidRDefault="00BC19F2" w:rsidP="000A0775">
      <w:pPr>
        <w:spacing w:after="120" w:line="276" w:lineRule="auto"/>
      </w:pPr>
      <w:r>
        <w:t>Australia’s</w:t>
      </w:r>
      <w:r w:rsidRPr="009D29C0">
        <w:t xml:space="preserve"> National Research Organisation for Women's Safety </w:t>
      </w:r>
      <w:r>
        <w:t>(ANROWS) conducted important research on this topic in Queensland, which was released in 2020 and is relevant nationally.</w:t>
      </w:r>
      <w:r w:rsidRPr="009D29C0">
        <w:rPr>
          <w:rStyle w:val="FootnoteReference"/>
        </w:rPr>
        <w:t xml:space="preserve"> </w:t>
      </w:r>
      <w:r>
        <w:rPr>
          <w:rStyle w:val="FootnoteReference"/>
        </w:rPr>
        <w:footnoteReference w:id="59"/>
      </w:r>
      <w:r>
        <w:t xml:space="preserve">  The ANROW</w:t>
      </w:r>
      <w:r w:rsidR="00925418">
        <w:t xml:space="preserve">S </w:t>
      </w:r>
      <w:r>
        <w:t xml:space="preserve">research found that: </w:t>
      </w:r>
    </w:p>
    <w:p w14:paraId="4C3A78B0" w14:textId="6D786D28" w:rsidR="00BC19F2" w:rsidRDefault="00BC19F2" w:rsidP="0067521E">
      <w:pPr>
        <w:pStyle w:val="ListParagraph"/>
        <w:numPr>
          <w:ilvl w:val="0"/>
          <w:numId w:val="34"/>
        </w:numPr>
        <w:spacing w:line="276" w:lineRule="auto"/>
        <w:ind w:left="993" w:hanging="426"/>
      </w:pPr>
      <w:r>
        <w:t>Women – especially Aboriginal and Torres Strait Islander women – are being misidentified as defendants on DVOs and the effects of this on their safety and well-being is far reaching</w:t>
      </w:r>
      <w:r w:rsidR="00894FB3">
        <w:t>.</w:t>
      </w:r>
    </w:p>
    <w:p w14:paraId="7A34D419" w14:textId="17878D37" w:rsidR="00BC19F2" w:rsidRDefault="00BC19F2" w:rsidP="0067521E">
      <w:pPr>
        <w:pStyle w:val="ListParagraph"/>
        <w:numPr>
          <w:ilvl w:val="0"/>
          <w:numId w:val="34"/>
        </w:numPr>
        <w:spacing w:line="276" w:lineRule="auto"/>
        <w:ind w:left="993" w:hanging="426"/>
      </w:pPr>
      <w:r>
        <w:t>Police practice is guided by a focus on single incidents of visible or physical violence.</w:t>
      </w:r>
      <w:r w:rsidR="000A0775">
        <w:t xml:space="preserve"> </w:t>
      </w:r>
      <w:r>
        <w:t xml:space="preserve"> This focus does not always support the appropriate application of DFV legislation where violence should be considered in context in order to assess the need for protection from future harm.</w:t>
      </w:r>
    </w:p>
    <w:p w14:paraId="57B9ACF4" w14:textId="11AE76FA" w:rsidR="00BC19F2" w:rsidRDefault="00BC19F2" w:rsidP="0067521E">
      <w:pPr>
        <w:pStyle w:val="ListParagraph"/>
        <w:numPr>
          <w:ilvl w:val="0"/>
          <w:numId w:val="34"/>
        </w:numPr>
        <w:spacing w:after="200" w:line="276" w:lineRule="auto"/>
        <w:ind w:left="993" w:hanging="426"/>
      </w:pPr>
      <w:r>
        <w:t xml:space="preserve">Police are responding to specific incidents and often defer to </w:t>
      </w:r>
      <w:r w:rsidR="000A0775">
        <w:t xml:space="preserve">magistrates </w:t>
      </w:r>
      <w:r>
        <w:t xml:space="preserve">as to whether an order is needed but </w:t>
      </w:r>
      <w:r w:rsidR="000A0775">
        <w:t xml:space="preserve">magistrates </w:t>
      </w:r>
      <w:r>
        <w:t>may rely on the initial assessment by police, which can lead to misidentification.</w:t>
      </w:r>
    </w:p>
    <w:p w14:paraId="37B8263F" w14:textId="05A6BADC" w:rsidR="003673F4" w:rsidRDefault="003673F4" w:rsidP="000A0775">
      <w:pPr>
        <w:spacing w:line="276" w:lineRule="auto"/>
      </w:pPr>
      <w:r>
        <w:t>ANROWS recommended creating guidance for police on identifying patterns of coercive control in order to reduce misidentification.</w:t>
      </w:r>
    </w:p>
    <w:p w14:paraId="2E40B88A" w14:textId="77777777" w:rsidR="00BC19F2" w:rsidRDefault="00BC19F2" w:rsidP="000A0775">
      <w:pPr>
        <w:keepNext/>
        <w:spacing w:after="120" w:line="276" w:lineRule="auto"/>
      </w:pPr>
      <w:r>
        <w:t>Good practice in determining DVO applications involves not just taking the current incident on face value but seeking to identify who needs protection from future harm (ie. ‘the person most in need of protection’).  This involves looking at the evidence to identify:</w:t>
      </w:r>
    </w:p>
    <w:p w14:paraId="03F450D7" w14:textId="77777777" w:rsidR="00BC19F2" w:rsidRDefault="00BC19F2" w:rsidP="0067521E">
      <w:pPr>
        <w:pStyle w:val="ListParagraph"/>
        <w:numPr>
          <w:ilvl w:val="0"/>
          <w:numId w:val="82"/>
        </w:numPr>
        <w:spacing w:line="276" w:lineRule="auto"/>
        <w:ind w:left="993" w:hanging="426"/>
      </w:pPr>
      <w:r>
        <w:t>the nature of any physical injuries or coercive control present at, or immediately prior to, the current incident;</w:t>
      </w:r>
    </w:p>
    <w:p w14:paraId="4ECDFF41" w14:textId="77777777" w:rsidR="00BC19F2" w:rsidRDefault="00BC19F2" w:rsidP="0067521E">
      <w:pPr>
        <w:pStyle w:val="ListParagraph"/>
        <w:numPr>
          <w:ilvl w:val="0"/>
          <w:numId w:val="82"/>
        </w:numPr>
        <w:spacing w:after="200" w:line="276" w:lineRule="auto"/>
        <w:ind w:left="992" w:hanging="425"/>
      </w:pPr>
      <w:r>
        <w:lastRenderedPageBreak/>
        <w:t>the history of the relationship (and possibly prior relationships) to identify signs of DFV and coercive control.</w:t>
      </w:r>
    </w:p>
    <w:p w14:paraId="00F15A82" w14:textId="77777777" w:rsidR="00BC19F2" w:rsidRDefault="00BC19F2" w:rsidP="000A0775">
      <w:pPr>
        <w:keepNext/>
        <w:spacing w:after="120" w:line="276" w:lineRule="auto"/>
      </w:pPr>
      <w:r>
        <w:t>Often first responders see this as a challenging task. However, with training and the correct tools and procedures it can be achieved.  It requires:</w:t>
      </w:r>
    </w:p>
    <w:p w14:paraId="4629E772" w14:textId="284F1412" w:rsidR="00BC19F2" w:rsidRDefault="000A0775" w:rsidP="0067521E">
      <w:pPr>
        <w:pStyle w:val="ListParagraph"/>
        <w:numPr>
          <w:ilvl w:val="0"/>
          <w:numId w:val="24"/>
        </w:numPr>
        <w:spacing w:line="276" w:lineRule="auto"/>
        <w:ind w:left="993" w:hanging="426"/>
      </w:pPr>
      <w:r>
        <w:t xml:space="preserve">an </w:t>
      </w:r>
      <w:r w:rsidR="00BC19F2">
        <w:t>informed understanding of the dynamics of DFV and coercive control and guidance on how to identify DFV and coercive control</w:t>
      </w:r>
      <w:r>
        <w:t>;</w:t>
      </w:r>
    </w:p>
    <w:p w14:paraId="50A0DF6C" w14:textId="1A2E5B07" w:rsidR="00BC19F2" w:rsidRDefault="000A0775" w:rsidP="0067521E">
      <w:pPr>
        <w:pStyle w:val="ListParagraph"/>
        <w:numPr>
          <w:ilvl w:val="0"/>
          <w:numId w:val="24"/>
        </w:numPr>
        <w:spacing w:line="276" w:lineRule="auto"/>
        <w:ind w:left="993" w:hanging="426"/>
      </w:pPr>
      <w:r>
        <w:t xml:space="preserve">investigation </w:t>
      </w:r>
      <w:r w:rsidR="00BC19F2">
        <w:t xml:space="preserve">– that is looking into the history of the relationship/s beyond the particular incident that has come to police attention </w:t>
      </w:r>
      <w:r w:rsidR="00925418">
        <w:t>–</w:t>
      </w:r>
      <w:r w:rsidR="00BC19F2">
        <w:t xml:space="preserve"> for signs of a pattern of DFV and coercive control</w:t>
      </w:r>
      <w:r>
        <w:t>; and</w:t>
      </w:r>
    </w:p>
    <w:p w14:paraId="46A823D3" w14:textId="2C8EA4C3" w:rsidR="00BC19F2" w:rsidRDefault="000A0775" w:rsidP="0067521E">
      <w:pPr>
        <w:pStyle w:val="ListParagraph"/>
        <w:numPr>
          <w:ilvl w:val="0"/>
          <w:numId w:val="24"/>
        </w:numPr>
        <w:spacing w:after="200" w:line="276" w:lineRule="auto"/>
        <w:ind w:left="993" w:hanging="426"/>
      </w:pPr>
      <w:r>
        <w:t xml:space="preserve">the </w:t>
      </w:r>
      <w:r w:rsidR="00BC19F2">
        <w:t xml:space="preserve">use of an evidence-based DFV </w:t>
      </w:r>
      <w:r w:rsidR="00F0796F">
        <w:t>RAMF</w:t>
      </w:r>
      <w:r w:rsidR="00BC19F2">
        <w:t xml:space="preserve">.  </w:t>
      </w:r>
      <w:r>
        <w:t>TFHC</w:t>
      </w:r>
      <w:r w:rsidR="00BC19F2">
        <w:t xml:space="preserve"> has developed and authorised such a multi-disciplinary tool for use in the Northern Territory.</w:t>
      </w:r>
      <w:r w:rsidR="00610AFF">
        <w:rPr>
          <w:rStyle w:val="FootnoteReference"/>
        </w:rPr>
        <w:footnoteReference w:id="60"/>
      </w:r>
      <w:r w:rsidR="00BC19F2">
        <w:t xml:space="preserve"> </w:t>
      </w:r>
      <w:r>
        <w:t xml:space="preserve"> </w:t>
      </w:r>
      <w:r w:rsidR="00BC19F2">
        <w:t xml:space="preserve">However, it needs to be translated into a tool that police can readily and efficiently use when </w:t>
      </w:r>
      <w:r w:rsidR="00925418">
        <w:t xml:space="preserve">attending </w:t>
      </w:r>
      <w:r w:rsidR="00BC19F2">
        <w:t>an incident.</w:t>
      </w:r>
    </w:p>
    <w:p w14:paraId="4F0E2E22" w14:textId="2FDCD072" w:rsidR="00BC19F2" w:rsidRDefault="00BC19F2" w:rsidP="000A0775">
      <w:pPr>
        <w:spacing w:line="276" w:lineRule="auto"/>
      </w:pPr>
      <w:r>
        <w:t>The implications of misidentification are extremely significant for the victim</w:t>
      </w:r>
      <w:r w:rsidR="00E15E7E">
        <w:t>-survivor</w:t>
      </w:r>
      <w:r>
        <w:t xml:space="preserve"> as the ANROWS and WLSV research highlights.  When police or courts incorrectly identify a long-term victim</w:t>
      </w:r>
      <w:r w:rsidR="00E15E7E">
        <w:t>-survivor</w:t>
      </w:r>
      <w:r>
        <w:t xml:space="preserve"> as a defendant in a DVO application, it causes the victim</w:t>
      </w:r>
      <w:r w:rsidR="00E15E7E">
        <w:t>-survivor</w:t>
      </w:r>
      <w:r>
        <w:t xml:space="preserve"> to lose confidence in the system and dissuades them from reporting further incidents to the police.  An initial erroneous assessment about who is the victim and who is the perpetrator can also follow the victim</w:t>
      </w:r>
      <w:r w:rsidR="00E15E7E">
        <w:t>-survivor</w:t>
      </w:r>
      <w:r>
        <w:t xml:space="preserve"> through the system to create doubt that they have been subjected to violence which allows the abuse to continue. </w:t>
      </w:r>
      <w:r w:rsidR="00F0796F">
        <w:t xml:space="preserve"> </w:t>
      </w:r>
      <w:r>
        <w:t xml:space="preserve">In this way, mutual orders can result in families being </w:t>
      </w:r>
      <w:r w:rsidRPr="00F81268">
        <w:rPr>
          <w:i/>
        </w:rPr>
        <w:t>less safe</w:t>
      </w:r>
      <w:r>
        <w:rPr>
          <w:i/>
        </w:rPr>
        <w:t xml:space="preserve"> </w:t>
      </w:r>
      <w:r>
        <w:t>because victim-survivors named as defendants will be reluctant to call police for help.</w:t>
      </w:r>
    </w:p>
    <w:p w14:paraId="43DD5224" w14:textId="40F001E1" w:rsidR="00E85268" w:rsidRDefault="00BC19F2" w:rsidP="000A0775">
      <w:pPr>
        <w:spacing w:line="276" w:lineRule="auto"/>
      </w:pPr>
      <w:r w:rsidRPr="008F466C">
        <w:t>By contrast</w:t>
      </w:r>
      <w:r w:rsidR="00866493">
        <w:t>,</w:t>
      </w:r>
      <w:r w:rsidRPr="008F466C">
        <w:t xml:space="preserve"> when</w:t>
      </w:r>
      <w:r>
        <w:t xml:space="preserve"> police correctly identify the person most in need of protection and take action to keep that person (and children) safe while holding the perpetrator to account, change for that family may start to happen.  It is very common fo</w:t>
      </w:r>
      <w:r w:rsidR="00610AFF">
        <w:t>r victim</w:t>
      </w:r>
      <w:r w:rsidR="00E15E7E">
        <w:t>-survivors</w:t>
      </w:r>
      <w:r w:rsidR="00610AFF">
        <w:t xml:space="preserve"> to return to violent </w:t>
      </w:r>
      <w:r>
        <w:t>partners.</w:t>
      </w:r>
      <w:r w:rsidR="00F0796F">
        <w:t xml:space="preserve"> </w:t>
      </w:r>
      <w:r>
        <w:t xml:space="preserve"> However, each time the system (especially authorities such as police/cour</w:t>
      </w:r>
      <w:r w:rsidR="006C3170">
        <w:t>ts) respond in a supportive mann</w:t>
      </w:r>
      <w:r>
        <w:t>er to the victim</w:t>
      </w:r>
      <w:r w:rsidR="00E15E7E">
        <w:t>-survivor</w:t>
      </w:r>
      <w:r>
        <w:t xml:space="preserve">, it builds confidence in reporting future incidents to police. </w:t>
      </w:r>
      <w:r w:rsidR="00F0796F">
        <w:t xml:space="preserve"> </w:t>
      </w:r>
      <w:r>
        <w:t>It creates a possibility of building a future free of violence.</w:t>
      </w:r>
    </w:p>
    <w:p w14:paraId="7630BEF5" w14:textId="77777777" w:rsidR="00F0796F" w:rsidRDefault="00F0796F">
      <w:pPr>
        <w:rPr>
          <w:rFonts w:asciiTheme="majorHAnsi" w:eastAsiaTheme="majorEastAsia" w:hAnsiTheme="majorHAnsi" w:cstheme="majorBidi"/>
          <w:bCs/>
          <w:iCs/>
          <w:color w:val="454347"/>
          <w:sz w:val="32"/>
          <w:szCs w:val="32"/>
        </w:rPr>
      </w:pPr>
      <w:r>
        <w:br w:type="page"/>
      </w:r>
    </w:p>
    <w:p w14:paraId="6C4F73BA" w14:textId="4266A0B9" w:rsidR="00C551F2" w:rsidRPr="00B4167B" w:rsidRDefault="00204E3F" w:rsidP="00F0796F">
      <w:pPr>
        <w:pStyle w:val="Heading2"/>
        <w:keepNext/>
        <w:ind w:left="1134" w:hanging="578"/>
      </w:pPr>
      <w:bookmarkStart w:id="15" w:name="_Toc112051805"/>
      <w:r w:rsidRPr="00B4167B">
        <w:lastRenderedPageBreak/>
        <w:t>Drivers of</w:t>
      </w:r>
      <w:r w:rsidR="00C551F2" w:rsidRPr="00B4167B">
        <w:t xml:space="preserve"> DF</w:t>
      </w:r>
      <w:r w:rsidR="00621D1B">
        <w:t>V</w:t>
      </w:r>
      <w:bookmarkEnd w:id="15"/>
    </w:p>
    <w:p w14:paraId="2DA18BD5" w14:textId="591137AB" w:rsidR="008966A4" w:rsidRDefault="00867D3E" w:rsidP="001F3283">
      <w:r w:rsidRPr="00B4167B">
        <w:t>The cause</w:t>
      </w:r>
      <w:r w:rsidR="001F3283">
        <w:t xml:space="preserve">s of DFV </w:t>
      </w:r>
      <w:r w:rsidR="00423642">
        <w:t xml:space="preserve">(often called ‘drivers’) </w:t>
      </w:r>
      <w:r w:rsidR="00894FB3">
        <w:t>are complex.</w:t>
      </w:r>
      <w:r w:rsidR="00F0796F">
        <w:t xml:space="preserve"> </w:t>
      </w:r>
      <w:r w:rsidR="00894FB3">
        <w:t xml:space="preserve"> I</w:t>
      </w:r>
      <w:r w:rsidR="001F3283" w:rsidRPr="00B4167B">
        <w:t>t is beyond the scope of</w:t>
      </w:r>
      <w:r w:rsidR="00894FB3">
        <w:t xml:space="preserve"> this paper to analyse the drivers</w:t>
      </w:r>
      <w:r w:rsidR="001F3283">
        <w:t xml:space="preserve"> </w:t>
      </w:r>
      <w:r w:rsidR="00894FB3">
        <w:t xml:space="preserve">or </w:t>
      </w:r>
      <w:r w:rsidR="001F3283">
        <w:t xml:space="preserve">to canvass </w:t>
      </w:r>
      <w:r w:rsidR="00894FB3">
        <w:t>the best</w:t>
      </w:r>
      <w:r w:rsidR="00CF16DF">
        <w:t xml:space="preserve"> </w:t>
      </w:r>
      <w:r w:rsidR="001F3283">
        <w:t>options</w:t>
      </w:r>
      <w:r w:rsidR="001F3283" w:rsidRPr="00B4167B">
        <w:t xml:space="preserve"> for </w:t>
      </w:r>
      <w:r w:rsidR="000D2D38">
        <w:t xml:space="preserve">the </w:t>
      </w:r>
      <w:r w:rsidR="001F3283" w:rsidRPr="00B4167B">
        <w:t>primary prevention of DFV.</w:t>
      </w:r>
      <w:r w:rsidR="00FB0C90">
        <w:t xml:space="preserve">  However, </w:t>
      </w:r>
      <w:r w:rsidR="00BB2870">
        <w:t>t</w:t>
      </w:r>
      <w:r w:rsidR="00FB0C90">
        <w:t>he justice system</w:t>
      </w:r>
      <w:r w:rsidR="008966A4">
        <w:t xml:space="preserve"> operates in the context of</w:t>
      </w:r>
      <w:r w:rsidR="00FB0C90">
        <w:t xml:space="preserve"> broader society. </w:t>
      </w:r>
      <w:r w:rsidR="00F0796F">
        <w:t xml:space="preserve"> </w:t>
      </w:r>
      <w:r w:rsidR="008966A4">
        <w:t xml:space="preserve">Societal attitudes and behaviour about DFV influence, and are </w:t>
      </w:r>
      <w:r w:rsidR="00894FB3">
        <w:t>influenced by, the way the justice system responds to DFV</w:t>
      </w:r>
      <w:r w:rsidR="008966A4">
        <w:t xml:space="preserve">.  </w:t>
      </w:r>
    </w:p>
    <w:p w14:paraId="765C6523" w14:textId="43C3C71E" w:rsidR="000D2D38" w:rsidRDefault="006839A2" w:rsidP="00C551F2">
      <w:r w:rsidRPr="00B4167B">
        <w:t>R</w:t>
      </w:r>
      <w:r w:rsidR="00867D3E" w:rsidRPr="00B4167B">
        <w:t xml:space="preserve">esearch </w:t>
      </w:r>
      <w:r w:rsidRPr="00B4167B">
        <w:t>shows that DFV is more prevalent and severe where there are high levels of</w:t>
      </w:r>
      <w:r w:rsidR="00867D3E" w:rsidRPr="00B4167B">
        <w:t xml:space="preserve"> gender inequality.</w:t>
      </w:r>
      <w:r w:rsidR="000D2D38">
        <w:rPr>
          <w:rStyle w:val="FootnoteReference"/>
        </w:rPr>
        <w:footnoteReference w:id="61"/>
      </w:r>
    </w:p>
    <w:p w14:paraId="47A16C19" w14:textId="1B7C7DC1" w:rsidR="00C551F2" w:rsidRPr="00B4167B" w:rsidRDefault="00867D3E" w:rsidP="00C551F2">
      <w:r w:rsidRPr="00B4167B">
        <w:t xml:space="preserve">Other forms of inequality and oppression also influence the prevalence and dynamics of DFV.  </w:t>
      </w:r>
      <w:r w:rsidR="00ED0597" w:rsidRPr="00B4167B">
        <w:t>This includes racism, discrimination against people with disabilities, aged</w:t>
      </w:r>
      <w:r w:rsidR="00B4167B" w:rsidRPr="00B4167B">
        <w:t xml:space="preserve">-based </w:t>
      </w:r>
      <w:r w:rsidR="00ED0597" w:rsidRPr="00B4167B">
        <w:t>discrimination, discrimination against people who</w:t>
      </w:r>
      <w:r w:rsidR="00100B44">
        <w:t xml:space="preserve"> are LGBTIQ+, and</w:t>
      </w:r>
      <w:r w:rsidR="00ED0597" w:rsidRPr="00B4167B">
        <w:t xml:space="preserve"> class-based discrimination.  </w:t>
      </w:r>
      <w:r w:rsidRPr="00B4167B">
        <w:t>For Aboriginal women</w:t>
      </w:r>
      <w:r w:rsidR="006839A2" w:rsidRPr="00B4167B">
        <w:t xml:space="preserve"> this includes the ongoing impact of colonisation, racism and discriminatory policies and practices. </w:t>
      </w:r>
      <w:r w:rsidR="00F0796F">
        <w:t xml:space="preserve"> </w:t>
      </w:r>
      <w:r w:rsidR="006839A2" w:rsidRPr="00B4167B">
        <w:t xml:space="preserve">Intergenerational trauma also plays a </w:t>
      </w:r>
      <w:r w:rsidR="00CF16DF">
        <w:t xml:space="preserve">significant </w:t>
      </w:r>
      <w:r w:rsidR="006839A2" w:rsidRPr="00B4167B">
        <w:t>role in DFV.</w:t>
      </w:r>
    </w:p>
    <w:p w14:paraId="2F70A5EB" w14:textId="49069403" w:rsidR="00867D3E" w:rsidRPr="00B4167B" w:rsidRDefault="00867D3E" w:rsidP="00F0796F">
      <w:pPr>
        <w:keepNext/>
        <w:spacing w:after="120"/>
      </w:pPr>
      <w:r w:rsidRPr="00B4167B">
        <w:t>The gendered drivers of DFV</w:t>
      </w:r>
      <w:r w:rsidR="00B4167B">
        <w:rPr>
          <w:rStyle w:val="FootnoteReference"/>
        </w:rPr>
        <w:footnoteReference w:id="62"/>
      </w:r>
      <w:r w:rsidRPr="00B4167B">
        <w:t xml:space="preserve"> include:</w:t>
      </w:r>
    </w:p>
    <w:p w14:paraId="74008D92" w14:textId="2C1F2E08" w:rsidR="00867D3E" w:rsidRPr="00B4167B" w:rsidRDefault="00ED0597" w:rsidP="0067521E">
      <w:pPr>
        <w:pStyle w:val="ListParagraph"/>
        <w:numPr>
          <w:ilvl w:val="0"/>
          <w:numId w:val="128"/>
        </w:numPr>
        <w:ind w:left="993" w:hanging="426"/>
      </w:pPr>
      <w:r w:rsidRPr="00B4167B">
        <w:t>DFV is more common in s</w:t>
      </w:r>
      <w:r w:rsidR="006839A2" w:rsidRPr="00B4167B">
        <w:t>ocieties, institutions or communities that condo</w:t>
      </w:r>
      <w:r w:rsidRPr="00B4167B">
        <w:t>ne DFV (including where DFV is justified or trivialised or the blame is shifted to the victim)</w:t>
      </w:r>
      <w:r w:rsidR="00F0796F">
        <w:t>;</w:t>
      </w:r>
    </w:p>
    <w:p w14:paraId="158121B1" w14:textId="31FA010F" w:rsidR="006839A2" w:rsidRPr="00B4167B" w:rsidRDefault="006839A2" w:rsidP="0067521E">
      <w:pPr>
        <w:pStyle w:val="ListParagraph"/>
        <w:numPr>
          <w:ilvl w:val="0"/>
          <w:numId w:val="128"/>
        </w:numPr>
        <w:ind w:left="993" w:hanging="426"/>
      </w:pPr>
      <w:r w:rsidRPr="00B4167B">
        <w:t>DFV is more common when men’s control of decision-making limits women’s autonomy (including where men have a sense of ownership or entitlement over women, hold rigid ideas about women’s behaviour, or women are treated of lower social value or less worthy of respect)</w:t>
      </w:r>
      <w:r w:rsidR="00F0796F">
        <w:t>;</w:t>
      </w:r>
    </w:p>
    <w:p w14:paraId="4722A170" w14:textId="1275E0A2" w:rsidR="00ED0597" w:rsidRPr="00B4167B" w:rsidRDefault="00ED0597" w:rsidP="0067521E">
      <w:pPr>
        <w:pStyle w:val="ListParagraph"/>
        <w:numPr>
          <w:ilvl w:val="0"/>
          <w:numId w:val="128"/>
        </w:numPr>
        <w:ind w:left="993" w:hanging="426"/>
      </w:pPr>
      <w:r w:rsidRPr="00B4167B">
        <w:t>DFV is more common where rigid gender stereotyping and hierarchies prevail</w:t>
      </w:r>
      <w:r w:rsidR="00F0796F">
        <w:t>;</w:t>
      </w:r>
    </w:p>
    <w:p w14:paraId="1CEB776E" w14:textId="5D5AD3E1" w:rsidR="00ED0597" w:rsidRPr="00B4167B" w:rsidRDefault="00ED0597" w:rsidP="0067521E">
      <w:pPr>
        <w:pStyle w:val="ListParagraph"/>
        <w:numPr>
          <w:ilvl w:val="0"/>
          <w:numId w:val="128"/>
        </w:numPr>
        <w:spacing w:after="200"/>
        <w:ind w:left="992" w:hanging="425"/>
      </w:pPr>
      <w:r w:rsidRPr="00B4167B">
        <w:t>DFV is more common where there is a culture of masculini</w:t>
      </w:r>
      <w:r w:rsidR="00395BEB">
        <w:t>ty characterised by aggression</w:t>
      </w:r>
      <w:r w:rsidR="008400EE">
        <w:t>,</w:t>
      </w:r>
      <w:r w:rsidR="00395BEB">
        <w:t xml:space="preserve"> </w:t>
      </w:r>
      <w:r w:rsidRPr="00B4167B">
        <w:t>dominance and control.</w:t>
      </w:r>
    </w:p>
    <w:p w14:paraId="2300C135" w14:textId="782C8C24" w:rsidR="00ED0597" w:rsidRPr="00B4167B" w:rsidRDefault="00877877" w:rsidP="00F0796F">
      <w:pPr>
        <w:keepNext/>
        <w:spacing w:after="120"/>
      </w:pPr>
      <w:r>
        <w:t xml:space="preserve">Other factors </w:t>
      </w:r>
      <w:r w:rsidR="00ED0597" w:rsidRPr="00B4167B">
        <w:t>also reinforce violence including:</w:t>
      </w:r>
    </w:p>
    <w:p w14:paraId="4156E05C" w14:textId="4B95717F" w:rsidR="00ED0597" w:rsidRDefault="00F0796F" w:rsidP="0067521E">
      <w:pPr>
        <w:pStyle w:val="ListParagraph"/>
        <w:numPr>
          <w:ilvl w:val="0"/>
          <w:numId w:val="129"/>
        </w:numPr>
        <w:ind w:left="993" w:hanging="426"/>
      </w:pPr>
      <w:r w:rsidRPr="00B4167B">
        <w:t xml:space="preserve">condoning </w:t>
      </w:r>
      <w:r w:rsidR="00ED0597" w:rsidRPr="00B4167B">
        <w:t>violence so that it becomes normalised</w:t>
      </w:r>
      <w:r>
        <w:t>;</w:t>
      </w:r>
    </w:p>
    <w:p w14:paraId="42C5FCED" w14:textId="33FC1DF3" w:rsidR="00947627" w:rsidRPr="00B4167B" w:rsidRDefault="00F0796F" w:rsidP="0067521E">
      <w:pPr>
        <w:pStyle w:val="ListParagraph"/>
        <w:numPr>
          <w:ilvl w:val="0"/>
          <w:numId w:val="129"/>
        </w:numPr>
        <w:ind w:left="993" w:hanging="426"/>
      </w:pPr>
      <w:r>
        <w:t>witnessing</w:t>
      </w:r>
      <w:r w:rsidR="00947627">
        <w:t>, hearing and being exposed to violence</w:t>
      </w:r>
      <w:r w:rsidR="00507C19">
        <w:t xml:space="preserve"> as children</w:t>
      </w:r>
      <w:r>
        <w:t>;</w:t>
      </w:r>
    </w:p>
    <w:p w14:paraId="612F62E2" w14:textId="1AB4D04A" w:rsidR="00986BAC" w:rsidRDefault="00F0796F" w:rsidP="0067521E">
      <w:pPr>
        <w:pStyle w:val="ListParagraph"/>
        <w:numPr>
          <w:ilvl w:val="0"/>
          <w:numId w:val="129"/>
        </w:numPr>
        <w:spacing w:after="200"/>
        <w:ind w:left="993" w:hanging="426"/>
      </w:pPr>
      <w:r>
        <w:t>e</w:t>
      </w:r>
      <w:r w:rsidRPr="00B4167B">
        <w:t xml:space="preserve">xcessive </w:t>
      </w:r>
      <w:r w:rsidR="00FC49B2" w:rsidRPr="00B4167B">
        <w:t>alcohol use, drug</w:t>
      </w:r>
      <w:r w:rsidR="00100B44">
        <w:t xml:space="preserve"> use, stress, and crisis situations</w:t>
      </w:r>
      <w:r>
        <w:t xml:space="preserve">. </w:t>
      </w:r>
      <w:r w:rsidR="00100B44">
        <w:t xml:space="preserve"> While these do not cause DFV they </w:t>
      </w:r>
      <w:r w:rsidR="00877877">
        <w:t xml:space="preserve">often </w:t>
      </w:r>
      <w:r w:rsidR="00100B44">
        <w:t xml:space="preserve">weaken people’s capacity for positive prosocial behaviour, thereby contributing to </w:t>
      </w:r>
      <w:r w:rsidR="00877877">
        <w:t xml:space="preserve">the likelihood of </w:t>
      </w:r>
      <w:r w:rsidR="00100B44">
        <w:t>DFV.</w:t>
      </w:r>
    </w:p>
    <w:p w14:paraId="2F143B96" w14:textId="4E4D2048" w:rsidR="008400EE" w:rsidRDefault="008400EE" w:rsidP="008400EE">
      <w:r>
        <w:t>Other factors like</w:t>
      </w:r>
      <w:r w:rsidR="00B622CB">
        <w:t xml:space="preserve"> high levels of</w:t>
      </w:r>
      <w:r>
        <w:t xml:space="preserve"> homelessness</w:t>
      </w:r>
      <w:r w:rsidR="006C4DF0">
        <w:t xml:space="preserve"> and insecure housing</w:t>
      </w:r>
      <w:r>
        <w:t>, financial insecurity, disadvantage, and fear of losing your children do not cause DFV but they make it harder for victim-survivors to report DFV or seek help.</w:t>
      </w:r>
      <w:r>
        <w:rPr>
          <w:rStyle w:val="FootnoteReference"/>
          <w:sz w:val="20"/>
        </w:rPr>
        <w:footnoteReference w:id="63"/>
      </w:r>
      <w:r w:rsidR="00B622CB">
        <w:t xml:space="preserve">  The</w:t>
      </w:r>
      <w:r w:rsidR="006C4DF0">
        <w:t xml:space="preserve">se factors </w:t>
      </w:r>
      <w:r w:rsidR="00B622CB">
        <w:t>contribute to a situation where women have less autonomy and offenders can continue the use of violence.</w:t>
      </w:r>
    </w:p>
    <w:p w14:paraId="28AEAE76" w14:textId="6B35921E" w:rsidR="00395BEB" w:rsidRDefault="00395BEB" w:rsidP="00395BEB">
      <w:r>
        <w:t>For many people in the NT</w:t>
      </w:r>
      <w:r w:rsidR="00F0796F">
        <w:t>,</w:t>
      </w:r>
      <w:r>
        <w:t xml:space="preserve"> multiple forms of inequality and discrimination may </w:t>
      </w:r>
      <w:r w:rsidR="00A12DF8">
        <w:t>make them vulnerable to DFV</w:t>
      </w:r>
      <w:r>
        <w:t xml:space="preserve">.  This is often referred to as </w:t>
      </w:r>
      <w:r w:rsidR="00EF5048">
        <w:t>‘</w:t>
      </w:r>
      <w:r>
        <w:t>intersectionality</w:t>
      </w:r>
      <w:r w:rsidR="00EF5048">
        <w:t>’</w:t>
      </w:r>
      <w:r>
        <w:t xml:space="preserve">.  </w:t>
      </w:r>
    </w:p>
    <w:p w14:paraId="5238DBD3" w14:textId="2F88A62E" w:rsidR="00B4167B" w:rsidRPr="00B4167B" w:rsidRDefault="001108C8" w:rsidP="00F0796F">
      <w:pPr>
        <w:spacing w:after="120"/>
      </w:pPr>
      <w:r>
        <w:lastRenderedPageBreak/>
        <w:t xml:space="preserve">Addressing this inequality and discrimination is </w:t>
      </w:r>
      <w:r w:rsidR="00947627">
        <w:t xml:space="preserve">an important </w:t>
      </w:r>
      <w:r>
        <w:t xml:space="preserve">part of keeping people safer.  </w:t>
      </w:r>
      <w:r w:rsidR="00B4167B" w:rsidRPr="00B4167B">
        <w:t xml:space="preserve">The NT Government is taking action to address </w:t>
      </w:r>
      <w:r w:rsidR="00B4167B">
        <w:t>gender inequality</w:t>
      </w:r>
      <w:r w:rsidR="00507C19">
        <w:t>, racism</w:t>
      </w:r>
      <w:r w:rsidR="00B4167B">
        <w:t xml:space="preserve"> and </w:t>
      </w:r>
      <w:r w:rsidR="006E2E6D">
        <w:t xml:space="preserve">other </w:t>
      </w:r>
      <w:r w:rsidR="00B4167B">
        <w:t>forms of discrimination</w:t>
      </w:r>
      <w:r w:rsidR="00B4167B" w:rsidRPr="00B4167B">
        <w:t>, for example, through:</w:t>
      </w:r>
    </w:p>
    <w:p w14:paraId="54E1047C" w14:textId="260948E6" w:rsidR="00B4167B" w:rsidRDefault="00F0796F" w:rsidP="0067521E">
      <w:pPr>
        <w:pStyle w:val="ListParagraph"/>
        <w:numPr>
          <w:ilvl w:val="0"/>
          <w:numId w:val="131"/>
        </w:numPr>
        <w:ind w:left="993" w:hanging="426"/>
      </w:pPr>
      <w:r>
        <w:t xml:space="preserve">the </w:t>
      </w:r>
      <w:r w:rsidR="006E2E6D">
        <w:t>NT Gender Equality Action Plan 2022-2025</w:t>
      </w:r>
      <w:r w:rsidR="006E2E6D">
        <w:rPr>
          <w:rStyle w:val="FootnoteReference"/>
        </w:rPr>
        <w:footnoteReference w:id="64"/>
      </w:r>
      <w:r>
        <w:t>; and</w:t>
      </w:r>
    </w:p>
    <w:p w14:paraId="181F63EC" w14:textId="191E9350" w:rsidR="001108C8" w:rsidRPr="00D00D30" w:rsidRDefault="00F0796F" w:rsidP="0067521E">
      <w:pPr>
        <w:pStyle w:val="ListParagraph"/>
        <w:numPr>
          <w:ilvl w:val="0"/>
          <w:numId w:val="131"/>
        </w:numPr>
        <w:spacing w:after="200"/>
        <w:ind w:left="992" w:hanging="425"/>
      </w:pPr>
      <w:r>
        <w:t>the AJ</w:t>
      </w:r>
      <w:r w:rsidR="00866493">
        <w:t>A</w:t>
      </w:r>
      <w:r w:rsidR="00B4167B">
        <w:t>.</w:t>
      </w:r>
      <w:r w:rsidR="006E2E6D">
        <w:rPr>
          <w:rStyle w:val="FootnoteReference"/>
        </w:rPr>
        <w:footnoteReference w:id="65"/>
      </w:r>
    </w:p>
    <w:p w14:paraId="5A43E76C" w14:textId="311F4824" w:rsidR="001108C8" w:rsidRPr="001108C8" w:rsidRDefault="001108C8" w:rsidP="00A07A23">
      <w:pPr>
        <w:keepNext/>
        <w:rPr>
          <w:b/>
        </w:rPr>
      </w:pPr>
      <w:r w:rsidRPr="001108C8">
        <w:rPr>
          <w:b/>
        </w:rPr>
        <w:t>The role of the justice response</w:t>
      </w:r>
    </w:p>
    <w:p w14:paraId="5C88E78B" w14:textId="02A6AD72" w:rsidR="00CD0F2B" w:rsidRDefault="00CD0F2B" w:rsidP="00CD0F2B">
      <w:r>
        <w:t>To effectively reduce DFV</w:t>
      </w:r>
      <w:r w:rsidR="00ED0FB7">
        <w:t>,</w:t>
      </w:r>
      <w:r>
        <w:t xml:space="preserve"> it is important </w:t>
      </w:r>
      <w:r w:rsidR="00B622CB">
        <w:t xml:space="preserve">that all </w:t>
      </w:r>
      <w:r w:rsidR="00726081">
        <w:t>agencies</w:t>
      </w:r>
      <w:r>
        <w:t xml:space="preserve"> </w:t>
      </w:r>
      <w:r w:rsidR="001108C8">
        <w:t>respond in a way that sends</w:t>
      </w:r>
      <w:r>
        <w:t xml:space="preserve"> a clear, consistent message that DFV is taken seriously in the NT and will not be condoned. </w:t>
      </w:r>
    </w:p>
    <w:p w14:paraId="3B36E2D2" w14:textId="3BDC06F5" w:rsidR="001108C8" w:rsidRDefault="00631623" w:rsidP="00877877">
      <w:r>
        <w:t>If DFV is not perceived to be taken seriously</w:t>
      </w:r>
      <w:r w:rsidR="00726081">
        <w:t xml:space="preserve"> or the abov</w:t>
      </w:r>
      <w:r w:rsidR="00B83976">
        <w:t xml:space="preserve">e drivers of DFV are </w:t>
      </w:r>
      <w:r w:rsidR="00726081">
        <w:t xml:space="preserve">evident </w:t>
      </w:r>
      <w:r w:rsidR="00B83976">
        <w:t xml:space="preserve">– in the community or </w:t>
      </w:r>
      <w:r w:rsidR="00726081">
        <w:t>in justice respo</w:t>
      </w:r>
      <w:r w:rsidR="00B83976">
        <w:t xml:space="preserve">nses, agencies and institutions – then DFV is likely to continue at current levels, or escalate. </w:t>
      </w:r>
      <w:r w:rsidR="00F0796F">
        <w:t xml:space="preserve"> </w:t>
      </w:r>
      <w:r w:rsidR="00B83976">
        <w:t xml:space="preserve">This means that </w:t>
      </w:r>
      <w:r w:rsidR="00726081">
        <w:t>generations o</w:t>
      </w:r>
      <w:r w:rsidR="00B83976">
        <w:t>f children will grow up think</w:t>
      </w:r>
      <w:r w:rsidR="00BD7505">
        <w:t>ing</w:t>
      </w:r>
      <w:r w:rsidR="00B83976">
        <w:t xml:space="preserve"> DFSV is a normal part of life.</w:t>
      </w:r>
      <w:r w:rsidR="00877877">
        <w:t xml:space="preserve">  </w:t>
      </w:r>
    </w:p>
    <w:p w14:paraId="27F36BB2" w14:textId="3A39062A" w:rsidR="00A3573C" w:rsidRDefault="00B83976" w:rsidP="00877877">
      <w:r>
        <w:t xml:space="preserve">This review </w:t>
      </w:r>
      <w:r w:rsidR="00947627">
        <w:t>seeks to strengthen the role the</w:t>
      </w:r>
      <w:r w:rsidR="00631623">
        <w:t xml:space="preserve"> justice response plays in increasing the safety of victim-survivors and holding</w:t>
      </w:r>
      <w:r w:rsidR="00BD7505">
        <w:t xml:space="preserve"> offenders to account, as part of an inter-agency effort to reduce DFSV.</w:t>
      </w:r>
    </w:p>
    <w:p w14:paraId="38AE5665" w14:textId="613A3EA5" w:rsidR="00BD7505" w:rsidRDefault="00BD7505">
      <w:r>
        <w:br w:type="page"/>
      </w:r>
    </w:p>
    <w:p w14:paraId="00A8A589" w14:textId="4A195A22" w:rsidR="00C93104" w:rsidRDefault="00C93104" w:rsidP="00F0796F">
      <w:pPr>
        <w:pStyle w:val="Heading1"/>
        <w:ind w:left="567" w:hanging="567"/>
      </w:pPr>
      <w:bookmarkStart w:id="16" w:name="_Toc112051806"/>
      <w:r>
        <w:rPr>
          <w:lang w:eastAsia="en-AU"/>
        </w:rPr>
        <w:lastRenderedPageBreak/>
        <w:t xml:space="preserve">Coercive </w:t>
      </w:r>
      <w:r w:rsidRPr="00E43583">
        <w:t>control</w:t>
      </w:r>
      <w:r w:rsidR="006F21EB">
        <w:t xml:space="preserve"> </w:t>
      </w:r>
      <w:r w:rsidR="00CA7A50">
        <w:t>reforms</w:t>
      </w:r>
      <w:bookmarkEnd w:id="16"/>
    </w:p>
    <w:p w14:paraId="1AC5487F" w14:textId="0DD2ED8F" w:rsidR="00685FBD" w:rsidRDefault="00685FBD" w:rsidP="00F0796F">
      <w:pPr>
        <w:pStyle w:val="Heading2"/>
        <w:ind w:left="1134"/>
        <w:rPr>
          <w:lang w:eastAsia="en-AU"/>
        </w:rPr>
      </w:pPr>
      <w:bookmarkStart w:id="17" w:name="_Toc112051807"/>
      <w:r>
        <w:rPr>
          <w:lang w:eastAsia="en-AU"/>
        </w:rPr>
        <w:t>What is coercive control?</w:t>
      </w:r>
      <w:bookmarkEnd w:id="17"/>
      <w:r w:rsidR="00FB50DC">
        <w:rPr>
          <w:lang w:eastAsia="en-AU"/>
        </w:rPr>
        <w:t xml:space="preserve"> </w:t>
      </w:r>
    </w:p>
    <w:p w14:paraId="1D7AEC75" w14:textId="6F1E5CE1" w:rsidR="00685FBD" w:rsidRDefault="00685FBD" w:rsidP="00685FBD">
      <w:pPr>
        <w:rPr>
          <w:lang w:eastAsia="en-AU"/>
        </w:rPr>
      </w:pPr>
      <w:r>
        <w:rPr>
          <w:lang w:eastAsia="en-AU"/>
        </w:rPr>
        <w:t>Although coercive control can occur in other contexts</w:t>
      </w:r>
      <w:r w:rsidR="005135D6">
        <w:rPr>
          <w:lang w:eastAsia="en-AU"/>
        </w:rPr>
        <w:t>,</w:t>
      </w:r>
      <w:r>
        <w:rPr>
          <w:rStyle w:val="FootnoteReference"/>
          <w:lang w:eastAsia="en-AU"/>
        </w:rPr>
        <w:footnoteReference w:id="66"/>
      </w:r>
      <w:r>
        <w:rPr>
          <w:lang w:eastAsia="en-AU"/>
        </w:rPr>
        <w:t xml:space="preserve"> this </w:t>
      </w:r>
      <w:r w:rsidR="000051BD">
        <w:rPr>
          <w:lang w:eastAsia="en-AU"/>
        </w:rPr>
        <w:t>paper</w:t>
      </w:r>
      <w:r>
        <w:rPr>
          <w:lang w:eastAsia="en-AU"/>
        </w:rPr>
        <w:t xml:space="preserve"> </w:t>
      </w:r>
      <w:r w:rsidR="000051BD">
        <w:rPr>
          <w:lang w:eastAsia="en-AU"/>
        </w:rPr>
        <w:t>focuses on</w:t>
      </w:r>
      <w:r>
        <w:rPr>
          <w:lang w:eastAsia="en-AU"/>
        </w:rPr>
        <w:t xml:space="preserve"> c</w:t>
      </w:r>
      <w:r w:rsidRPr="000C6630">
        <w:rPr>
          <w:lang w:eastAsia="en-AU"/>
        </w:rPr>
        <w:t xml:space="preserve">oercive control </w:t>
      </w:r>
      <w:r>
        <w:rPr>
          <w:lang w:eastAsia="en-AU"/>
        </w:rPr>
        <w:t>as</w:t>
      </w:r>
      <w:r w:rsidRPr="000C6630">
        <w:rPr>
          <w:lang w:eastAsia="en-AU"/>
        </w:rPr>
        <w:t xml:space="preserve"> a form of </w:t>
      </w:r>
      <w:r w:rsidR="00B71ED5">
        <w:rPr>
          <w:lang w:eastAsia="en-AU"/>
        </w:rPr>
        <w:t>DFV</w:t>
      </w:r>
      <w:r>
        <w:rPr>
          <w:lang w:eastAsia="en-AU"/>
        </w:rPr>
        <w:t xml:space="preserve">. </w:t>
      </w:r>
      <w:r w:rsidR="0003769B">
        <w:rPr>
          <w:rStyle w:val="FootnoteReference"/>
          <w:lang w:eastAsia="en-AU"/>
        </w:rPr>
        <w:footnoteReference w:id="67"/>
      </w:r>
    </w:p>
    <w:p w14:paraId="5A65E88C" w14:textId="4CC8CB37" w:rsidR="00AF3B5F" w:rsidRDefault="00AF3B5F" w:rsidP="00AF3B5F">
      <w:pPr>
        <w:rPr>
          <w:lang w:eastAsia="en-AU"/>
        </w:rPr>
      </w:pPr>
      <w:r>
        <w:rPr>
          <w:lang w:eastAsia="en-AU"/>
        </w:rPr>
        <w:t xml:space="preserve">Coercive control is a pattern of abusive behaviour </w:t>
      </w:r>
      <w:r w:rsidR="00E753CE">
        <w:rPr>
          <w:lang w:eastAsia="en-AU"/>
        </w:rPr>
        <w:t xml:space="preserve">that </w:t>
      </w:r>
      <w:r>
        <w:rPr>
          <w:lang w:eastAsia="en-AU"/>
        </w:rPr>
        <w:t>dominate</w:t>
      </w:r>
      <w:r w:rsidR="00E753CE">
        <w:rPr>
          <w:lang w:eastAsia="en-AU"/>
        </w:rPr>
        <w:t>s</w:t>
      </w:r>
      <w:r>
        <w:rPr>
          <w:lang w:eastAsia="en-AU"/>
        </w:rPr>
        <w:t xml:space="preserve"> and control</w:t>
      </w:r>
      <w:r w:rsidR="00E753CE">
        <w:rPr>
          <w:lang w:eastAsia="en-AU"/>
        </w:rPr>
        <w:t>s</w:t>
      </w:r>
      <w:r>
        <w:rPr>
          <w:lang w:eastAsia="en-AU"/>
        </w:rPr>
        <w:t xml:space="preserve"> a partner, ex-partner o</w:t>
      </w:r>
      <w:r w:rsidR="00E753CE">
        <w:rPr>
          <w:lang w:eastAsia="en-AU"/>
        </w:rPr>
        <w:t>r</w:t>
      </w:r>
      <w:r>
        <w:rPr>
          <w:lang w:eastAsia="en-AU"/>
        </w:rPr>
        <w:t xml:space="preserve"> family member.  It </w:t>
      </w:r>
      <w:r w:rsidR="00E753CE">
        <w:rPr>
          <w:lang w:eastAsia="en-AU"/>
        </w:rPr>
        <w:t>may</w:t>
      </w:r>
      <w:r>
        <w:rPr>
          <w:lang w:eastAsia="en-AU"/>
        </w:rPr>
        <w:t xml:space="preserve"> include physical, sexual, </w:t>
      </w:r>
      <w:r w:rsidR="00991E1C">
        <w:rPr>
          <w:lang w:eastAsia="en-AU"/>
        </w:rPr>
        <w:t xml:space="preserve">emotional, </w:t>
      </w:r>
      <w:r>
        <w:rPr>
          <w:lang w:eastAsia="en-AU"/>
        </w:rPr>
        <w:t>psychological or financial abuse</w:t>
      </w:r>
      <w:r w:rsidR="00991E1C">
        <w:rPr>
          <w:lang w:eastAsia="en-AU"/>
        </w:rPr>
        <w:t xml:space="preserve">, </w:t>
      </w:r>
      <w:r w:rsidR="00E753CE">
        <w:rPr>
          <w:lang w:eastAsia="en-AU"/>
        </w:rPr>
        <w:t xml:space="preserve">with the perpetrator typically deploying </w:t>
      </w:r>
      <w:r w:rsidR="00991E1C">
        <w:rPr>
          <w:lang w:eastAsia="en-AU"/>
        </w:rPr>
        <w:t xml:space="preserve">multiple forms of abuse to </w:t>
      </w:r>
      <w:r w:rsidR="002854DC">
        <w:rPr>
          <w:lang w:eastAsia="en-AU"/>
        </w:rPr>
        <w:t>make the victim-survivor fearful</w:t>
      </w:r>
      <w:r w:rsidR="00CE59CF">
        <w:rPr>
          <w:lang w:eastAsia="en-AU"/>
        </w:rPr>
        <w:t>, isolated</w:t>
      </w:r>
      <w:r w:rsidR="002854DC">
        <w:rPr>
          <w:lang w:eastAsia="en-AU"/>
        </w:rPr>
        <w:t xml:space="preserve"> and subordinate</w:t>
      </w:r>
      <w:r>
        <w:rPr>
          <w:lang w:eastAsia="en-AU"/>
        </w:rPr>
        <w:t xml:space="preserve">. </w:t>
      </w:r>
      <w:r w:rsidR="009D13BD">
        <w:rPr>
          <w:lang w:eastAsia="en-AU"/>
        </w:rPr>
        <w:t xml:space="preserve"> </w:t>
      </w:r>
      <w:r>
        <w:rPr>
          <w:lang w:eastAsia="en-AU"/>
        </w:rPr>
        <w:t xml:space="preserve">The behaviours </w:t>
      </w:r>
      <w:r w:rsidR="00991E1C">
        <w:rPr>
          <w:lang w:eastAsia="en-AU"/>
        </w:rPr>
        <w:t>often</w:t>
      </w:r>
      <w:r>
        <w:rPr>
          <w:lang w:eastAsia="en-AU"/>
        </w:rPr>
        <w:t xml:space="preserve"> build up slowly over time and </w:t>
      </w:r>
      <w:r w:rsidR="00991E1C">
        <w:rPr>
          <w:lang w:eastAsia="en-AU"/>
        </w:rPr>
        <w:t xml:space="preserve">can </w:t>
      </w:r>
      <w:r>
        <w:rPr>
          <w:lang w:eastAsia="en-AU"/>
        </w:rPr>
        <w:t xml:space="preserve">be difficult to identify.  The cumulative effect of this behaviour is that the perpetrator comes to control and dominate the victim-survivor to such an extent that </w:t>
      </w:r>
      <w:r w:rsidR="00760987">
        <w:rPr>
          <w:lang w:eastAsia="en-AU"/>
        </w:rPr>
        <w:t>it diminishes</w:t>
      </w:r>
      <w:r>
        <w:rPr>
          <w:lang w:eastAsia="en-AU"/>
        </w:rPr>
        <w:t xml:space="preserve"> their autonomy</w:t>
      </w:r>
      <w:r w:rsidR="00B2310C">
        <w:rPr>
          <w:lang w:eastAsia="en-AU"/>
        </w:rPr>
        <w:t xml:space="preserve"> and</w:t>
      </w:r>
      <w:r>
        <w:rPr>
          <w:lang w:eastAsia="en-AU"/>
        </w:rPr>
        <w:t xml:space="preserve"> independence</w:t>
      </w:r>
      <w:r w:rsidR="00760987">
        <w:rPr>
          <w:lang w:eastAsia="en-AU"/>
        </w:rPr>
        <w:t>,</w:t>
      </w:r>
      <w:r w:rsidR="00B2310C">
        <w:rPr>
          <w:lang w:eastAsia="en-AU"/>
        </w:rPr>
        <w:t xml:space="preserve"> </w:t>
      </w:r>
      <w:r w:rsidR="00CE59CF">
        <w:rPr>
          <w:lang w:eastAsia="en-AU"/>
        </w:rPr>
        <w:t xml:space="preserve">and </w:t>
      </w:r>
      <w:r>
        <w:rPr>
          <w:lang w:eastAsia="en-AU"/>
        </w:rPr>
        <w:t>damages their sense of self</w:t>
      </w:r>
      <w:r w:rsidR="00CC4985">
        <w:rPr>
          <w:lang w:eastAsia="en-AU"/>
        </w:rPr>
        <w:t xml:space="preserve"> and self-worth</w:t>
      </w:r>
      <w:r w:rsidR="00B2310C">
        <w:rPr>
          <w:lang w:eastAsia="en-AU"/>
        </w:rPr>
        <w:t>.</w:t>
      </w:r>
      <w:r w:rsidR="00FB5F65">
        <w:rPr>
          <w:rStyle w:val="FootnoteReference"/>
          <w:lang w:eastAsia="en-AU"/>
        </w:rPr>
        <w:footnoteReference w:id="68"/>
      </w:r>
      <w:r w:rsidR="00B2310C">
        <w:rPr>
          <w:lang w:eastAsia="en-AU"/>
        </w:rPr>
        <w:t xml:space="preserve">  </w:t>
      </w:r>
      <w:r w:rsidR="00CE59CF">
        <w:rPr>
          <w:lang w:eastAsia="en-AU"/>
        </w:rPr>
        <w:t xml:space="preserve">The effect can be so all-encompassing that </w:t>
      </w:r>
      <w:r w:rsidR="00B2310C">
        <w:rPr>
          <w:lang w:eastAsia="en-AU"/>
        </w:rPr>
        <w:t xml:space="preserve">ANROWS has described </w:t>
      </w:r>
      <w:r w:rsidR="00CE59CF">
        <w:rPr>
          <w:lang w:eastAsia="en-AU"/>
        </w:rPr>
        <w:t>it</w:t>
      </w:r>
      <w:r w:rsidR="00B2310C">
        <w:rPr>
          <w:lang w:eastAsia="en-AU"/>
        </w:rPr>
        <w:t xml:space="preserve"> as effectively removing the victim-survivor’s</w:t>
      </w:r>
      <w:r>
        <w:rPr>
          <w:lang w:eastAsia="en-AU"/>
        </w:rPr>
        <w:t xml:space="preserve"> </w:t>
      </w:r>
      <w:r w:rsidR="00B2310C">
        <w:rPr>
          <w:lang w:eastAsia="en-AU"/>
        </w:rPr>
        <w:t>‘</w:t>
      </w:r>
      <w:r>
        <w:rPr>
          <w:lang w:eastAsia="en-AU"/>
        </w:rPr>
        <w:t>personhoo</w:t>
      </w:r>
      <w:r w:rsidR="00B2310C">
        <w:rPr>
          <w:lang w:eastAsia="en-AU"/>
        </w:rPr>
        <w:t>d’.</w:t>
      </w:r>
      <w:r>
        <w:rPr>
          <w:rStyle w:val="FootnoteReference"/>
          <w:lang w:eastAsia="en-AU"/>
        </w:rPr>
        <w:footnoteReference w:id="69"/>
      </w:r>
    </w:p>
    <w:p w14:paraId="6CF3FB3D" w14:textId="656D2E44" w:rsidR="00685FBD" w:rsidRPr="000C6630" w:rsidRDefault="00B2310C" w:rsidP="00685FBD">
      <w:pPr>
        <w:rPr>
          <w:iCs/>
          <w:lang w:eastAsia="en-AU"/>
        </w:rPr>
      </w:pPr>
      <w:r>
        <w:rPr>
          <w:iCs/>
          <w:lang w:eastAsia="en-AU"/>
        </w:rPr>
        <w:t>Coercive cont</w:t>
      </w:r>
      <w:r w:rsidR="00FB5F65">
        <w:rPr>
          <w:iCs/>
          <w:lang w:eastAsia="en-AU"/>
        </w:rPr>
        <w:t>ro</w:t>
      </w:r>
      <w:r>
        <w:rPr>
          <w:iCs/>
          <w:lang w:eastAsia="en-AU"/>
        </w:rPr>
        <w:t>l</w:t>
      </w:r>
      <w:r w:rsidR="00685FBD">
        <w:rPr>
          <w:iCs/>
          <w:lang w:eastAsia="en-AU"/>
        </w:rPr>
        <w:t xml:space="preserve"> is a highly gendered behaviour, with evidence showing it is predominantly, but not exclusively, perpetrated by men against women and children.</w:t>
      </w:r>
      <w:r w:rsidR="00685FBD">
        <w:rPr>
          <w:rStyle w:val="FootnoteReference"/>
          <w:iCs/>
          <w:lang w:eastAsia="en-AU"/>
        </w:rPr>
        <w:footnoteReference w:id="70"/>
      </w:r>
      <w:r w:rsidR="00685FBD">
        <w:rPr>
          <w:iCs/>
          <w:lang w:eastAsia="en-AU"/>
        </w:rPr>
        <w:t xml:space="preserve">  </w:t>
      </w:r>
    </w:p>
    <w:p w14:paraId="66FA4D97" w14:textId="4E8DE880" w:rsidR="00685FBD" w:rsidRDefault="00685FBD" w:rsidP="00685FBD">
      <w:pPr>
        <w:rPr>
          <w:lang w:eastAsia="en-AU"/>
        </w:rPr>
      </w:pPr>
      <w:r>
        <w:rPr>
          <w:lang w:eastAsia="en-AU"/>
        </w:rPr>
        <w:t xml:space="preserve">The tactics used to control the partner are often interrelated. Examples </w:t>
      </w:r>
      <w:r w:rsidR="00435536">
        <w:rPr>
          <w:lang w:eastAsia="en-AU"/>
        </w:rPr>
        <w:t xml:space="preserve">of coercive control </w:t>
      </w:r>
      <w:r>
        <w:rPr>
          <w:lang w:eastAsia="en-AU"/>
        </w:rPr>
        <w:t>include but are not limited to the following:</w:t>
      </w:r>
    </w:p>
    <w:p w14:paraId="2B7F9291" w14:textId="3AA5C588" w:rsidR="00685FBD" w:rsidRDefault="009D13BD" w:rsidP="009D13BD">
      <w:pPr>
        <w:pStyle w:val="ListParagraph"/>
        <w:numPr>
          <w:ilvl w:val="0"/>
          <w:numId w:val="19"/>
        </w:numPr>
        <w:ind w:left="993" w:hanging="417"/>
        <w:rPr>
          <w:lang w:eastAsia="en-AU"/>
        </w:rPr>
      </w:pPr>
      <w:r>
        <w:rPr>
          <w:lang w:eastAsia="en-AU"/>
        </w:rPr>
        <w:t xml:space="preserve">isolating </w:t>
      </w:r>
      <w:r w:rsidR="00685FBD">
        <w:rPr>
          <w:lang w:eastAsia="en-AU"/>
        </w:rPr>
        <w:t>a victim-survivor from their family, friends</w:t>
      </w:r>
      <w:r w:rsidR="00D5126B">
        <w:rPr>
          <w:lang w:eastAsia="en-AU"/>
        </w:rPr>
        <w:t>, supporters, services, traditional country and culture</w:t>
      </w:r>
      <w:r>
        <w:rPr>
          <w:lang w:eastAsia="en-AU"/>
        </w:rPr>
        <w:t>;</w:t>
      </w:r>
    </w:p>
    <w:p w14:paraId="5826900D" w14:textId="1417D9A1" w:rsidR="00685FBD" w:rsidRDefault="009D13BD" w:rsidP="009D13BD">
      <w:pPr>
        <w:pStyle w:val="ListParagraph"/>
        <w:numPr>
          <w:ilvl w:val="0"/>
          <w:numId w:val="19"/>
        </w:numPr>
        <w:ind w:left="993" w:hanging="417"/>
        <w:rPr>
          <w:lang w:eastAsia="en-AU"/>
        </w:rPr>
      </w:pPr>
      <w:r>
        <w:rPr>
          <w:lang w:eastAsia="en-AU"/>
        </w:rPr>
        <w:t xml:space="preserve">restricting </w:t>
      </w:r>
      <w:r w:rsidR="00685FBD">
        <w:rPr>
          <w:lang w:eastAsia="en-AU"/>
        </w:rPr>
        <w:t>the victim-survivor’s freedom and autonomy, for example, controlling what she eats, wears, does, and who she talks to</w:t>
      </w:r>
      <w:r>
        <w:rPr>
          <w:lang w:eastAsia="en-AU"/>
        </w:rPr>
        <w:t>;</w:t>
      </w:r>
    </w:p>
    <w:p w14:paraId="5A713895" w14:textId="7562A3D4" w:rsidR="00685FBD" w:rsidRDefault="009D13BD" w:rsidP="009D13BD">
      <w:pPr>
        <w:pStyle w:val="ListParagraph"/>
        <w:numPr>
          <w:ilvl w:val="0"/>
          <w:numId w:val="19"/>
        </w:numPr>
        <w:ind w:left="993" w:hanging="417"/>
        <w:rPr>
          <w:lang w:eastAsia="en-AU"/>
        </w:rPr>
      </w:pPr>
      <w:r>
        <w:rPr>
          <w:lang w:eastAsia="en-AU"/>
        </w:rPr>
        <w:t xml:space="preserve">restricting </w:t>
      </w:r>
      <w:r w:rsidR="00685FBD">
        <w:rPr>
          <w:lang w:eastAsia="en-AU"/>
        </w:rPr>
        <w:t>the victim-survivor’s access to resources, including money, use of a vehicle, telephone and communication devices</w:t>
      </w:r>
      <w:r>
        <w:rPr>
          <w:lang w:eastAsia="en-AU"/>
        </w:rPr>
        <w:t>;</w:t>
      </w:r>
    </w:p>
    <w:p w14:paraId="4494A19E" w14:textId="5428AB00" w:rsidR="00685FBD" w:rsidRDefault="009D13BD" w:rsidP="009D13BD">
      <w:pPr>
        <w:pStyle w:val="ListParagraph"/>
        <w:numPr>
          <w:ilvl w:val="0"/>
          <w:numId w:val="19"/>
        </w:numPr>
        <w:ind w:left="993" w:hanging="417"/>
        <w:rPr>
          <w:lang w:eastAsia="en-AU"/>
        </w:rPr>
      </w:pPr>
      <w:r>
        <w:rPr>
          <w:lang w:eastAsia="en-AU"/>
        </w:rPr>
        <w:t xml:space="preserve">psychological </w:t>
      </w:r>
      <w:r w:rsidR="00685FBD">
        <w:rPr>
          <w:lang w:eastAsia="en-AU"/>
        </w:rPr>
        <w:t>control and manipulation, including threatening, frightening, humiliating, degrading or punishing the victim-survivor or making her feel worthless</w:t>
      </w:r>
      <w:r>
        <w:rPr>
          <w:lang w:eastAsia="en-AU"/>
        </w:rPr>
        <w:t>;</w:t>
      </w:r>
    </w:p>
    <w:p w14:paraId="1508FD0C" w14:textId="22A9E03A" w:rsidR="00685FBD" w:rsidRDefault="009D13BD" w:rsidP="009D13BD">
      <w:pPr>
        <w:pStyle w:val="ListParagraph"/>
        <w:numPr>
          <w:ilvl w:val="0"/>
          <w:numId w:val="19"/>
        </w:numPr>
        <w:ind w:left="993" w:hanging="417"/>
        <w:rPr>
          <w:lang w:eastAsia="en-AU"/>
        </w:rPr>
      </w:pPr>
      <w:r>
        <w:rPr>
          <w:lang w:eastAsia="en-AU"/>
        </w:rPr>
        <w:t xml:space="preserve">monitoring </w:t>
      </w:r>
      <w:r w:rsidR="00685FBD">
        <w:rPr>
          <w:lang w:eastAsia="en-AU"/>
        </w:rPr>
        <w:t>or regulating the day-to-day activities of the victim-survivor or keeping her under surveillance, including through tracking devices on mobile phones and hidden cameras</w:t>
      </w:r>
      <w:r>
        <w:rPr>
          <w:lang w:eastAsia="en-AU"/>
        </w:rPr>
        <w:t>;</w:t>
      </w:r>
    </w:p>
    <w:p w14:paraId="14E07640" w14:textId="15AB3B38" w:rsidR="00685FBD" w:rsidRDefault="009D13BD" w:rsidP="009D13BD">
      <w:pPr>
        <w:pStyle w:val="ListParagraph"/>
        <w:numPr>
          <w:ilvl w:val="0"/>
          <w:numId w:val="19"/>
        </w:numPr>
        <w:ind w:left="993" w:hanging="417"/>
        <w:rPr>
          <w:lang w:eastAsia="en-AU"/>
        </w:rPr>
      </w:pPr>
      <w:r>
        <w:rPr>
          <w:lang w:eastAsia="en-AU"/>
        </w:rPr>
        <w:t xml:space="preserve">physical </w:t>
      </w:r>
      <w:r w:rsidR="00685FBD">
        <w:rPr>
          <w:lang w:eastAsia="en-AU"/>
        </w:rPr>
        <w:t>violence and threats</w:t>
      </w:r>
      <w:r>
        <w:rPr>
          <w:lang w:eastAsia="en-AU"/>
        </w:rPr>
        <w:t>;</w:t>
      </w:r>
    </w:p>
    <w:p w14:paraId="02253445" w14:textId="2D65902F" w:rsidR="00685FBD" w:rsidRDefault="009D13BD" w:rsidP="009D13BD">
      <w:pPr>
        <w:pStyle w:val="ListParagraph"/>
        <w:numPr>
          <w:ilvl w:val="0"/>
          <w:numId w:val="19"/>
        </w:numPr>
        <w:ind w:left="993" w:hanging="417"/>
        <w:rPr>
          <w:lang w:eastAsia="en-AU"/>
        </w:rPr>
      </w:pPr>
      <w:r>
        <w:rPr>
          <w:lang w:eastAsia="en-AU"/>
        </w:rPr>
        <w:t xml:space="preserve">sexual </w:t>
      </w:r>
      <w:r w:rsidR="00685FBD">
        <w:rPr>
          <w:lang w:eastAsia="en-AU"/>
        </w:rPr>
        <w:t>violence and threats, including forced sexual activity</w:t>
      </w:r>
      <w:r>
        <w:rPr>
          <w:lang w:eastAsia="en-AU"/>
        </w:rPr>
        <w:t>;</w:t>
      </w:r>
    </w:p>
    <w:p w14:paraId="6852E553" w14:textId="43AC486C" w:rsidR="00685FBD" w:rsidRDefault="009D13BD" w:rsidP="009D13BD">
      <w:pPr>
        <w:pStyle w:val="ListParagraph"/>
        <w:numPr>
          <w:ilvl w:val="0"/>
          <w:numId w:val="19"/>
        </w:numPr>
        <w:ind w:left="993" w:hanging="417"/>
        <w:rPr>
          <w:lang w:eastAsia="en-AU"/>
        </w:rPr>
      </w:pPr>
      <w:r>
        <w:rPr>
          <w:lang w:eastAsia="en-AU"/>
        </w:rPr>
        <w:t xml:space="preserve">sharing </w:t>
      </w:r>
      <w:r w:rsidR="00685FBD">
        <w:rPr>
          <w:lang w:eastAsia="en-AU"/>
        </w:rPr>
        <w:t>information or images about the victim-survivor</w:t>
      </w:r>
      <w:r w:rsidR="001952F8">
        <w:rPr>
          <w:lang w:eastAsia="en-AU"/>
        </w:rPr>
        <w:t xml:space="preserve"> (</w:t>
      </w:r>
      <w:r w:rsidR="00435536">
        <w:rPr>
          <w:lang w:eastAsia="en-AU"/>
        </w:rPr>
        <w:t>or threatening to</w:t>
      </w:r>
      <w:r w:rsidR="001952F8">
        <w:rPr>
          <w:lang w:eastAsia="en-AU"/>
        </w:rPr>
        <w:t xml:space="preserve"> share them)</w:t>
      </w:r>
      <w:r w:rsidR="00685FBD">
        <w:rPr>
          <w:lang w:eastAsia="en-AU"/>
        </w:rPr>
        <w:t xml:space="preserve"> without her consent to control or humiliate her, including material of a confidential or sexual nature</w:t>
      </w:r>
      <w:r>
        <w:rPr>
          <w:lang w:eastAsia="en-AU"/>
        </w:rPr>
        <w:t>;</w:t>
      </w:r>
    </w:p>
    <w:p w14:paraId="4F348C14" w14:textId="38450841" w:rsidR="00685FBD" w:rsidRDefault="009D13BD" w:rsidP="009D13BD">
      <w:pPr>
        <w:pStyle w:val="ListParagraph"/>
        <w:numPr>
          <w:ilvl w:val="0"/>
          <w:numId w:val="19"/>
        </w:numPr>
        <w:ind w:left="993" w:hanging="417"/>
        <w:rPr>
          <w:lang w:eastAsia="en-AU"/>
        </w:rPr>
      </w:pPr>
      <w:r>
        <w:rPr>
          <w:lang w:eastAsia="en-AU"/>
        </w:rPr>
        <w:t xml:space="preserve">forcing </w:t>
      </w:r>
      <w:r w:rsidR="00685FBD">
        <w:rPr>
          <w:lang w:eastAsia="en-AU"/>
        </w:rPr>
        <w:t>the victim to get pregnant or have an abortion or denying birth control</w:t>
      </w:r>
      <w:r>
        <w:rPr>
          <w:lang w:eastAsia="en-AU"/>
        </w:rPr>
        <w:t>;</w:t>
      </w:r>
    </w:p>
    <w:p w14:paraId="66E8128B" w14:textId="1807013F" w:rsidR="00D5126B" w:rsidRDefault="009D13BD" w:rsidP="009D13BD">
      <w:pPr>
        <w:pStyle w:val="ListParagraph"/>
        <w:numPr>
          <w:ilvl w:val="0"/>
          <w:numId w:val="19"/>
        </w:numPr>
        <w:ind w:left="993" w:hanging="417"/>
        <w:rPr>
          <w:lang w:eastAsia="en-AU"/>
        </w:rPr>
      </w:pPr>
      <w:r>
        <w:rPr>
          <w:lang w:eastAsia="en-AU"/>
        </w:rPr>
        <w:lastRenderedPageBreak/>
        <w:t xml:space="preserve">threatening </w:t>
      </w:r>
      <w:r w:rsidR="00685FBD">
        <w:rPr>
          <w:lang w:eastAsia="en-AU"/>
        </w:rPr>
        <w:t>the victim-survivor’s relationship with her children, for e</w:t>
      </w:r>
      <w:r>
        <w:rPr>
          <w:lang w:eastAsia="en-AU"/>
        </w:rPr>
        <w:t>xample:</w:t>
      </w:r>
      <w:r w:rsidR="00D9635E">
        <w:rPr>
          <w:lang w:eastAsia="en-AU"/>
        </w:rPr>
        <w:t xml:space="preserve"> </w:t>
      </w:r>
    </w:p>
    <w:p w14:paraId="647D4AAF" w14:textId="2838D7E0" w:rsidR="00D5126B" w:rsidRDefault="00D5126B" w:rsidP="009D13BD">
      <w:pPr>
        <w:pStyle w:val="ListParagraph"/>
        <w:numPr>
          <w:ilvl w:val="1"/>
          <w:numId w:val="19"/>
        </w:numPr>
        <w:ind w:left="1418" w:hanging="425"/>
        <w:rPr>
          <w:lang w:eastAsia="en-AU"/>
        </w:rPr>
      </w:pPr>
      <w:r>
        <w:rPr>
          <w:lang w:eastAsia="en-AU"/>
        </w:rPr>
        <w:t xml:space="preserve">undermining </w:t>
      </w:r>
      <w:r w:rsidR="009D13BD">
        <w:rPr>
          <w:lang w:eastAsia="en-AU"/>
        </w:rPr>
        <w:t>the victim-survivor’s parenting;</w:t>
      </w:r>
      <w:r>
        <w:rPr>
          <w:lang w:eastAsia="en-AU"/>
        </w:rPr>
        <w:t xml:space="preserve"> </w:t>
      </w:r>
    </w:p>
    <w:p w14:paraId="17705F91" w14:textId="24B17BD5" w:rsidR="00D5126B" w:rsidRDefault="00D9635E" w:rsidP="009D13BD">
      <w:pPr>
        <w:pStyle w:val="ListParagraph"/>
        <w:numPr>
          <w:ilvl w:val="1"/>
          <w:numId w:val="19"/>
        </w:numPr>
        <w:ind w:left="1418" w:hanging="425"/>
        <w:rPr>
          <w:lang w:eastAsia="en-AU"/>
        </w:rPr>
      </w:pPr>
      <w:r>
        <w:rPr>
          <w:lang w:eastAsia="en-AU"/>
        </w:rPr>
        <w:t>threatening to have the children</w:t>
      </w:r>
      <w:r w:rsidR="00D5126B">
        <w:rPr>
          <w:lang w:eastAsia="en-AU"/>
        </w:rPr>
        <w:t xml:space="preserve"> rem</w:t>
      </w:r>
      <w:r w:rsidR="009D13BD">
        <w:rPr>
          <w:lang w:eastAsia="en-AU"/>
        </w:rPr>
        <w:t>oved from the victim-survivor’s care;</w:t>
      </w:r>
    </w:p>
    <w:p w14:paraId="340FAD44" w14:textId="6D74E6B8" w:rsidR="00D5126B" w:rsidRDefault="009D13BD" w:rsidP="009D13BD">
      <w:pPr>
        <w:pStyle w:val="ListParagraph"/>
        <w:numPr>
          <w:ilvl w:val="1"/>
          <w:numId w:val="19"/>
        </w:numPr>
        <w:ind w:left="1418" w:hanging="425"/>
        <w:rPr>
          <w:lang w:eastAsia="en-AU"/>
        </w:rPr>
      </w:pPr>
      <w:r>
        <w:rPr>
          <w:lang w:eastAsia="en-AU"/>
        </w:rPr>
        <w:t>kidnapping the children;</w:t>
      </w:r>
      <w:r w:rsidR="00DC5C59">
        <w:rPr>
          <w:lang w:eastAsia="en-AU"/>
        </w:rPr>
        <w:t xml:space="preserve"> </w:t>
      </w:r>
    </w:p>
    <w:p w14:paraId="2ECCC962" w14:textId="635F37E1" w:rsidR="00D5126B" w:rsidRDefault="00DC5C59" w:rsidP="009D13BD">
      <w:pPr>
        <w:pStyle w:val="ListParagraph"/>
        <w:numPr>
          <w:ilvl w:val="1"/>
          <w:numId w:val="19"/>
        </w:numPr>
        <w:ind w:left="1418" w:hanging="425"/>
        <w:rPr>
          <w:lang w:eastAsia="en-AU"/>
        </w:rPr>
      </w:pPr>
      <w:r>
        <w:rPr>
          <w:lang w:eastAsia="en-AU"/>
        </w:rPr>
        <w:t>preventing the victim-survivor from seeing the children</w:t>
      </w:r>
      <w:r w:rsidR="009D13BD">
        <w:rPr>
          <w:lang w:eastAsia="en-AU"/>
        </w:rPr>
        <w:t>;</w:t>
      </w:r>
      <w:r>
        <w:rPr>
          <w:lang w:eastAsia="en-AU"/>
        </w:rPr>
        <w:t xml:space="preserve"> </w:t>
      </w:r>
      <w:r w:rsidR="00685FBD">
        <w:rPr>
          <w:lang w:eastAsia="en-AU"/>
        </w:rPr>
        <w:t xml:space="preserve">or </w:t>
      </w:r>
    </w:p>
    <w:p w14:paraId="78A68BF1" w14:textId="7814F8DE" w:rsidR="00DC5C59" w:rsidRDefault="00685FBD" w:rsidP="009D13BD">
      <w:pPr>
        <w:pStyle w:val="ListParagraph"/>
        <w:numPr>
          <w:ilvl w:val="1"/>
          <w:numId w:val="19"/>
        </w:numPr>
        <w:ind w:left="1418" w:hanging="425"/>
        <w:rPr>
          <w:lang w:eastAsia="en-AU"/>
        </w:rPr>
      </w:pPr>
      <w:r>
        <w:rPr>
          <w:lang w:eastAsia="en-AU"/>
        </w:rPr>
        <w:t xml:space="preserve">forcing children to participate </w:t>
      </w:r>
      <w:r w:rsidR="00D9635E">
        <w:rPr>
          <w:lang w:eastAsia="en-AU"/>
        </w:rPr>
        <w:t xml:space="preserve">in abuse </w:t>
      </w:r>
      <w:r w:rsidR="00D5126B">
        <w:rPr>
          <w:lang w:eastAsia="en-AU"/>
        </w:rPr>
        <w:t xml:space="preserve">or denigration </w:t>
      </w:r>
      <w:r w:rsidR="00D9635E">
        <w:rPr>
          <w:lang w:eastAsia="en-AU"/>
        </w:rPr>
        <w:t>of the victim-survivor</w:t>
      </w:r>
      <w:r w:rsidR="009D13BD">
        <w:rPr>
          <w:lang w:eastAsia="en-AU"/>
        </w:rPr>
        <w:t>;</w:t>
      </w:r>
    </w:p>
    <w:p w14:paraId="3A43BBBB" w14:textId="021B9DA7" w:rsidR="00DC5C59" w:rsidRDefault="009D13BD" w:rsidP="009D13BD">
      <w:pPr>
        <w:pStyle w:val="ListParagraph"/>
        <w:numPr>
          <w:ilvl w:val="0"/>
          <w:numId w:val="19"/>
        </w:numPr>
        <w:spacing w:after="200"/>
        <w:ind w:left="998" w:hanging="420"/>
        <w:rPr>
          <w:lang w:eastAsia="en-AU"/>
        </w:rPr>
      </w:pPr>
      <w:r>
        <w:rPr>
          <w:lang w:eastAsia="en-AU"/>
        </w:rPr>
        <w:t>using</w:t>
      </w:r>
      <w:r w:rsidR="00DC5C59">
        <w:rPr>
          <w:lang w:eastAsia="en-AU"/>
        </w:rPr>
        <w:t>, or threatening to use, the legal system against the victim-survivor (sometimes called ‘systems abuse’).</w:t>
      </w:r>
      <w:r w:rsidR="00685FBD">
        <w:rPr>
          <w:rStyle w:val="FootnoteReference"/>
          <w:lang w:eastAsia="en-AU"/>
        </w:rPr>
        <w:footnoteReference w:id="71"/>
      </w:r>
    </w:p>
    <w:p w14:paraId="580C7D39" w14:textId="3BA69D64" w:rsidR="00685FBD" w:rsidRDefault="00685FBD" w:rsidP="00685FBD">
      <w:pPr>
        <w:rPr>
          <w:lang w:eastAsia="en-AU"/>
        </w:rPr>
      </w:pPr>
      <w:r>
        <w:rPr>
          <w:lang w:eastAsia="en-AU"/>
        </w:rPr>
        <w:t xml:space="preserve">Physical violence is often used as part of coercive control.  However, physical violence may be rare or not present at all. </w:t>
      </w:r>
      <w:r>
        <w:rPr>
          <w:rStyle w:val="FootnoteReference"/>
          <w:lang w:eastAsia="en-AU"/>
        </w:rPr>
        <w:footnoteReference w:id="72"/>
      </w:r>
      <w:r>
        <w:rPr>
          <w:lang w:eastAsia="en-AU"/>
        </w:rPr>
        <w:t xml:space="preserve"> </w:t>
      </w:r>
      <w:r w:rsidR="009D13BD">
        <w:rPr>
          <w:lang w:eastAsia="en-AU"/>
        </w:rPr>
        <w:t xml:space="preserve"> </w:t>
      </w:r>
      <w:r>
        <w:rPr>
          <w:lang w:eastAsia="en-AU"/>
        </w:rPr>
        <w:t>As a result coercive control is under-recognise</w:t>
      </w:r>
      <w:r w:rsidR="00D9635E">
        <w:rPr>
          <w:lang w:eastAsia="en-AU"/>
        </w:rPr>
        <w:t>d as a form of DFV</w:t>
      </w:r>
      <w:r>
        <w:rPr>
          <w:lang w:eastAsia="en-AU"/>
        </w:rPr>
        <w:t>, even though victim-survivors commonly describe it as ‘the worst part of the abuse’</w:t>
      </w:r>
      <w:r w:rsidR="00A268FE">
        <w:rPr>
          <w:lang w:eastAsia="en-AU"/>
        </w:rPr>
        <w:t xml:space="preserve"> and </w:t>
      </w:r>
      <w:r w:rsidR="00487DFB">
        <w:rPr>
          <w:lang w:eastAsia="en-AU"/>
        </w:rPr>
        <w:t xml:space="preserve">it </w:t>
      </w:r>
      <w:r w:rsidR="00A268FE">
        <w:rPr>
          <w:lang w:eastAsia="en-AU"/>
        </w:rPr>
        <w:t>has been described as ‘intimate terrorism.’</w:t>
      </w:r>
      <w:r w:rsidR="000235BE">
        <w:rPr>
          <w:rStyle w:val="FootnoteReference"/>
          <w:lang w:eastAsia="en-AU"/>
        </w:rPr>
        <w:footnoteReference w:id="73"/>
      </w:r>
    </w:p>
    <w:p w14:paraId="722CE871" w14:textId="75D5F972" w:rsidR="00685FBD" w:rsidRDefault="00685FBD" w:rsidP="00685FBD">
      <w:pPr>
        <w:rPr>
          <w:lang w:eastAsia="en-AU"/>
        </w:rPr>
      </w:pPr>
      <w:r>
        <w:rPr>
          <w:lang w:eastAsia="en-AU"/>
        </w:rPr>
        <w:t>A study by the Australian Institute of Criminology (AIC) of women who had experienced coercive control found that the most frequently reported behaviours were jealousy and suspicion of friends (73</w:t>
      </w:r>
      <w:r w:rsidR="009D13BD">
        <w:rPr>
          <w:lang w:eastAsia="en-AU"/>
        </w:rPr>
        <w:t> per cent)</w:t>
      </w:r>
      <w:r>
        <w:rPr>
          <w:lang w:eastAsia="en-AU"/>
        </w:rPr>
        <w:t>, constant insults (67</w:t>
      </w:r>
      <w:r w:rsidR="009D13BD">
        <w:rPr>
          <w:lang w:eastAsia="en-AU"/>
        </w:rPr>
        <w:t> per cent</w:t>
      </w:r>
      <w:r>
        <w:rPr>
          <w:lang w:eastAsia="en-AU"/>
        </w:rPr>
        <w:t>), monitoring of movements (65</w:t>
      </w:r>
      <w:r w:rsidR="009D13BD">
        <w:rPr>
          <w:lang w:eastAsia="en-AU"/>
        </w:rPr>
        <w:t> per cent</w:t>
      </w:r>
      <w:r>
        <w:rPr>
          <w:lang w:eastAsia="en-AU"/>
        </w:rPr>
        <w:t>) and financial abuse (56</w:t>
      </w:r>
      <w:r w:rsidR="009D13BD">
        <w:rPr>
          <w:lang w:eastAsia="en-AU"/>
        </w:rPr>
        <w:t> per cent</w:t>
      </w:r>
      <w:r>
        <w:rPr>
          <w:lang w:eastAsia="en-AU"/>
        </w:rPr>
        <w:t>).  The study found that only 54</w:t>
      </w:r>
      <w:r w:rsidR="009D13BD">
        <w:rPr>
          <w:lang w:eastAsia="en-AU"/>
        </w:rPr>
        <w:t> per cent</w:t>
      </w:r>
      <w:r>
        <w:rPr>
          <w:lang w:eastAsia="en-AU"/>
        </w:rPr>
        <w:t xml:space="preserve"> of the women experienced physical abuse (notably 27</w:t>
      </w:r>
      <w:r w:rsidR="009D13BD">
        <w:rPr>
          <w:lang w:eastAsia="en-AU"/>
        </w:rPr>
        <w:t> per cent</w:t>
      </w:r>
      <w:r>
        <w:rPr>
          <w:lang w:eastAsia="en-AU"/>
        </w:rPr>
        <w:t xml:space="preserve"> </w:t>
      </w:r>
      <w:r w:rsidR="00D9635E">
        <w:rPr>
          <w:lang w:eastAsia="en-AU"/>
        </w:rPr>
        <w:t xml:space="preserve">of these </w:t>
      </w:r>
      <w:r>
        <w:rPr>
          <w:lang w:eastAsia="en-AU"/>
        </w:rPr>
        <w:t>had experienced non-fatal strangulation) and 30</w:t>
      </w:r>
      <w:r w:rsidR="009D13BD">
        <w:rPr>
          <w:lang w:eastAsia="en-AU"/>
        </w:rPr>
        <w:t xml:space="preserve"> per </w:t>
      </w:r>
      <w:r w:rsidR="00866493">
        <w:rPr>
          <w:lang w:eastAsia="en-AU"/>
        </w:rPr>
        <w:t>cent</w:t>
      </w:r>
      <w:r>
        <w:rPr>
          <w:lang w:eastAsia="en-AU"/>
        </w:rPr>
        <w:t xml:space="preserve"> reported sexual abuse. Coercive control occurred in the absence of physical or sexual abuse in 42</w:t>
      </w:r>
      <w:r w:rsidR="009D13BD">
        <w:rPr>
          <w:lang w:eastAsia="en-AU"/>
        </w:rPr>
        <w:t> per cent</w:t>
      </w:r>
      <w:r>
        <w:rPr>
          <w:lang w:eastAsia="en-AU"/>
        </w:rPr>
        <w:t xml:space="preserve"> of cases.</w:t>
      </w:r>
      <w:r>
        <w:rPr>
          <w:rStyle w:val="FootnoteReference"/>
          <w:lang w:eastAsia="en-AU"/>
        </w:rPr>
        <w:footnoteReference w:id="74"/>
      </w:r>
    </w:p>
    <w:p w14:paraId="3FDE371B" w14:textId="5F24C5E6" w:rsidR="00685FBD" w:rsidRDefault="00685FBD" w:rsidP="00685FBD">
      <w:pPr>
        <w:rPr>
          <w:lang w:eastAsia="en-AU"/>
        </w:rPr>
      </w:pPr>
      <w:r>
        <w:rPr>
          <w:lang w:eastAsia="en-AU"/>
        </w:rPr>
        <w:t>For some victim-survivors</w:t>
      </w:r>
      <w:r w:rsidR="009D13BD">
        <w:rPr>
          <w:lang w:eastAsia="en-AU"/>
        </w:rPr>
        <w:t>,</w:t>
      </w:r>
      <w:r>
        <w:rPr>
          <w:lang w:eastAsia="en-AU"/>
        </w:rPr>
        <w:t xml:space="preserve"> the absence of physical violence makes it hard to identify what is happening to them as abusive</w:t>
      </w:r>
      <w:r w:rsidR="00D9635E">
        <w:rPr>
          <w:lang w:eastAsia="en-AU"/>
        </w:rPr>
        <w:t>, and it may be harder for family and friends to recognise the abuse as well</w:t>
      </w:r>
      <w:r>
        <w:rPr>
          <w:lang w:eastAsia="en-AU"/>
        </w:rPr>
        <w:t>.  The AIC study found that women were much more likely to seek help if they had experienced physical or sexual forms of abuse in addition to coercive control.</w:t>
      </w:r>
      <w:r w:rsidRPr="0097785E">
        <w:rPr>
          <w:rStyle w:val="FootnoteReference"/>
          <w:lang w:eastAsia="en-AU"/>
        </w:rPr>
        <w:t xml:space="preserve"> </w:t>
      </w:r>
      <w:r>
        <w:rPr>
          <w:rStyle w:val="FootnoteReference"/>
          <w:lang w:eastAsia="en-AU"/>
        </w:rPr>
        <w:footnoteReference w:id="75"/>
      </w:r>
    </w:p>
    <w:p w14:paraId="4AF4CA9E" w14:textId="3488CAB0" w:rsidR="00685FBD" w:rsidRDefault="00685FBD" w:rsidP="00685FBD">
      <w:pPr>
        <w:rPr>
          <w:lang w:eastAsia="en-AU"/>
        </w:rPr>
      </w:pPr>
      <w:r>
        <w:rPr>
          <w:lang w:eastAsia="en-AU"/>
        </w:rPr>
        <w:t xml:space="preserve">The tactics used to control the victim can be hard to identify because they are often nuanced and highly personal or context-specific.  Some tactics are specific to the particular relationship, and have meaning only in the context of that relationship.  What controls and intimidates one person in one relationship, may not control and intimidate another person.  The abuser may exploit the vulnerabilities of a victim in an attempt to control her. </w:t>
      </w:r>
      <w:r w:rsidR="009D13BD">
        <w:rPr>
          <w:lang w:eastAsia="en-AU"/>
        </w:rPr>
        <w:t xml:space="preserve"> </w:t>
      </w:r>
      <w:r>
        <w:rPr>
          <w:lang w:eastAsia="en-AU"/>
        </w:rPr>
        <w:t xml:space="preserve">Particular fears and anxieties, unemployment, disabilities, alcohol use or misuse, </w:t>
      </w:r>
      <w:r w:rsidR="00D9635E">
        <w:rPr>
          <w:lang w:eastAsia="en-AU"/>
        </w:rPr>
        <w:t xml:space="preserve">immigration status, </w:t>
      </w:r>
      <w:r>
        <w:rPr>
          <w:lang w:eastAsia="en-AU"/>
        </w:rPr>
        <w:t xml:space="preserve">mental health issues and concerns about children can all be used in this way. </w:t>
      </w:r>
      <w:r w:rsidR="009D13BD">
        <w:rPr>
          <w:lang w:eastAsia="en-AU"/>
        </w:rPr>
        <w:t xml:space="preserve"> </w:t>
      </w:r>
      <w:r>
        <w:rPr>
          <w:lang w:eastAsia="en-AU"/>
        </w:rPr>
        <w:t>It is often the case that one incident viewed in isolation, or out of the context of the relationship, may be so subtle that it is not rec</w:t>
      </w:r>
      <w:r w:rsidR="00435536">
        <w:rPr>
          <w:lang w:eastAsia="en-AU"/>
        </w:rPr>
        <w:t>ognisable as abusive</w:t>
      </w:r>
      <w:r>
        <w:rPr>
          <w:lang w:eastAsia="en-AU"/>
        </w:rPr>
        <w:t xml:space="preserve">. </w:t>
      </w:r>
    </w:p>
    <w:p w14:paraId="2C0DF800" w14:textId="77777777" w:rsidR="00685FBD" w:rsidRPr="003757DB" w:rsidRDefault="00685FBD" w:rsidP="00685FBD">
      <w:pPr>
        <w:ind w:left="568"/>
        <w:rPr>
          <w:lang w:eastAsia="en-AU"/>
        </w:rPr>
      </w:pPr>
      <w:r w:rsidRPr="003757DB">
        <w:rPr>
          <w:lang w:eastAsia="en-AU"/>
        </w:rPr>
        <w:t>“One of the challenges in defining coercive control is that the relevant behaviours are deeply contextual. The triggers of fear and intimidation that enable control may be so frequent and subtle they are not evident from outside the relationship.”</w:t>
      </w:r>
      <w:r w:rsidRPr="003757DB">
        <w:rPr>
          <w:rStyle w:val="FootnoteReference"/>
          <w:lang w:eastAsia="en-AU"/>
        </w:rPr>
        <w:t xml:space="preserve"> </w:t>
      </w:r>
      <w:r w:rsidRPr="003757DB">
        <w:rPr>
          <w:rStyle w:val="FootnoteReference"/>
          <w:lang w:eastAsia="en-AU"/>
        </w:rPr>
        <w:footnoteReference w:id="76"/>
      </w:r>
    </w:p>
    <w:p w14:paraId="43A5333B" w14:textId="713A07DA" w:rsidR="00685FBD" w:rsidRPr="00034AB9" w:rsidRDefault="00685FBD" w:rsidP="00685FBD">
      <w:pPr>
        <w:rPr>
          <w:lang w:eastAsia="en-AU"/>
        </w:rPr>
      </w:pPr>
      <w:r>
        <w:rPr>
          <w:lang w:eastAsia="en-AU"/>
        </w:rPr>
        <w:t>However, the tactics have a cumulative effect over time to create</w:t>
      </w:r>
      <w:r w:rsidR="009D13BD">
        <w:rPr>
          <w:lang w:eastAsia="en-AU"/>
        </w:rPr>
        <w:t xml:space="preserve"> significant harm to the victim</w:t>
      </w:r>
      <w:r w:rsidR="009D13BD">
        <w:rPr>
          <w:lang w:eastAsia="en-AU"/>
        </w:rPr>
        <w:noBreakHyphen/>
      </w:r>
      <w:r>
        <w:rPr>
          <w:lang w:eastAsia="en-AU"/>
        </w:rPr>
        <w:t>survivor.</w:t>
      </w:r>
      <w:r w:rsidR="00C04405">
        <w:rPr>
          <w:lang w:eastAsia="en-AU"/>
        </w:rPr>
        <w:t xml:space="preserve"> </w:t>
      </w:r>
    </w:p>
    <w:p w14:paraId="33AB29BD" w14:textId="77777777" w:rsidR="00DE5CBE" w:rsidRDefault="008F39EF" w:rsidP="009D13BD">
      <w:pPr>
        <w:pStyle w:val="Heading2"/>
        <w:keepNext/>
        <w:tabs>
          <w:tab w:val="left" w:pos="1134"/>
        </w:tabs>
        <w:ind w:left="1134" w:hanging="578"/>
        <w:rPr>
          <w:lang w:eastAsia="en-AU"/>
        </w:rPr>
      </w:pPr>
      <w:bookmarkStart w:id="18" w:name="_Toc112051808"/>
      <w:r>
        <w:rPr>
          <w:lang w:eastAsia="en-AU"/>
        </w:rPr>
        <w:lastRenderedPageBreak/>
        <w:t xml:space="preserve">Why is it important </w:t>
      </w:r>
      <w:r w:rsidR="0000327F">
        <w:rPr>
          <w:lang w:eastAsia="en-AU"/>
        </w:rPr>
        <w:t xml:space="preserve">for </w:t>
      </w:r>
      <w:r w:rsidR="0062197B">
        <w:rPr>
          <w:lang w:eastAsia="en-AU"/>
        </w:rPr>
        <w:t xml:space="preserve">governments </w:t>
      </w:r>
      <w:r w:rsidR="0000327F">
        <w:rPr>
          <w:lang w:eastAsia="en-AU"/>
        </w:rPr>
        <w:t xml:space="preserve">to </w:t>
      </w:r>
      <w:r w:rsidR="0062197B">
        <w:rPr>
          <w:lang w:eastAsia="en-AU"/>
        </w:rPr>
        <w:t>address</w:t>
      </w:r>
      <w:r>
        <w:rPr>
          <w:lang w:eastAsia="en-AU"/>
        </w:rPr>
        <w:t xml:space="preserve"> coercive control?</w:t>
      </w:r>
      <w:bookmarkEnd w:id="18"/>
    </w:p>
    <w:p w14:paraId="486D0031" w14:textId="248433E7" w:rsidR="00142DC4" w:rsidRDefault="00142DC4" w:rsidP="007D3AEF">
      <w:pPr>
        <w:rPr>
          <w:lang w:eastAsia="en-AU"/>
        </w:rPr>
      </w:pPr>
      <w:r>
        <w:rPr>
          <w:lang w:eastAsia="en-AU"/>
        </w:rPr>
        <w:t xml:space="preserve">Coercive control is an overarching (some </w:t>
      </w:r>
      <w:r w:rsidR="00563DC7">
        <w:rPr>
          <w:lang w:eastAsia="en-AU"/>
        </w:rPr>
        <w:t>argue</w:t>
      </w:r>
      <w:r>
        <w:rPr>
          <w:lang w:eastAsia="en-AU"/>
        </w:rPr>
        <w:t xml:space="preserve"> defining</w:t>
      </w:r>
      <w:r w:rsidR="00D9635E">
        <w:rPr>
          <w:lang w:eastAsia="en-AU"/>
        </w:rPr>
        <w:t>) feature</w:t>
      </w:r>
      <w:r>
        <w:rPr>
          <w:lang w:eastAsia="en-AU"/>
        </w:rPr>
        <w:t xml:space="preserve"> of DFV and there are important reasons why governments across Australia and internationally are seeking to address coercive control.</w:t>
      </w:r>
    </w:p>
    <w:p w14:paraId="18AD2B0D" w14:textId="77777777" w:rsidR="00EB0BEC" w:rsidRDefault="00CF10A0" w:rsidP="009D13BD">
      <w:pPr>
        <w:spacing w:after="120"/>
        <w:rPr>
          <w:lang w:eastAsia="en-AU"/>
        </w:rPr>
      </w:pPr>
      <w:r>
        <w:rPr>
          <w:lang w:eastAsia="en-AU"/>
        </w:rPr>
        <w:t>T</w:t>
      </w:r>
      <w:r w:rsidR="00142DC4">
        <w:rPr>
          <w:lang w:eastAsia="en-AU"/>
        </w:rPr>
        <w:t>he NSW Parliament Joint Select Committee on Coercive Control</w:t>
      </w:r>
      <w:r w:rsidR="00EB0BEC">
        <w:rPr>
          <w:lang w:eastAsia="en-AU"/>
        </w:rPr>
        <w:t xml:space="preserve"> found:</w:t>
      </w:r>
    </w:p>
    <w:p w14:paraId="46593DA1" w14:textId="77777777" w:rsidR="00EB0BEC" w:rsidRPr="009D13BD" w:rsidRDefault="008E1554" w:rsidP="009D13BD">
      <w:pPr>
        <w:spacing w:after="120"/>
        <w:ind w:left="567"/>
        <w:rPr>
          <w:lang w:eastAsia="en-AU"/>
        </w:rPr>
      </w:pPr>
      <w:r w:rsidRPr="009D13BD">
        <w:rPr>
          <w:lang w:eastAsia="en-AU"/>
        </w:rPr>
        <w:t>“</w:t>
      </w:r>
      <w:r w:rsidR="00EB0BEC" w:rsidRPr="009D13BD">
        <w:rPr>
          <w:lang w:eastAsia="en-AU"/>
        </w:rPr>
        <w:t>The pandemic of domestic abuse evidenced through statistics cannot be ignored. It is clear that coercive control is a factor and red flag for the horrific and preventable murder deaths of Australian women and children – some 29 murders in 2020 alone in NSW.</w:t>
      </w:r>
      <w:r w:rsidR="00142DC4" w:rsidRPr="009D13BD">
        <w:rPr>
          <w:rStyle w:val="FootnoteReference"/>
          <w:lang w:eastAsia="en-AU"/>
        </w:rPr>
        <w:footnoteReference w:id="77"/>
      </w:r>
    </w:p>
    <w:p w14:paraId="689E3442" w14:textId="77777777" w:rsidR="00EB0BEC" w:rsidRPr="009D13BD" w:rsidRDefault="008E1554" w:rsidP="009D13BD">
      <w:pPr>
        <w:ind w:left="567"/>
        <w:rPr>
          <w:lang w:eastAsia="en-AU"/>
        </w:rPr>
      </w:pPr>
      <w:r w:rsidRPr="009D13BD">
        <w:rPr>
          <w:lang w:eastAsia="en-AU"/>
        </w:rPr>
        <w:t>“</w:t>
      </w:r>
      <w:r w:rsidR="00EB0BEC" w:rsidRPr="009D13BD">
        <w:rPr>
          <w:lang w:eastAsia="en-AU"/>
        </w:rPr>
        <w:t>It is not the role of government to intervene in the daily lives of ordinary, consensual, healthy domestic relationships.</w:t>
      </w:r>
      <w:r w:rsidR="00142DC4" w:rsidRPr="009D13BD">
        <w:rPr>
          <w:lang w:eastAsia="en-AU"/>
        </w:rPr>
        <w:t xml:space="preserve"> </w:t>
      </w:r>
      <w:r w:rsidR="00EB0BEC" w:rsidRPr="009D13BD">
        <w:rPr>
          <w:lang w:eastAsia="en-AU"/>
        </w:rPr>
        <w:t>However</w:t>
      </w:r>
      <w:r w:rsidR="00142DC4" w:rsidRPr="009D13BD">
        <w:rPr>
          <w:lang w:eastAsia="en-AU"/>
        </w:rPr>
        <w:t>,</w:t>
      </w:r>
      <w:r w:rsidR="00EB0BEC" w:rsidRPr="009D13BD">
        <w:rPr>
          <w:lang w:eastAsia="en-AU"/>
        </w:rPr>
        <w:t xml:space="preserve"> it is incumbent on government, police, frontline services, family law and the criminal justice system to intervene where criminal behaviour exists that breaches human rights and is known to be a factor in potentially preventable domestic abuse related homicide deaths.</w:t>
      </w:r>
      <w:r w:rsidRPr="009D13BD">
        <w:rPr>
          <w:lang w:eastAsia="en-AU"/>
        </w:rPr>
        <w:t>”</w:t>
      </w:r>
      <w:r w:rsidR="00142DC4" w:rsidRPr="009D13BD">
        <w:rPr>
          <w:rStyle w:val="FootnoteReference"/>
          <w:lang w:eastAsia="en-AU"/>
        </w:rPr>
        <w:footnoteReference w:id="78"/>
      </w:r>
    </w:p>
    <w:p w14:paraId="1847C1F6" w14:textId="77777777" w:rsidR="00563DC7" w:rsidRPr="00563DC7" w:rsidRDefault="00563DC7" w:rsidP="005709DB">
      <w:pPr>
        <w:rPr>
          <w:lang w:eastAsia="en-AU"/>
        </w:rPr>
      </w:pPr>
      <w:r w:rsidRPr="00563DC7">
        <w:rPr>
          <w:lang w:eastAsia="en-AU"/>
        </w:rPr>
        <w:t xml:space="preserve">The factors that </w:t>
      </w:r>
      <w:r>
        <w:rPr>
          <w:lang w:eastAsia="en-AU"/>
        </w:rPr>
        <w:t>present a compelling case for addressing</w:t>
      </w:r>
      <w:r w:rsidR="00445CC2">
        <w:rPr>
          <w:lang w:eastAsia="en-AU"/>
        </w:rPr>
        <w:t xml:space="preserve"> coercive control are:</w:t>
      </w:r>
    </w:p>
    <w:p w14:paraId="13E8C91F" w14:textId="77777777" w:rsidR="005709DB" w:rsidRPr="005709DB" w:rsidRDefault="005709DB" w:rsidP="00445CC2">
      <w:pPr>
        <w:pStyle w:val="Heading3"/>
        <w:rPr>
          <w:lang w:eastAsia="en-AU"/>
        </w:rPr>
      </w:pPr>
      <w:bookmarkStart w:id="19" w:name="_Toc112051809"/>
      <w:r>
        <w:rPr>
          <w:lang w:eastAsia="en-AU"/>
        </w:rPr>
        <w:t>Coercive control</w:t>
      </w:r>
      <w:r w:rsidRPr="005709DB">
        <w:rPr>
          <w:lang w:eastAsia="en-AU"/>
        </w:rPr>
        <w:t xml:space="preserve"> </w:t>
      </w:r>
      <w:r>
        <w:rPr>
          <w:lang w:eastAsia="en-AU"/>
        </w:rPr>
        <w:t>significant</w:t>
      </w:r>
      <w:r w:rsidR="007005A4">
        <w:rPr>
          <w:lang w:eastAsia="en-AU"/>
        </w:rPr>
        <w:t>ly</w:t>
      </w:r>
      <w:r w:rsidRPr="005709DB">
        <w:rPr>
          <w:lang w:eastAsia="en-AU"/>
        </w:rPr>
        <w:t xml:space="preserve"> breach</w:t>
      </w:r>
      <w:r w:rsidR="007005A4">
        <w:rPr>
          <w:lang w:eastAsia="en-AU"/>
        </w:rPr>
        <w:t>es</w:t>
      </w:r>
      <w:r w:rsidRPr="005709DB">
        <w:rPr>
          <w:lang w:eastAsia="en-AU"/>
        </w:rPr>
        <w:t xml:space="preserve"> </w:t>
      </w:r>
      <w:r w:rsidR="007005A4">
        <w:rPr>
          <w:lang w:eastAsia="en-AU"/>
        </w:rPr>
        <w:t xml:space="preserve">a person’s </w:t>
      </w:r>
      <w:r w:rsidRPr="005709DB">
        <w:rPr>
          <w:lang w:eastAsia="en-AU"/>
        </w:rPr>
        <w:t>human rights</w:t>
      </w:r>
      <w:bookmarkEnd w:id="19"/>
    </w:p>
    <w:p w14:paraId="64785A10" w14:textId="6BD56C6A" w:rsidR="00142DC4" w:rsidRDefault="00142DC4" w:rsidP="009D13BD">
      <w:pPr>
        <w:spacing w:after="120"/>
        <w:rPr>
          <w:lang w:eastAsia="en-AU"/>
        </w:rPr>
      </w:pPr>
      <w:r w:rsidRPr="00142DC4">
        <w:rPr>
          <w:lang w:eastAsia="en-AU"/>
        </w:rPr>
        <w:t xml:space="preserve">The Queensland Women’s Safety and Justice Taskforce received </w:t>
      </w:r>
      <w:r w:rsidR="00632B5E">
        <w:rPr>
          <w:lang w:eastAsia="en-AU"/>
        </w:rPr>
        <w:t xml:space="preserve">around </w:t>
      </w:r>
      <w:r w:rsidRPr="00142DC4">
        <w:rPr>
          <w:lang w:eastAsia="en-AU"/>
        </w:rPr>
        <w:t>500 submissions on coercive control</w:t>
      </w:r>
      <w:r w:rsidRPr="00142DC4">
        <w:rPr>
          <w:b/>
          <w:bCs/>
          <w:lang w:eastAsia="en-AU"/>
        </w:rPr>
        <w:t xml:space="preserve"> </w:t>
      </w:r>
      <w:r w:rsidRPr="00142DC4">
        <w:rPr>
          <w:lang w:eastAsia="en-AU"/>
        </w:rPr>
        <w:t xml:space="preserve">from women and girls </w:t>
      </w:r>
      <w:r w:rsidR="00E1177E">
        <w:rPr>
          <w:lang w:eastAsia="en-AU"/>
        </w:rPr>
        <w:t>with lived experience</w:t>
      </w:r>
      <w:r w:rsidRPr="00142DC4">
        <w:rPr>
          <w:lang w:eastAsia="en-AU"/>
        </w:rPr>
        <w:t>.</w:t>
      </w:r>
      <w:r>
        <w:rPr>
          <w:lang w:eastAsia="en-AU"/>
        </w:rPr>
        <w:t xml:space="preserve"> The</w:t>
      </w:r>
      <w:r w:rsidR="00185ED7">
        <w:rPr>
          <w:lang w:eastAsia="en-AU"/>
        </w:rPr>
        <w:t xml:space="preserve"> </w:t>
      </w:r>
      <w:r w:rsidR="00741841">
        <w:rPr>
          <w:lang w:eastAsia="en-AU"/>
        </w:rPr>
        <w:t>Taskforce’s report highlighted</w:t>
      </w:r>
      <w:r>
        <w:rPr>
          <w:lang w:eastAsia="en-AU"/>
        </w:rPr>
        <w:t>:</w:t>
      </w:r>
    </w:p>
    <w:p w14:paraId="782413AA" w14:textId="77777777" w:rsidR="00142DC4" w:rsidRPr="009D13BD" w:rsidRDefault="008E1554" w:rsidP="009D13BD">
      <w:pPr>
        <w:ind w:left="567"/>
        <w:rPr>
          <w:lang w:eastAsia="en-AU"/>
        </w:rPr>
      </w:pPr>
      <w:r w:rsidRPr="009D13BD">
        <w:rPr>
          <w:lang w:eastAsia="en-AU"/>
        </w:rPr>
        <w:t xml:space="preserve">“Coercive control represents a violation of some of the most important human rights protected under the </w:t>
      </w:r>
      <w:r w:rsidRPr="009D13BD">
        <w:rPr>
          <w:i/>
          <w:iCs/>
          <w:lang w:eastAsia="en-AU"/>
        </w:rPr>
        <w:t>Human Rights Act 2019</w:t>
      </w:r>
      <w:r w:rsidRPr="009D13BD">
        <w:rPr>
          <w:lang w:eastAsia="en-AU"/>
        </w:rPr>
        <w:t xml:space="preserve"> (Qld) and international law. These violations of human rights not only justify the Queensland Government taking action to address coercive control — they compel it.”</w:t>
      </w:r>
      <w:r w:rsidR="005B5799" w:rsidRPr="009D13BD">
        <w:rPr>
          <w:rStyle w:val="FootnoteReference"/>
          <w:lang w:eastAsia="en-AU"/>
        </w:rPr>
        <w:footnoteReference w:id="79"/>
      </w:r>
    </w:p>
    <w:p w14:paraId="1B136AA1" w14:textId="77777777" w:rsidR="005709DB" w:rsidRDefault="005709DB" w:rsidP="009D13BD">
      <w:pPr>
        <w:spacing w:after="120"/>
        <w:rPr>
          <w:lang w:eastAsia="en-AU"/>
        </w:rPr>
      </w:pPr>
      <w:r w:rsidRPr="005709DB">
        <w:rPr>
          <w:lang w:eastAsia="en-AU"/>
        </w:rPr>
        <w:t>The Taskforce</w:t>
      </w:r>
      <w:r>
        <w:rPr>
          <w:lang w:eastAsia="en-AU"/>
        </w:rPr>
        <w:t xml:space="preserve"> identified th</w:t>
      </w:r>
      <w:r w:rsidR="00741841">
        <w:rPr>
          <w:lang w:eastAsia="en-AU"/>
        </w:rPr>
        <w:t>at coercive control contravenes</w:t>
      </w:r>
      <w:r>
        <w:rPr>
          <w:lang w:eastAsia="en-AU"/>
        </w:rPr>
        <w:t xml:space="preserve"> </w:t>
      </w:r>
      <w:r w:rsidR="00741841">
        <w:rPr>
          <w:lang w:eastAsia="en-AU"/>
        </w:rPr>
        <w:t>the following</w:t>
      </w:r>
      <w:r>
        <w:rPr>
          <w:lang w:eastAsia="en-AU"/>
        </w:rPr>
        <w:t xml:space="preserve"> human rights</w:t>
      </w:r>
      <w:r w:rsidR="00741841">
        <w:rPr>
          <w:lang w:eastAsia="en-AU"/>
        </w:rPr>
        <w:t>:</w:t>
      </w:r>
    </w:p>
    <w:p w14:paraId="52EE5E5B" w14:textId="7511607A" w:rsidR="005709DB" w:rsidRDefault="005709DB" w:rsidP="0067521E">
      <w:pPr>
        <w:pStyle w:val="ListParagraph"/>
        <w:numPr>
          <w:ilvl w:val="0"/>
          <w:numId w:val="48"/>
        </w:numPr>
        <w:ind w:left="992" w:hanging="425"/>
        <w:rPr>
          <w:lang w:eastAsia="en-AU"/>
        </w:rPr>
      </w:pPr>
      <w:r w:rsidRPr="00524357">
        <w:rPr>
          <w:b/>
          <w:bCs/>
          <w:lang w:eastAsia="en-AU"/>
        </w:rPr>
        <w:t>The right to life</w:t>
      </w:r>
      <w:r>
        <w:rPr>
          <w:lang w:eastAsia="en-AU"/>
        </w:rPr>
        <w:t xml:space="preserve"> – As </w:t>
      </w:r>
      <w:r w:rsidR="000B4B4E">
        <w:rPr>
          <w:lang w:eastAsia="en-AU"/>
        </w:rPr>
        <w:t xml:space="preserve">was found </w:t>
      </w:r>
      <w:r>
        <w:rPr>
          <w:lang w:eastAsia="en-AU"/>
        </w:rPr>
        <w:t>in NSW, the Queensland Domestic and Family Violence Death Review Advisory Board found th</w:t>
      </w:r>
      <w:r w:rsidR="00524357">
        <w:rPr>
          <w:lang w:eastAsia="en-AU"/>
        </w:rPr>
        <w:t>at</w:t>
      </w:r>
      <w:r>
        <w:rPr>
          <w:lang w:eastAsia="en-AU"/>
        </w:rPr>
        <w:t xml:space="preserve"> in </w:t>
      </w:r>
      <w:r w:rsidR="00D9635E">
        <w:rPr>
          <w:lang w:eastAsia="en-AU"/>
        </w:rPr>
        <w:t xml:space="preserve">the </w:t>
      </w:r>
      <w:r w:rsidR="007005A4">
        <w:rPr>
          <w:lang w:eastAsia="en-AU"/>
        </w:rPr>
        <w:t xml:space="preserve">‘vast </w:t>
      </w:r>
      <w:r>
        <w:rPr>
          <w:lang w:eastAsia="en-AU"/>
        </w:rPr>
        <w:t>majority</w:t>
      </w:r>
      <w:r w:rsidR="007005A4">
        <w:rPr>
          <w:lang w:eastAsia="en-AU"/>
        </w:rPr>
        <w:t>’</w:t>
      </w:r>
      <w:r>
        <w:rPr>
          <w:lang w:eastAsia="en-AU"/>
        </w:rPr>
        <w:t xml:space="preserve"> of </w:t>
      </w:r>
      <w:r w:rsidR="000B4B4E">
        <w:rPr>
          <w:lang w:eastAsia="en-AU"/>
        </w:rPr>
        <w:t xml:space="preserve">DFV-related </w:t>
      </w:r>
      <w:r>
        <w:rPr>
          <w:lang w:eastAsia="en-AU"/>
        </w:rPr>
        <w:t>deaths</w:t>
      </w:r>
      <w:r w:rsidR="007005A4">
        <w:rPr>
          <w:lang w:eastAsia="en-AU"/>
        </w:rPr>
        <w:t xml:space="preserve"> reviewed</w:t>
      </w:r>
      <w:r>
        <w:rPr>
          <w:lang w:eastAsia="en-AU"/>
        </w:rPr>
        <w:t xml:space="preserve"> </w:t>
      </w:r>
      <w:r w:rsidR="000B4B4E">
        <w:rPr>
          <w:lang w:eastAsia="en-AU"/>
        </w:rPr>
        <w:t xml:space="preserve">in Queensland </w:t>
      </w:r>
      <w:r>
        <w:rPr>
          <w:lang w:eastAsia="en-AU"/>
        </w:rPr>
        <w:t>there was evidence of coercive control.</w:t>
      </w:r>
    </w:p>
    <w:p w14:paraId="1DA6A7EC" w14:textId="77777777" w:rsidR="007005A4" w:rsidRDefault="005709DB" w:rsidP="0067521E">
      <w:pPr>
        <w:pStyle w:val="ListParagraph"/>
        <w:numPr>
          <w:ilvl w:val="0"/>
          <w:numId w:val="48"/>
        </w:numPr>
        <w:ind w:left="992" w:hanging="425"/>
        <w:rPr>
          <w:lang w:eastAsia="en-AU"/>
        </w:rPr>
      </w:pPr>
      <w:r w:rsidRPr="00524357">
        <w:rPr>
          <w:b/>
          <w:bCs/>
          <w:lang w:eastAsia="en-AU"/>
        </w:rPr>
        <w:t xml:space="preserve">The right to </w:t>
      </w:r>
      <w:r w:rsidR="007005A4" w:rsidRPr="00524357">
        <w:rPr>
          <w:b/>
          <w:bCs/>
          <w:lang w:eastAsia="en-AU"/>
        </w:rPr>
        <w:t xml:space="preserve">be </w:t>
      </w:r>
      <w:r w:rsidRPr="00524357">
        <w:rPr>
          <w:b/>
          <w:bCs/>
          <w:lang w:eastAsia="en-AU"/>
        </w:rPr>
        <w:t>protected from torture and cruel, inhuman and degrading treatment</w:t>
      </w:r>
      <w:r w:rsidR="007005A4">
        <w:rPr>
          <w:lang w:eastAsia="en-AU"/>
        </w:rPr>
        <w:t xml:space="preserve"> – Punishment and degrading treatment is a common feature of coercive control.</w:t>
      </w:r>
    </w:p>
    <w:p w14:paraId="1D84BA90" w14:textId="77777777" w:rsidR="007005A4" w:rsidRDefault="007005A4" w:rsidP="0067521E">
      <w:pPr>
        <w:pStyle w:val="ListParagraph"/>
        <w:numPr>
          <w:ilvl w:val="0"/>
          <w:numId w:val="48"/>
        </w:numPr>
        <w:ind w:left="992" w:hanging="425"/>
        <w:rPr>
          <w:lang w:eastAsia="en-AU"/>
        </w:rPr>
      </w:pPr>
      <w:r w:rsidRPr="00524357">
        <w:rPr>
          <w:b/>
          <w:bCs/>
          <w:lang w:eastAsia="en-AU"/>
        </w:rPr>
        <w:t>The right to privacy</w:t>
      </w:r>
      <w:r>
        <w:rPr>
          <w:lang w:eastAsia="en-AU"/>
        </w:rPr>
        <w:t xml:space="preserve"> – Coercive control frequently involves monitoring, surveillance and stalking, sometimes to an extreme level, that interferes with the right to privacy.</w:t>
      </w:r>
    </w:p>
    <w:p w14:paraId="07F5F823" w14:textId="77777777" w:rsidR="00524357" w:rsidRPr="005709DB" w:rsidRDefault="007005A4" w:rsidP="0067521E">
      <w:pPr>
        <w:pStyle w:val="ListParagraph"/>
        <w:numPr>
          <w:ilvl w:val="0"/>
          <w:numId w:val="48"/>
        </w:numPr>
        <w:ind w:left="993" w:hanging="426"/>
        <w:rPr>
          <w:lang w:eastAsia="en-AU"/>
        </w:rPr>
      </w:pPr>
      <w:r w:rsidRPr="00524357">
        <w:rPr>
          <w:b/>
          <w:bCs/>
          <w:lang w:eastAsia="en-AU"/>
        </w:rPr>
        <w:t>The rights of children</w:t>
      </w:r>
      <w:r>
        <w:rPr>
          <w:lang w:eastAsia="en-AU"/>
        </w:rPr>
        <w:t xml:space="preserve"> – Children are frequently harmed through exposure to coercive control and other forms of DFV</w:t>
      </w:r>
      <w:r w:rsidR="000B4B4E">
        <w:rPr>
          <w:lang w:eastAsia="en-AU"/>
        </w:rPr>
        <w:t xml:space="preserve"> against their mothers, step-mothers and other family members</w:t>
      </w:r>
      <w:r>
        <w:rPr>
          <w:lang w:eastAsia="en-AU"/>
        </w:rPr>
        <w:t>.</w:t>
      </w:r>
      <w:r w:rsidR="000B4B4E">
        <w:rPr>
          <w:rStyle w:val="FootnoteReference"/>
          <w:lang w:eastAsia="en-AU"/>
        </w:rPr>
        <w:footnoteReference w:id="80"/>
      </w:r>
    </w:p>
    <w:p w14:paraId="023D17AF" w14:textId="2CBB1350" w:rsidR="001C73BE" w:rsidRPr="005F1F4D" w:rsidRDefault="007260CD" w:rsidP="00393328">
      <w:pPr>
        <w:pStyle w:val="Heading3"/>
        <w:keepNext/>
        <w:rPr>
          <w:lang w:eastAsia="en-AU"/>
        </w:rPr>
      </w:pPr>
      <w:bookmarkStart w:id="20" w:name="_Toc112051810"/>
      <w:r w:rsidRPr="005F1F4D">
        <w:rPr>
          <w:lang w:eastAsia="en-AU"/>
        </w:rPr>
        <w:lastRenderedPageBreak/>
        <w:t>Coercive control</w:t>
      </w:r>
      <w:r w:rsidR="0062197B" w:rsidRPr="005F1F4D">
        <w:rPr>
          <w:lang w:eastAsia="en-AU"/>
        </w:rPr>
        <w:t xml:space="preserve"> is </w:t>
      </w:r>
      <w:r w:rsidR="00F747FB">
        <w:rPr>
          <w:lang w:eastAsia="en-AU"/>
        </w:rPr>
        <w:t>extremely harmful</w:t>
      </w:r>
      <w:r w:rsidR="00402F63">
        <w:rPr>
          <w:lang w:eastAsia="en-AU"/>
        </w:rPr>
        <w:t xml:space="preserve"> to persons subjected to it</w:t>
      </w:r>
      <w:bookmarkEnd w:id="20"/>
    </w:p>
    <w:p w14:paraId="7CC23431" w14:textId="77777777" w:rsidR="00F3556D" w:rsidRDefault="00067E83" w:rsidP="007D3AEF">
      <w:pPr>
        <w:rPr>
          <w:lang w:eastAsia="en-AU"/>
        </w:rPr>
      </w:pPr>
      <w:r>
        <w:rPr>
          <w:lang w:eastAsia="en-AU"/>
        </w:rPr>
        <w:t xml:space="preserve">People with lived experience of </w:t>
      </w:r>
      <w:r w:rsidR="00897044">
        <w:rPr>
          <w:lang w:eastAsia="en-AU"/>
        </w:rPr>
        <w:t xml:space="preserve">DFV </w:t>
      </w:r>
      <w:r w:rsidR="00CD0D79">
        <w:rPr>
          <w:lang w:eastAsia="en-AU"/>
        </w:rPr>
        <w:t xml:space="preserve">commonly </w:t>
      </w:r>
      <w:r w:rsidR="00897044">
        <w:rPr>
          <w:lang w:eastAsia="en-AU"/>
        </w:rPr>
        <w:t>describe coercive control and psychological abuse as the ‘worst part’ of the abuse, and more harmful than physical violence.</w:t>
      </w:r>
      <w:r w:rsidR="00454795">
        <w:rPr>
          <w:rStyle w:val="FootnoteReference"/>
          <w:lang w:eastAsia="en-AU"/>
        </w:rPr>
        <w:footnoteReference w:id="81"/>
      </w:r>
      <w:r>
        <w:rPr>
          <w:lang w:eastAsia="en-AU"/>
        </w:rPr>
        <w:t xml:space="preserve">  The </w:t>
      </w:r>
      <w:r w:rsidR="00CD0D79">
        <w:rPr>
          <w:lang w:eastAsia="en-AU"/>
        </w:rPr>
        <w:t xml:space="preserve">psychological </w:t>
      </w:r>
      <w:r>
        <w:rPr>
          <w:lang w:eastAsia="en-AU"/>
        </w:rPr>
        <w:t xml:space="preserve">effects can be long-lasting and insidious.  </w:t>
      </w:r>
    </w:p>
    <w:p w14:paraId="41592EAB" w14:textId="77777777" w:rsidR="00CD0D79" w:rsidRDefault="000A3287" w:rsidP="00393328">
      <w:pPr>
        <w:keepNext/>
        <w:spacing w:after="120"/>
        <w:rPr>
          <w:lang w:eastAsia="en-AU"/>
        </w:rPr>
      </w:pPr>
      <w:r>
        <w:rPr>
          <w:lang w:eastAsia="en-AU"/>
        </w:rPr>
        <w:t>In addition to any injuries or health issues arising from physical or sexual violence, the long-term harms resulting from coercive control may include:</w:t>
      </w:r>
    </w:p>
    <w:p w14:paraId="15603210" w14:textId="38A56C45" w:rsidR="000A3287" w:rsidRDefault="00393328" w:rsidP="0067521E">
      <w:pPr>
        <w:pStyle w:val="ListParagraph"/>
        <w:numPr>
          <w:ilvl w:val="0"/>
          <w:numId w:val="81"/>
        </w:numPr>
        <w:ind w:left="992" w:hanging="425"/>
        <w:rPr>
          <w:lang w:eastAsia="en-AU"/>
        </w:rPr>
      </w:pPr>
      <w:r>
        <w:rPr>
          <w:lang w:eastAsia="en-AU"/>
        </w:rPr>
        <w:t xml:space="preserve">elevated </w:t>
      </w:r>
      <w:r w:rsidR="000A3287">
        <w:rPr>
          <w:lang w:eastAsia="en-AU"/>
        </w:rPr>
        <w:t>substance use or abuse</w:t>
      </w:r>
      <w:r>
        <w:rPr>
          <w:lang w:eastAsia="en-AU"/>
        </w:rPr>
        <w:t>;</w:t>
      </w:r>
    </w:p>
    <w:p w14:paraId="266D3E6B" w14:textId="5C5D1450" w:rsidR="000A3287" w:rsidRDefault="00393328" w:rsidP="0067521E">
      <w:pPr>
        <w:pStyle w:val="ListParagraph"/>
        <w:numPr>
          <w:ilvl w:val="0"/>
          <w:numId w:val="81"/>
        </w:numPr>
        <w:ind w:left="992" w:hanging="425"/>
        <w:rPr>
          <w:lang w:eastAsia="en-AU"/>
        </w:rPr>
      </w:pPr>
      <w:r>
        <w:rPr>
          <w:lang w:eastAsia="en-AU"/>
        </w:rPr>
        <w:t>depression;</w:t>
      </w:r>
    </w:p>
    <w:p w14:paraId="480067F6" w14:textId="07865E25" w:rsidR="000A3287" w:rsidRDefault="00393328" w:rsidP="0067521E">
      <w:pPr>
        <w:pStyle w:val="ListParagraph"/>
        <w:numPr>
          <w:ilvl w:val="0"/>
          <w:numId w:val="81"/>
        </w:numPr>
        <w:ind w:left="992" w:hanging="425"/>
        <w:rPr>
          <w:lang w:eastAsia="en-AU"/>
        </w:rPr>
      </w:pPr>
      <w:r>
        <w:rPr>
          <w:lang w:eastAsia="en-AU"/>
        </w:rPr>
        <w:t>post</w:t>
      </w:r>
      <w:r w:rsidR="000A3287">
        <w:rPr>
          <w:lang w:eastAsia="en-AU"/>
        </w:rPr>
        <w:t>-traumatic stress disorder (PTSD)</w:t>
      </w:r>
      <w:r>
        <w:rPr>
          <w:lang w:eastAsia="en-AU"/>
        </w:rPr>
        <w:t>;</w:t>
      </w:r>
    </w:p>
    <w:p w14:paraId="52A12115" w14:textId="74F1560F" w:rsidR="000A3287" w:rsidRDefault="00393328" w:rsidP="0067521E">
      <w:pPr>
        <w:pStyle w:val="ListParagraph"/>
        <w:numPr>
          <w:ilvl w:val="0"/>
          <w:numId w:val="81"/>
        </w:numPr>
        <w:ind w:left="992" w:hanging="425"/>
        <w:rPr>
          <w:lang w:eastAsia="en-AU"/>
        </w:rPr>
      </w:pPr>
      <w:r>
        <w:rPr>
          <w:lang w:eastAsia="en-AU"/>
        </w:rPr>
        <w:t>homelessness;</w:t>
      </w:r>
    </w:p>
    <w:p w14:paraId="0A7EFEDF" w14:textId="204230DC" w:rsidR="000A3287" w:rsidRDefault="00393328" w:rsidP="0067521E">
      <w:pPr>
        <w:pStyle w:val="ListParagraph"/>
        <w:numPr>
          <w:ilvl w:val="0"/>
          <w:numId w:val="81"/>
        </w:numPr>
        <w:ind w:left="993" w:hanging="426"/>
        <w:rPr>
          <w:lang w:eastAsia="en-AU"/>
        </w:rPr>
      </w:pPr>
      <w:r>
        <w:rPr>
          <w:lang w:eastAsia="en-AU"/>
        </w:rPr>
        <w:t>chronic stress;</w:t>
      </w:r>
    </w:p>
    <w:p w14:paraId="45045521" w14:textId="215A2F72" w:rsidR="000A3287" w:rsidRDefault="00393328" w:rsidP="0067521E">
      <w:pPr>
        <w:pStyle w:val="ListParagraph"/>
        <w:numPr>
          <w:ilvl w:val="0"/>
          <w:numId w:val="81"/>
        </w:numPr>
        <w:spacing w:after="200"/>
        <w:ind w:left="993" w:hanging="426"/>
        <w:rPr>
          <w:lang w:eastAsia="en-AU"/>
        </w:rPr>
      </w:pPr>
      <w:r>
        <w:rPr>
          <w:lang w:eastAsia="en-AU"/>
        </w:rPr>
        <w:t>hyp</w:t>
      </w:r>
      <w:r w:rsidR="000A3287">
        <w:rPr>
          <w:lang w:eastAsia="en-AU"/>
        </w:rPr>
        <w:t>ertension and a range of physical ailments.</w:t>
      </w:r>
      <w:r w:rsidR="0011358D">
        <w:rPr>
          <w:rStyle w:val="FootnoteReference"/>
          <w:lang w:eastAsia="en-AU"/>
        </w:rPr>
        <w:footnoteReference w:id="82"/>
      </w:r>
    </w:p>
    <w:p w14:paraId="52429B98" w14:textId="77777777" w:rsidR="000A3287" w:rsidRDefault="000A3287" w:rsidP="000A3287">
      <w:pPr>
        <w:rPr>
          <w:lang w:eastAsia="en-AU"/>
        </w:rPr>
      </w:pPr>
      <w:r>
        <w:rPr>
          <w:lang w:eastAsia="en-AU"/>
        </w:rPr>
        <w:t>Some studies have reported that psychological abuse is a stronger contributor to the development of some of these problems than physical abuse.</w:t>
      </w:r>
      <w:r w:rsidR="0011358D">
        <w:rPr>
          <w:rStyle w:val="FootnoteReference"/>
          <w:lang w:eastAsia="en-AU"/>
        </w:rPr>
        <w:footnoteReference w:id="83"/>
      </w:r>
    </w:p>
    <w:p w14:paraId="6057F06E" w14:textId="77777777" w:rsidR="00AD1EF9" w:rsidRDefault="00067E83" w:rsidP="007D3AEF">
      <w:pPr>
        <w:rPr>
          <w:lang w:eastAsia="en-AU"/>
        </w:rPr>
      </w:pPr>
      <w:r>
        <w:rPr>
          <w:lang w:eastAsia="en-AU"/>
        </w:rPr>
        <w:t xml:space="preserve">This has been documented </w:t>
      </w:r>
      <w:r w:rsidR="000B4B4E">
        <w:rPr>
          <w:lang w:eastAsia="en-AU"/>
        </w:rPr>
        <w:t>in multiple</w:t>
      </w:r>
      <w:r>
        <w:rPr>
          <w:lang w:eastAsia="en-AU"/>
        </w:rPr>
        <w:t xml:space="preserve"> submissions to the NSW Parliamentary Inquiry on Coercive Control </w:t>
      </w:r>
      <w:r w:rsidR="000B4B4E">
        <w:rPr>
          <w:lang w:eastAsia="en-AU"/>
        </w:rPr>
        <w:t>and</w:t>
      </w:r>
      <w:r>
        <w:rPr>
          <w:lang w:eastAsia="en-AU"/>
        </w:rPr>
        <w:t xml:space="preserve"> the Queensland Women’s Safety and Justice Taskforce</w:t>
      </w:r>
      <w:r w:rsidR="00CD0D79">
        <w:rPr>
          <w:lang w:eastAsia="en-AU"/>
        </w:rPr>
        <w:t>,</w:t>
      </w:r>
      <w:r w:rsidR="00CD0D79">
        <w:rPr>
          <w:rStyle w:val="FootnoteReference"/>
          <w:lang w:eastAsia="en-AU"/>
        </w:rPr>
        <w:footnoteReference w:id="84"/>
      </w:r>
      <w:r w:rsidR="00CD0D79">
        <w:rPr>
          <w:lang w:eastAsia="en-AU"/>
        </w:rPr>
        <w:t xml:space="preserve"> and a significant number of papers on coercive control prepared by non-government organisations.</w:t>
      </w:r>
      <w:r w:rsidR="00CD0D79">
        <w:rPr>
          <w:rStyle w:val="FootnoteReference"/>
          <w:lang w:eastAsia="en-AU"/>
        </w:rPr>
        <w:footnoteReference w:id="85"/>
      </w:r>
    </w:p>
    <w:p w14:paraId="28AFA07A" w14:textId="472A2C9D" w:rsidR="001C73BE" w:rsidRDefault="00897044" w:rsidP="007D3AEF">
      <w:pPr>
        <w:rPr>
          <w:lang w:eastAsia="en-AU"/>
        </w:rPr>
      </w:pPr>
      <w:r>
        <w:rPr>
          <w:lang w:eastAsia="en-AU"/>
        </w:rPr>
        <w:t xml:space="preserve">This is because </w:t>
      </w:r>
      <w:r w:rsidR="00067E83">
        <w:rPr>
          <w:lang w:eastAsia="en-AU"/>
        </w:rPr>
        <w:t xml:space="preserve">coercive control </w:t>
      </w:r>
      <w:r>
        <w:rPr>
          <w:lang w:eastAsia="en-AU"/>
        </w:rPr>
        <w:t xml:space="preserve">is an attack on a person’s </w:t>
      </w:r>
      <w:r w:rsidR="00067E83">
        <w:rPr>
          <w:lang w:eastAsia="en-AU"/>
        </w:rPr>
        <w:t>‘</w:t>
      </w:r>
      <w:r>
        <w:rPr>
          <w:lang w:eastAsia="en-AU"/>
        </w:rPr>
        <w:t>autonomy, liberty, equality</w:t>
      </w:r>
      <w:r w:rsidR="00067E83">
        <w:rPr>
          <w:lang w:eastAsia="en-AU"/>
        </w:rPr>
        <w:t>’</w:t>
      </w:r>
      <w:r w:rsidR="00067E83">
        <w:rPr>
          <w:rStyle w:val="FootnoteReference"/>
          <w:lang w:eastAsia="en-AU"/>
        </w:rPr>
        <w:footnoteReference w:id="86"/>
      </w:r>
      <w:r>
        <w:rPr>
          <w:lang w:eastAsia="en-AU"/>
        </w:rPr>
        <w:t xml:space="preserve"> and </w:t>
      </w:r>
      <w:r w:rsidR="002D7C13">
        <w:rPr>
          <w:lang w:eastAsia="en-AU"/>
        </w:rPr>
        <w:t>‘</w:t>
      </w:r>
      <w:r>
        <w:rPr>
          <w:lang w:eastAsia="en-AU"/>
        </w:rPr>
        <w:t>sense of sel</w:t>
      </w:r>
      <w:r w:rsidR="002D7C13">
        <w:rPr>
          <w:lang w:eastAsia="en-AU"/>
        </w:rPr>
        <w:t>f’</w:t>
      </w:r>
      <w:r w:rsidRPr="002D7C13">
        <w:rPr>
          <w:lang w:eastAsia="en-AU"/>
        </w:rPr>
        <w:t>.</w:t>
      </w:r>
      <w:r w:rsidR="002D7C13">
        <w:rPr>
          <w:rStyle w:val="FootnoteReference"/>
          <w:lang w:eastAsia="en-AU"/>
        </w:rPr>
        <w:footnoteReference w:id="87"/>
      </w:r>
      <w:r>
        <w:rPr>
          <w:lang w:eastAsia="en-AU"/>
        </w:rPr>
        <w:t xml:space="preserve"> </w:t>
      </w:r>
      <w:r w:rsidR="00393328">
        <w:rPr>
          <w:lang w:eastAsia="en-AU"/>
        </w:rPr>
        <w:t xml:space="preserve"> </w:t>
      </w:r>
      <w:r>
        <w:rPr>
          <w:lang w:eastAsia="en-AU"/>
        </w:rPr>
        <w:t>ANROWS ha</w:t>
      </w:r>
      <w:r w:rsidR="00067E83">
        <w:rPr>
          <w:lang w:eastAsia="en-AU"/>
        </w:rPr>
        <w:t>s</w:t>
      </w:r>
      <w:r w:rsidR="00590A2B">
        <w:rPr>
          <w:lang w:eastAsia="en-AU"/>
        </w:rPr>
        <w:t xml:space="preserve"> described it</w:t>
      </w:r>
      <w:r>
        <w:rPr>
          <w:lang w:eastAsia="en-AU"/>
        </w:rPr>
        <w:t xml:space="preserve"> is an attack on</w:t>
      </w:r>
      <w:r w:rsidR="00067E83">
        <w:rPr>
          <w:lang w:eastAsia="en-AU"/>
        </w:rPr>
        <w:t xml:space="preserve"> ‘personhood’.</w:t>
      </w:r>
      <w:r w:rsidR="00067E83">
        <w:rPr>
          <w:rStyle w:val="FootnoteReference"/>
          <w:lang w:eastAsia="en-AU"/>
        </w:rPr>
        <w:footnoteReference w:id="88"/>
      </w:r>
      <w:r w:rsidR="00067E83">
        <w:rPr>
          <w:lang w:eastAsia="en-AU"/>
        </w:rPr>
        <w:t xml:space="preserve"> </w:t>
      </w:r>
      <w:r w:rsidR="00393328">
        <w:rPr>
          <w:lang w:eastAsia="en-AU"/>
        </w:rPr>
        <w:t xml:space="preserve"> </w:t>
      </w:r>
      <w:r w:rsidR="00D6537C">
        <w:rPr>
          <w:lang w:eastAsia="en-AU"/>
        </w:rPr>
        <w:t xml:space="preserve">Coercive control </w:t>
      </w:r>
      <w:r w:rsidR="00AD1EF9">
        <w:rPr>
          <w:lang w:eastAsia="en-AU"/>
        </w:rPr>
        <w:t xml:space="preserve">prevents people from making their own decisions and living their lives. It takes away their agency, and causes them to live in fear. </w:t>
      </w:r>
    </w:p>
    <w:p w14:paraId="74AC2D1A" w14:textId="77777777" w:rsidR="00606D36" w:rsidRPr="00067E83" w:rsidRDefault="00606D36" w:rsidP="00393328">
      <w:pPr>
        <w:pStyle w:val="Heading3"/>
        <w:keepNext/>
        <w:rPr>
          <w:lang w:eastAsia="en-AU"/>
        </w:rPr>
      </w:pPr>
      <w:bookmarkStart w:id="21" w:name="_Toc112051811"/>
      <w:r w:rsidRPr="00067E83">
        <w:rPr>
          <w:lang w:eastAsia="en-AU"/>
        </w:rPr>
        <w:t>Coercive control</w:t>
      </w:r>
      <w:r w:rsidR="00067E83" w:rsidRPr="00067E83">
        <w:rPr>
          <w:lang w:eastAsia="en-AU"/>
        </w:rPr>
        <w:t xml:space="preserve"> </w:t>
      </w:r>
      <w:r w:rsidR="00067E83">
        <w:rPr>
          <w:lang w:eastAsia="en-AU"/>
        </w:rPr>
        <w:t>trap</w:t>
      </w:r>
      <w:r w:rsidR="003A31C8">
        <w:rPr>
          <w:lang w:eastAsia="en-AU"/>
        </w:rPr>
        <w:t>s people</w:t>
      </w:r>
      <w:r w:rsidR="00067E83">
        <w:rPr>
          <w:lang w:eastAsia="en-AU"/>
        </w:rPr>
        <w:t xml:space="preserve"> in violent relationships</w:t>
      </w:r>
      <w:bookmarkEnd w:id="21"/>
    </w:p>
    <w:p w14:paraId="0C4B34E9" w14:textId="55E10A93" w:rsidR="0000259A" w:rsidRDefault="0000259A" w:rsidP="007D3AEF">
      <w:r>
        <w:t xml:space="preserve">Despite changes in attitudes about DFV in recent years, </w:t>
      </w:r>
      <w:r w:rsidRPr="00A95F68">
        <w:t>nearly one in three Australians (32</w:t>
      </w:r>
      <w:r w:rsidR="00393328">
        <w:t> per cent</w:t>
      </w:r>
      <w:r w:rsidRPr="00A95F68">
        <w:t>) believe that women who do no</w:t>
      </w:r>
      <w:r w:rsidR="007B5F1F">
        <w:t>t escape</w:t>
      </w:r>
      <w:r w:rsidRPr="00A95F68">
        <w:t xml:space="preserve"> a relationship in which violence is occurring hold some responsibility for the abuse continuing</w:t>
      </w:r>
      <w:r>
        <w:t>.</w:t>
      </w:r>
      <w:r>
        <w:rPr>
          <w:rStyle w:val="FootnoteReference"/>
        </w:rPr>
        <w:footnoteReference w:id="89"/>
      </w:r>
      <w:r>
        <w:t xml:space="preserve">  </w:t>
      </w:r>
      <w:r w:rsidR="003A31C8">
        <w:t>P</w:t>
      </w:r>
      <w:r>
        <w:t>olice, lawyers</w:t>
      </w:r>
      <w:r w:rsidR="003A31C8">
        <w:t xml:space="preserve"> and other re</w:t>
      </w:r>
      <w:r w:rsidR="007B5F1F">
        <w:t xml:space="preserve">sponders often feel frustrated </w:t>
      </w:r>
      <w:r>
        <w:t>that</w:t>
      </w:r>
      <w:r w:rsidR="007B5F1F">
        <w:t>,</w:t>
      </w:r>
      <w:r>
        <w:t xml:space="preserve"> despite police and legal interventions women stay in, or return to, violent relationships. </w:t>
      </w:r>
    </w:p>
    <w:p w14:paraId="0FD405CF" w14:textId="519DF308" w:rsidR="009A34AD" w:rsidRDefault="000B4B4E" w:rsidP="007D3AEF">
      <w:r>
        <w:t>There are many complex reasons why women remain in, or return to, abusive relationships.</w:t>
      </w:r>
      <w:r w:rsidR="002D7C13">
        <w:rPr>
          <w:rStyle w:val="FootnoteReference"/>
        </w:rPr>
        <w:footnoteReference w:id="90"/>
      </w:r>
      <w:r>
        <w:t xml:space="preserve"> </w:t>
      </w:r>
      <w:r w:rsidR="00393328">
        <w:t xml:space="preserve"> </w:t>
      </w:r>
      <w:r w:rsidR="005342E3">
        <w:t xml:space="preserve">This includes love </w:t>
      </w:r>
      <w:r w:rsidR="00360BFD">
        <w:t xml:space="preserve">for </w:t>
      </w:r>
      <w:r w:rsidR="005342E3">
        <w:t>their partner, trying to provide a home for the</w:t>
      </w:r>
      <w:r w:rsidR="00360BFD">
        <w:t xml:space="preserve">ir </w:t>
      </w:r>
      <w:r w:rsidR="005342E3">
        <w:t>children, f</w:t>
      </w:r>
      <w:r w:rsidR="00CE33DF">
        <w:t xml:space="preserve">ear of the consequences of reporting the violence, </w:t>
      </w:r>
      <w:r w:rsidR="005D02FD">
        <w:t xml:space="preserve">fear that their children will be removed if they report DFV, </w:t>
      </w:r>
      <w:r w:rsidR="00CE33DF">
        <w:t xml:space="preserve">lack of formal </w:t>
      </w:r>
      <w:r w:rsidR="00CE33DF">
        <w:lastRenderedPageBreak/>
        <w:t>or informal supports, pressure from family and community to stay in the relationship, f</w:t>
      </w:r>
      <w:r w:rsidR="005342E3">
        <w:t>inancial insecurity</w:t>
      </w:r>
      <w:r w:rsidR="002D7C13">
        <w:t>, lack of housing and income options</w:t>
      </w:r>
      <w:r w:rsidR="005342E3">
        <w:t xml:space="preserve"> and because they are afraid to leav</w:t>
      </w:r>
      <w:r w:rsidR="00360BFD">
        <w:t>e</w:t>
      </w:r>
      <w:r w:rsidR="005342E3">
        <w:t xml:space="preserve">. </w:t>
      </w:r>
    </w:p>
    <w:p w14:paraId="2D6331F0" w14:textId="59314743" w:rsidR="006E68EF" w:rsidRDefault="005342E3" w:rsidP="007D3AEF">
      <w:r>
        <w:t xml:space="preserve">Research shows that violence </w:t>
      </w:r>
      <w:r w:rsidR="00DD4F1A">
        <w:t xml:space="preserve">often </w:t>
      </w:r>
      <w:r>
        <w:t xml:space="preserve">escalates when </w:t>
      </w:r>
      <w:r w:rsidR="00DD4F1A">
        <w:t xml:space="preserve">victim-survivors try to </w:t>
      </w:r>
      <w:r w:rsidR="00360BFD">
        <w:t xml:space="preserve">separate </w:t>
      </w:r>
      <w:r w:rsidR="00DD4F1A">
        <w:t xml:space="preserve">from their partners, </w:t>
      </w:r>
      <w:r w:rsidR="00360BFD">
        <w:t>or express an intention to separate.</w:t>
      </w:r>
      <w:r w:rsidR="002D7C13">
        <w:rPr>
          <w:rStyle w:val="FootnoteReference"/>
        </w:rPr>
        <w:footnoteReference w:id="91"/>
      </w:r>
      <w:r w:rsidR="007B5F1F">
        <w:t xml:space="preserve">  </w:t>
      </w:r>
      <w:r w:rsidR="009A34AD">
        <w:t xml:space="preserve">The </w:t>
      </w:r>
      <w:r w:rsidR="009A34AD" w:rsidRPr="009A34AD">
        <w:rPr>
          <w:i/>
        </w:rPr>
        <w:t>National Risk Assessment Principles for Domestic and Family Violence</w:t>
      </w:r>
      <w:r w:rsidR="00393328">
        <w:t xml:space="preserve"> emphasise that</w:t>
      </w:r>
      <w:r w:rsidR="009A34AD">
        <w:t xml:space="preserve"> “</w:t>
      </w:r>
      <w:r w:rsidR="006E68EF" w:rsidRPr="006E68EF">
        <w:rPr>
          <w:rFonts w:asciiTheme="minorHAnsi" w:eastAsia="Verdana" w:hAnsiTheme="minorHAnsi"/>
          <w:color w:val="000000"/>
        </w:rPr>
        <w:t>Women are most at risk of being killed or seriously harmed during and/</w:t>
      </w:r>
      <w:r w:rsidR="009A34AD">
        <w:rPr>
          <w:rFonts w:asciiTheme="minorHAnsi" w:eastAsia="Verdana" w:hAnsiTheme="minorHAnsi"/>
          <w:color w:val="000000"/>
        </w:rPr>
        <w:t>or immediately after separation” and that “</w:t>
      </w:r>
      <w:r w:rsidR="006E68EF" w:rsidRPr="006E68EF">
        <w:rPr>
          <w:rFonts w:asciiTheme="minorHAnsi" w:eastAsia="Verdana" w:hAnsiTheme="minorHAnsi"/>
          <w:color w:val="000000"/>
        </w:rPr>
        <w:t>Children are also at heightened risk of harm during and post-separation</w:t>
      </w:r>
      <w:r w:rsidR="00393328">
        <w:rPr>
          <w:rFonts w:asciiTheme="minorHAnsi" w:eastAsia="Verdana" w:hAnsiTheme="minorHAnsi"/>
          <w:color w:val="000000"/>
        </w:rPr>
        <w:t>”</w:t>
      </w:r>
      <w:r w:rsidR="006E68EF" w:rsidRPr="006E68EF">
        <w:rPr>
          <w:rFonts w:asciiTheme="minorHAnsi" w:eastAsia="Verdana" w:hAnsiTheme="minorHAnsi"/>
          <w:color w:val="000000"/>
        </w:rPr>
        <w:t>.</w:t>
      </w:r>
      <w:r w:rsidR="006E68EF">
        <w:rPr>
          <w:rStyle w:val="FootnoteReference"/>
          <w:rFonts w:asciiTheme="minorHAnsi" w:eastAsia="Verdana" w:hAnsiTheme="minorHAnsi"/>
          <w:color w:val="000000"/>
        </w:rPr>
        <w:footnoteReference w:id="92"/>
      </w:r>
    </w:p>
    <w:p w14:paraId="0644654C" w14:textId="77777777" w:rsidR="0000259A" w:rsidRDefault="005342E3" w:rsidP="007D3AEF">
      <w:r>
        <w:t>C</w:t>
      </w:r>
      <w:r w:rsidR="003B066F">
        <w:t xml:space="preserve">oercive control </w:t>
      </w:r>
      <w:r w:rsidR="00906352">
        <w:t xml:space="preserve">is </w:t>
      </w:r>
      <w:r w:rsidR="00DD4F1A">
        <w:t xml:space="preserve">an important factor </w:t>
      </w:r>
      <w:r w:rsidR="00360BFD">
        <w:t>that keeps people in violent relationships</w:t>
      </w:r>
      <w:r w:rsidR="000B4B4E">
        <w:t>.</w:t>
      </w:r>
    </w:p>
    <w:p w14:paraId="08EED461" w14:textId="77777777" w:rsidR="003A31C8" w:rsidRPr="00393328" w:rsidRDefault="000B4B4E" w:rsidP="000B4B4E">
      <w:pPr>
        <w:ind w:left="568"/>
      </w:pPr>
      <w:r w:rsidRPr="00393328">
        <w:t>“</w:t>
      </w:r>
      <w:r w:rsidR="003A31C8" w:rsidRPr="00393328">
        <w:t>Coercive control diminishes the woman’s ability to exercise her agency and autonomy—the very things that would enable her to leave the relationship—resulting in entrapment. Entrapment is described by Buzawa et al. as “the most devastating outcome of partner abuse”, sitting alongside significant impacts to the victim’s perception, personality, sense of self, sense of worth, autonomy and feeling of security (2017, p. 106).</w:t>
      </w:r>
      <w:r w:rsidR="003A31C8" w:rsidRPr="00393328">
        <w:rPr>
          <w:rStyle w:val="FootnoteReference"/>
        </w:rPr>
        <w:footnoteReference w:id="93"/>
      </w:r>
    </w:p>
    <w:p w14:paraId="678FD4F9" w14:textId="2110814A" w:rsidR="00D31531" w:rsidRDefault="00FE1FEA" w:rsidP="00C3331D">
      <w:r>
        <w:t>Tolmie and colleagues</w:t>
      </w:r>
      <w:r w:rsidR="00BA14D5">
        <w:rPr>
          <w:rStyle w:val="FootnoteReference"/>
        </w:rPr>
        <w:footnoteReference w:id="94"/>
      </w:r>
      <w:r w:rsidR="00D31531">
        <w:t xml:space="preserve"> have argued that violence between intimate partners operates as a form of social entrapment </w:t>
      </w:r>
      <w:r w:rsidR="00680AD2">
        <w:t xml:space="preserve">to constrain a victim-survivor’s agency. </w:t>
      </w:r>
      <w:r w:rsidR="00393328">
        <w:t xml:space="preserve"> </w:t>
      </w:r>
      <w:r w:rsidR="00680AD2">
        <w:t>There are</w:t>
      </w:r>
      <w:r w:rsidR="00D31531">
        <w:t xml:space="preserve"> three </w:t>
      </w:r>
      <w:r w:rsidR="00CB0654">
        <w:t xml:space="preserve">inter-related </w:t>
      </w:r>
      <w:r w:rsidR="00D31531">
        <w:t>dimensions</w:t>
      </w:r>
      <w:r w:rsidR="00680AD2">
        <w:t xml:space="preserve"> to the entrapment</w:t>
      </w:r>
      <w:r w:rsidR="00D31531">
        <w:t>:</w:t>
      </w:r>
    </w:p>
    <w:p w14:paraId="5C5901B2" w14:textId="47AE750C" w:rsidR="00D31531" w:rsidRPr="00393328" w:rsidRDefault="00BA14D5" w:rsidP="0067521E">
      <w:pPr>
        <w:pStyle w:val="ListParagraph"/>
        <w:numPr>
          <w:ilvl w:val="0"/>
          <w:numId w:val="127"/>
        </w:numPr>
        <w:ind w:left="993" w:hanging="425"/>
      </w:pPr>
      <w:r w:rsidRPr="00393328">
        <w:t>“</w:t>
      </w:r>
      <w:r w:rsidR="00D31531" w:rsidRPr="00393328">
        <w:t>The social isolation, fear and coercion that the predominant aggressor’s coercive and controlling behaviour creates in the victim’s life;</w:t>
      </w:r>
    </w:p>
    <w:p w14:paraId="5A500A84" w14:textId="741CF053" w:rsidR="00D31531" w:rsidRPr="00393328" w:rsidRDefault="00D31531" w:rsidP="0067521E">
      <w:pPr>
        <w:pStyle w:val="ListParagraph"/>
        <w:numPr>
          <w:ilvl w:val="0"/>
          <w:numId w:val="127"/>
        </w:numPr>
        <w:ind w:left="993" w:hanging="425"/>
      </w:pPr>
      <w:r w:rsidRPr="00393328">
        <w:t>The indifference of powerful institutions to the victim’s suffering; and</w:t>
      </w:r>
    </w:p>
    <w:p w14:paraId="153C9139" w14:textId="5C9CC48A" w:rsidR="00D31531" w:rsidRPr="00393328" w:rsidRDefault="00BA14D5" w:rsidP="0067521E">
      <w:pPr>
        <w:pStyle w:val="ListParagraph"/>
        <w:numPr>
          <w:ilvl w:val="0"/>
          <w:numId w:val="127"/>
        </w:numPr>
        <w:ind w:left="993" w:hanging="425"/>
      </w:pPr>
      <w:r w:rsidRPr="00393328">
        <w:t>The exac</w:t>
      </w:r>
      <w:r w:rsidR="00680AD2" w:rsidRPr="00393328">
        <w:t>erbation of coercive control by</w:t>
      </w:r>
      <w:r w:rsidRPr="00393328">
        <w:t xml:space="preserve"> the structural in</w:t>
      </w:r>
      <w:r w:rsidR="00CB0654" w:rsidRPr="00393328">
        <w:t>equities associated with gender</w:t>
      </w:r>
      <w:r w:rsidRPr="00393328">
        <w:t>, class, race and disability.</w:t>
      </w:r>
    </w:p>
    <w:p w14:paraId="71E8A7A2" w14:textId="35F4CE69" w:rsidR="00BA14D5" w:rsidRPr="00393328" w:rsidRDefault="00BA14D5" w:rsidP="00BA14D5">
      <w:pPr>
        <w:ind w:left="568"/>
      </w:pPr>
      <w:r w:rsidRPr="00393328">
        <w:t xml:space="preserve">This definition, originally developed by James Ptacek, asks us to render visible the predominant aggressor’s pattern of abusive behaviour and understand how it constrains the primary victim’s resistance and ability to escape the abuse while simultaneously </w:t>
      </w:r>
      <w:r w:rsidR="00CB0654" w:rsidRPr="00393328">
        <w:t>considering the wider operation</w:t>
      </w:r>
      <w:r w:rsidRPr="00393328">
        <w:t xml:space="preserve"> of power in her life.”</w:t>
      </w:r>
    </w:p>
    <w:p w14:paraId="103951A2" w14:textId="4EE86A6E" w:rsidR="00A3573C" w:rsidRDefault="00D31531" w:rsidP="00C3331D">
      <w:r w:rsidRPr="00906352">
        <w:t xml:space="preserve">If </w:t>
      </w:r>
      <w:r>
        <w:t>coerci</w:t>
      </w:r>
      <w:r w:rsidR="00680AD2">
        <w:t xml:space="preserve">ve control is enshrined in law, </w:t>
      </w:r>
      <w:r>
        <w:t>and the police</w:t>
      </w:r>
      <w:r w:rsidRPr="00906352">
        <w:t xml:space="preserve"> and </w:t>
      </w:r>
      <w:r>
        <w:t xml:space="preserve">other </w:t>
      </w:r>
      <w:r w:rsidRPr="00906352">
        <w:t>first responders recognise coercive control</w:t>
      </w:r>
      <w:r>
        <w:t xml:space="preserve"> at play in abusive relationships</w:t>
      </w:r>
      <w:r w:rsidR="00680AD2">
        <w:t>,</w:t>
      </w:r>
      <w:r w:rsidRPr="00906352">
        <w:t xml:space="preserve"> </w:t>
      </w:r>
      <w:r>
        <w:t>they will have greater appreciation of the role entrapment plays</w:t>
      </w:r>
      <w:r w:rsidR="00CB0654">
        <w:t xml:space="preserve"> in constraining victim-survivor’s agency</w:t>
      </w:r>
      <w:r>
        <w:t xml:space="preserve">. </w:t>
      </w:r>
      <w:r w:rsidR="00CB0654">
        <w:t xml:space="preserve"> </w:t>
      </w:r>
      <w:r>
        <w:t>This will lead to more realistic and effective responses to DFV that avoid blaming the victim, and appropriately place the responsibility on the person committing the offence.</w:t>
      </w:r>
    </w:p>
    <w:p w14:paraId="7E8DBA36" w14:textId="77777777" w:rsidR="00606D36" w:rsidRPr="00067E83" w:rsidRDefault="00606D36" w:rsidP="003757DB">
      <w:pPr>
        <w:pStyle w:val="Heading3"/>
        <w:keepNext/>
        <w:rPr>
          <w:lang w:eastAsia="en-AU"/>
        </w:rPr>
      </w:pPr>
      <w:bookmarkStart w:id="22" w:name="_Toc112051812"/>
      <w:r w:rsidRPr="00067E83">
        <w:rPr>
          <w:lang w:eastAsia="en-AU"/>
        </w:rPr>
        <w:lastRenderedPageBreak/>
        <w:t xml:space="preserve">Coercive control is a risk factor </w:t>
      </w:r>
      <w:r w:rsidR="00EE5F0F">
        <w:rPr>
          <w:lang w:eastAsia="en-AU"/>
        </w:rPr>
        <w:t xml:space="preserve">for </w:t>
      </w:r>
      <w:r w:rsidR="002D2FFA">
        <w:rPr>
          <w:lang w:eastAsia="en-AU"/>
        </w:rPr>
        <w:t xml:space="preserve">domestic </w:t>
      </w:r>
      <w:r w:rsidR="00EE5F0F">
        <w:rPr>
          <w:lang w:eastAsia="en-AU"/>
        </w:rPr>
        <w:t>homicide</w:t>
      </w:r>
      <w:bookmarkEnd w:id="22"/>
    </w:p>
    <w:p w14:paraId="1E2DB549" w14:textId="77777777" w:rsidR="00EE5F0F" w:rsidRDefault="00EE5F0F" w:rsidP="003757DB">
      <w:pPr>
        <w:keepNext/>
        <w:widowControl w:val="0"/>
        <w:tabs>
          <w:tab w:val="left" w:pos="2451"/>
          <w:tab w:val="left" w:pos="2452"/>
        </w:tabs>
        <w:autoSpaceDE w:val="0"/>
        <w:autoSpaceDN w:val="0"/>
        <w:ind w:right="113"/>
      </w:pPr>
      <w:r>
        <w:t>Coercive control is a recognised risk factor for domestic homicide.</w:t>
      </w:r>
      <w:r w:rsidR="002B62B4">
        <w:rPr>
          <w:rStyle w:val="FootnoteReference"/>
        </w:rPr>
        <w:footnoteReference w:id="95"/>
      </w:r>
    </w:p>
    <w:p w14:paraId="73D23606" w14:textId="15F85066" w:rsidR="00C3331D" w:rsidRDefault="00C3331D" w:rsidP="00393328">
      <w:pPr>
        <w:keepNext/>
        <w:keepLines/>
        <w:widowControl w:val="0"/>
        <w:tabs>
          <w:tab w:val="left" w:pos="2451"/>
          <w:tab w:val="left" w:pos="2452"/>
        </w:tabs>
        <w:autoSpaceDE w:val="0"/>
        <w:autoSpaceDN w:val="0"/>
        <w:spacing w:after="120"/>
        <w:ind w:right="113"/>
      </w:pPr>
      <w:r>
        <w:t>The NSW Domestic Violence Death Review Team reported that 99 per</w:t>
      </w:r>
      <w:r w:rsidR="00EE5F0F">
        <w:t xml:space="preserve"> </w:t>
      </w:r>
      <w:r>
        <w:t xml:space="preserve">cent </w:t>
      </w:r>
      <w:r w:rsidR="00FE1FEA">
        <w:t xml:space="preserve">of </w:t>
      </w:r>
      <w:r>
        <w:t>domestic</w:t>
      </w:r>
      <w:r w:rsidRPr="00C3331D">
        <w:rPr>
          <w:spacing w:val="-4"/>
        </w:rPr>
        <w:t xml:space="preserve"> </w:t>
      </w:r>
      <w:r>
        <w:t>violence homicides</w:t>
      </w:r>
      <w:r w:rsidRPr="00C3331D">
        <w:rPr>
          <w:spacing w:val="-1"/>
        </w:rPr>
        <w:t xml:space="preserve"> </w:t>
      </w:r>
      <w:r w:rsidR="00EE5F0F">
        <w:rPr>
          <w:spacing w:val="-1"/>
        </w:rPr>
        <w:t xml:space="preserve">that occurred </w:t>
      </w:r>
      <w:r>
        <w:rPr>
          <w:spacing w:val="-1"/>
        </w:rPr>
        <w:t xml:space="preserve">in NSW </w:t>
      </w:r>
      <w:r>
        <w:t>between</w:t>
      </w:r>
      <w:r w:rsidRPr="00C3331D">
        <w:rPr>
          <w:spacing w:val="-2"/>
        </w:rPr>
        <w:t xml:space="preserve"> </w:t>
      </w:r>
      <w:r>
        <w:t>2008 and</w:t>
      </w:r>
      <w:r w:rsidRPr="00C3331D">
        <w:rPr>
          <w:spacing w:val="-4"/>
        </w:rPr>
        <w:t xml:space="preserve"> </w:t>
      </w:r>
      <w:r>
        <w:t>2016</w:t>
      </w:r>
      <w:r w:rsidRPr="00C3331D">
        <w:rPr>
          <w:spacing w:val="-2"/>
        </w:rPr>
        <w:t xml:space="preserve"> </w:t>
      </w:r>
      <w:r>
        <w:t>(111</w:t>
      </w:r>
      <w:r w:rsidRPr="00C3331D">
        <w:rPr>
          <w:spacing w:val="-3"/>
        </w:rPr>
        <w:t xml:space="preserve"> </w:t>
      </w:r>
      <w:r>
        <w:t>out</w:t>
      </w:r>
      <w:r w:rsidRPr="00C3331D">
        <w:rPr>
          <w:spacing w:val="-3"/>
        </w:rPr>
        <w:t xml:space="preserve"> </w:t>
      </w:r>
      <w:r>
        <w:t>of</w:t>
      </w:r>
      <w:r w:rsidRPr="00C3331D">
        <w:rPr>
          <w:spacing w:val="-3"/>
        </w:rPr>
        <w:t xml:space="preserve"> </w:t>
      </w:r>
      <w:r>
        <w:t>112)</w:t>
      </w:r>
      <w:r w:rsidRPr="00C3331D">
        <w:rPr>
          <w:spacing w:val="-3"/>
        </w:rPr>
        <w:t xml:space="preserve"> </w:t>
      </w:r>
      <w:r>
        <w:t>were preceded by coercive control.</w:t>
      </w:r>
      <w:r w:rsidR="00EE5F0F">
        <w:rPr>
          <w:rStyle w:val="FootnoteReference"/>
        </w:rPr>
        <w:footnoteReference w:id="96"/>
      </w:r>
    </w:p>
    <w:p w14:paraId="6C5028AC" w14:textId="77777777" w:rsidR="00EE5F0F" w:rsidRPr="00393328" w:rsidRDefault="00360BFD" w:rsidP="00393328">
      <w:pPr>
        <w:widowControl w:val="0"/>
        <w:tabs>
          <w:tab w:val="left" w:pos="2451"/>
          <w:tab w:val="left" w:pos="2452"/>
        </w:tabs>
        <w:autoSpaceDE w:val="0"/>
        <w:autoSpaceDN w:val="0"/>
        <w:spacing w:after="120"/>
        <w:ind w:left="568" w:right="112"/>
      </w:pPr>
      <w:r w:rsidRPr="00393328">
        <w:t>“</w:t>
      </w:r>
      <w:r w:rsidR="00EE5F0F" w:rsidRPr="00393328">
        <w:t>Almost all of these cases involved persistent verbal abuse, over half involved social abuse (such as preventing the victim from seeing friends and family), and 43 per cent involved financial abuse (such as withholding access to bank accounts, or preventing the victim from working). Eighty per cent involved physical abuse before the homicide.</w:t>
      </w:r>
    </w:p>
    <w:p w14:paraId="480A7F47" w14:textId="77777777" w:rsidR="00E918C8" w:rsidRPr="00393328" w:rsidRDefault="00360BFD" w:rsidP="00393328">
      <w:pPr>
        <w:widowControl w:val="0"/>
        <w:tabs>
          <w:tab w:val="left" w:pos="2451"/>
          <w:tab w:val="left" w:pos="2452"/>
        </w:tabs>
        <w:autoSpaceDE w:val="0"/>
        <w:autoSpaceDN w:val="0"/>
        <w:spacing w:after="120"/>
        <w:ind w:left="568" w:right="112"/>
      </w:pPr>
      <w:r w:rsidRPr="00393328">
        <w:t>“</w:t>
      </w:r>
      <w:r w:rsidR="00E918C8" w:rsidRPr="00393328">
        <w:t>However, many domestic violence homicides are not preceded by a history of physical abuse at all – but by a pattern of other forms of coercive and controlling behaviour. In a number of cases, perpetrators deliberately refrained from using physical violence to avoid police intervention. In such situations, victims of coercive control did not always realise that they were experiencing domestic abuse, and the relationship may have appeared ‘normal’ from the outside.</w:t>
      </w:r>
    </w:p>
    <w:p w14:paraId="7E33EFEE" w14:textId="77777777" w:rsidR="00EE5F0F" w:rsidRPr="00393328" w:rsidRDefault="00360BFD" w:rsidP="00393328">
      <w:pPr>
        <w:widowControl w:val="0"/>
        <w:tabs>
          <w:tab w:val="left" w:pos="2451"/>
          <w:tab w:val="left" w:pos="2452"/>
        </w:tabs>
        <w:autoSpaceDE w:val="0"/>
        <w:autoSpaceDN w:val="0"/>
        <w:ind w:left="567" w:right="113"/>
      </w:pPr>
      <w:r w:rsidRPr="00393328">
        <w:t>“</w:t>
      </w:r>
      <w:r w:rsidR="00EE5F0F" w:rsidRPr="00393328">
        <w:t>The role of coercive control is even more stark in intimate partner murder-suicide cases in NSW. The Domestic Violence Death Review Team found that there was evidence of physical violence before the fatal assault in less than half of all domestic violence murder-suicides in the past 18 years. Coercive and controlling behaviours 'were the most common domestic violence behaviours used by the perpetrator towards the victim prior to the fatal event.'</w:t>
      </w:r>
      <w:r w:rsidRPr="00393328">
        <w:t>”</w:t>
      </w:r>
      <w:r w:rsidR="00E918C8" w:rsidRPr="00393328">
        <w:rPr>
          <w:rStyle w:val="FootnoteReference"/>
        </w:rPr>
        <w:footnoteReference w:id="97"/>
      </w:r>
    </w:p>
    <w:p w14:paraId="71053A10" w14:textId="77777777" w:rsidR="002B62B4" w:rsidRDefault="002B62B4" w:rsidP="007D3AEF">
      <w:pPr>
        <w:rPr>
          <w:lang w:eastAsia="en-AU"/>
        </w:rPr>
      </w:pPr>
      <w:r>
        <w:rPr>
          <w:lang w:eastAsia="en-AU"/>
        </w:rPr>
        <w:t>Improved responses to coercive control may prevent future domestic homicides from occurring.</w:t>
      </w:r>
    </w:p>
    <w:p w14:paraId="70915B2A" w14:textId="77777777" w:rsidR="00E918C8" w:rsidRPr="006E60C5" w:rsidRDefault="006B0A04" w:rsidP="00393328">
      <w:pPr>
        <w:pStyle w:val="Heading3"/>
        <w:keepNext/>
        <w:rPr>
          <w:lang w:eastAsia="en-AU"/>
        </w:rPr>
      </w:pPr>
      <w:bookmarkStart w:id="23" w:name="_Toc112051813"/>
      <w:r>
        <w:rPr>
          <w:lang w:eastAsia="en-AU"/>
        </w:rPr>
        <w:t>Responses to DFV cannot be improved unless we address coercive control</w:t>
      </w:r>
      <w:bookmarkEnd w:id="23"/>
    </w:p>
    <w:p w14:paraId="64C33BEC" w14:textId="77777777" w:rsidR="00DD4F1A" w:rsidRDefault="00A9700B" w:rsidP="00393328">
      <w:pPr>
        <w:rPr>
          <w:lang w:eastAsia="en-AU"/>
        </w:rPr>
      </w:pPr>
      <w:r>
        <w:rPr>
          <w:lang w:eastAsia="en-AU"/>
        </w:rPr>
        <w:t xml:space="preserve">Coercive control is such a </w:t>
      </w:r>
      <w:r w:rsidR="00142A6B">
        <w:rPr>
          <w:lang w:eastAsia="en-AU"/>
        </w:rPr>
        <w:t>predominant</w:t>
      </w:r>
      <w:r>
        <w:rPr>
          <w:lang w:eastAsia="en-AU"/>
        </w:rPr>
        <w:t xml:space="preserve"> feature of DFV</w:t>
      </w:r>
      <w:r w:rsidR="00A8337C">
        <w:rPr>
          <w:rStyle w:val="FootnoteReference"/>
          <w:lang w:eastAsia="en-AU"/>
        </w:rPr>
        <w:footnoteReference w:id="98"/>
      </w:r>
      <w:r>
        <w:rPr>
          <w:lang w:eastAsia="en-AU"/>
        </w:rPr>
        <w:t xml:space="preserve"> that </w:t>
      </w:r>
      <w:r w:rsidR="00142A6B">
        <w:rPr>
          <w:lang w:eastAsia="en-AU"/>
        </w:rPr>
        <w:t xml:space="preserve">there </w:t>
      </w:r>
      <w:r w:rsidR="00DD4F1A">
        <w:rPr>
          <w:lang w:eastAsia="en-AU"/>
        </w:rPr>
        <w:t xml:space="preserve">is </w:t>
      </w:r>
      <w:r w:rsidR="00F64401">
        <w:rPr>
          <w:lang w:eastAsia="en-AU"/>
        </w:rPr>
        <w:t>little</w:t>
      </w:r>
      <w:r w:rsidR="00DD4F1A">
        <w:rPr>
          <w:lang w:eastAsia="en-AU"/>
        </w:rPr>
        <w:t xml:space="preserve"> p</w:t>
      </w:r>
      <w:r w:rsidR="00F64401">
        <w:rPr>
          <w:lang w:eastAsia="en-AU"/>
        </w:rPr>
        <w:t>rospect</w:t>
      </w:r>
      <w:r w:rsidR="00DD4F1A">
        <w:rPr>
          <w:lang w:eastAsia="en-AU"/>
        </w:rPr>
        <w:t xml:space="preserve"> of improving responses to DFV unless </w:t>
      </w:r>
      <w:r w:rsidR="00A8337C">
        <w:rPr>
          <w:lang w:eastAsia="en-AU"/>
        </w:rPr>
        <w:t>first responders</w:t>
      </w:r>
      <w:r w:rsidR="00142A6B">
        <w:rPr>
          <w:lang w:eastAsia="en-AU"/>
        </w:rPr>
        <w:t xml:space="preserve"> understand and address </w:t>
      </w:r>
      <w:r w:rsidR="00DD4F1A">
        <w:rPr>
          <w:lang w:eastAsia="en-AU"/>
        </w:rPr>
        <w:t>coercive control</w:t>
      </w:r>
      <w:r w:rsidR="006B0A04">
        <w:rPr>
          <w:lang w:eastAsia="en-AU"/>
        </w:rPr>
        <w:t>.</w:t>
      </w:r>
    </w:p>
    <w:p w14:paraId="30DEC944" w14:textId="36D28645" w:rsidR="005709DB" w:rsidRPr="009A08A4" w:rsidRDefault="005709DB" w:rsidP="00393328">
      <w:pPr>
        <w:rPr>
          <w:lang w:eastAsia="en-AU"/>
        </w:rPr>
      </w:pPr>
      <w:r w:rsidRPr="005709DB">
        <w:rPr>
          <w:lang w:eastAsia="en-AU"/>
        </w:rPr>
        <w:t xml:space="preserve">Experts have long recognised that DFV is characterised by a perpetrator exercising power, control and dominance over a victim. </w:t>
      </w:r>
      <w:r w:rsidR="00393328">
        <w:rPr>
          <w:lang w:eastAsia="en-AU"/>
        </w:rPr>
        <w:t xml:space="preserve"> </w:t>
      </w:r>
      <w:r w:rsidRPr="005709DB">
        <w:rPr>
          <w:lang w:eastAsia="en-AU"/>
        </w:rPr>
        <w:t>However, legal</w:t>
      </w:r>
      <w:r w:rsidR="00D952AE">
        <w:rPr>
          <w:lang w:eastAsia="en-AU"/>
        </w:rPr>
        <w:t xml:space="preserve"> responses focus</w:t>
      </w:r>
      <w:r w:rsidRPr="005709DB">
        <w:rPr>
          <w:lang w:eastAsia="en-AU"/>
        </w:rPr>
        <w:t xml:space="preserve"> on individual incidents of physical violence. </w:t>
      </w:r>
      <w:r w:rsidR="00393328">
        <w:rPr>
          <w:lang w:eastAsia="en-AU"/>
        </w:rPr>
        <w:t xml:space="preserve"> </w:t>
      </w:r>
      <w:r w:rsidRPr="005709DB">
        <w:rPr>
          <w:lang w:eastAsia="en-AU"/>
        </w:rPr>
        <w:t>Similarly, the harms associated with DFV have largely been viewed in physical terms, without considering the psychological impact or the cumulative harm</w:t>
      </w:r>
      <w:r w:rsidR="00A8337C">
        <w:rPr>
          <w:lang w:eastAsia="en-AU"/>
        </w:rPr>
        <w:t xml:space="preserve"> that results from a repeated pattern of abuse</w:t>
      </w:r>
      <w:r w:rsidRPr="005709DB">
        <w:rPr>
          <w:lang w:eastAsia="en-AU"/>
        </w:rPr>
        <w:t xml:space="preserve">. </w:t>
      </w:r>
    </w:p>
    <w:p w14:paraId="2DA660AC" w14:textId="510F3A34" w:rsidR="00360BFD" w:rsidRDefault="00360BFD" w:rsidP="00393328">
      <w:pPr>
        <w:rPr>
          <w:lang w:eastAsia="en-AU"/>
        </w:rPr>
      </w:pPr>
      <w:r>
        <w:rPr>
          <w:lang w:eastAsia="en-AU"/>
        </w:rPr>
        <w:t xml:space="preserve">By making coercive control more visible and clearly defined in the justice system, DFV </w:t>
      </w:r>
      <w:r w:rsidR="002C7009" w:rsidRPr="002C7009">
        <w:rPr>
          <w:lang w:eastAsia="en-AU"/>
        </w:rPr>
        <w:t>victim-s</w:t>
      </w:r>
      <w:r w:rsidR="00F747FB">
        <w:rPr>
          <w:lang w:eastAsia="en-AU"/>
        </w:rPr>
        <w:t>urvivors may feel more</w:t>
      </w:r>
      <w:r w:rsidR="002C7009" w:rsidRPr="002C7009">
        <w:rPr>
          <w:lang w:eastAsia="en-AU"/>
        </w:rPr>
        <w:t xml:space="preserve"> confide</w:t>
      </w:r>
      <w:r w:rsidR="00F64401">
        <w:rPr>
          <w:lang w:eastAsia="en-AU"/>
        </w:rPr>
        <w:t>nt</w:t>
      </w:r>
      <w:r w:rsidR="002C7009" w:rsidRPr="002C7009">
        <w:rPr>
          <w:lang w:eastAsia="en-AU"/>
        </w:rPr>
        <w:t xml:space="preserve"> </w:t>
      </w:r>
      <w:r>
        <w:rPr>
          <w:lang w:eastAsia="en-AU"/>
        </w:rPr>
        <w:t>to report abuse</w:t>
      </w:r>
      <w:r w:rsidR="00F747FB">
        <w:rPr>
          <w:lang w:eastAsia="en-AU"/>
        </w:rPr>
        <w:t>.</w:t>
      </w:r>
    </w:p>
    <w:p w14:paraId="62D7625A" w14:textId="78CBBA24" w:rsidR="00EF1FF3" w:rsidRDefault="00EF1FF3" w:rsidP="00393328">
      <w:pPr>
        <w:rPr>
          <w:lang w:eastAsia="en-AU"/>
        </w:rPr>
      </w:pPr>
      <w:r>
        <w:rPr>
          <w:lang w:eastAsia="en-AU"/>
        </w:rPr>
        <w:lastRenderedPageBreak/>
        <w:t xml:space="preserve">Proponents of </w:t>
      </w:r>
      <w:r w:rsidR="003E03BE">
        <w:rPr>
          <w:lang w:eastAsia="en-AU"/>
        </w:rPr>
        <w:t xml:space="preserve">criminalising </w:t>
      </w:r>
      <w:r>
        <w:rPr>
          <w:lang w:eastAsia="en-AU"/>
        </w:rPr>
        <w:t xml:space="preserve">coercive control, believe </w:t>
      </w:r>
      <w:r w:rsidR="003E03BE">
        <w:rPr>
          <w:lang w:eastAsia="en-AU"/>
        </w:rPr>
        <w:t xml:space="preserve">that it is an important step towards realigning the justice response </w:t>
      </w:r>
      <w:r w:rsidR="004E46B2">
        <w:rPr>
          <w:lang w:eastAsia="en-AU"/>
        </w:rPr>
        <w:t>with</w:t>
      </w:r>
      <w:r w:rsidR="003D67A9">
        <w:rPr>
          <w:lang w:eastAsia="en-AU"/>
        </w:rPr>
        <w:t xml:space="preserve"> people’s</w:t>
      </w:r>
      <w:r w:rsidR="003E03BE">
        <w:rPr>
          <w:lang w:eastAsia="en-AU"/>
        </w:rPr>
        <w:t xml:space="preserve"> </w:t>
      </w:r>
      <w:r w:rsidR="004E46B2">
        <w:rPr>
          <w:lang w:eastAsia="en-AU"/>
        </w:rPr>
        <w:t>lived</w:t>
      </w:r>
      <w:r w:rsidR="003E03BE">
        <w:rPr>
          <w:lang w:eastAsia="en-AU"/>
        </w:rPr>
        <w:t xml:space="preserve"> </w:t>
      </w:r>
      <w:r w:rsidR="004E46B2">
        <w:rPr>
          <w:lang w:eastAsia="en-AU"/>
        </w:rPr>
        <w:t xml:space="preserve">experience </w:t>
      </w:r>
      <w:r w:rsidR="003E03BE">
        <w:rPr>
          <w:lang w:eastAsia="en-AU"/>
        </w:rPr>
        <w:t xml:space="preserve">of this </w:t>
      </w:r>
      <w:r w:rsidR="004E46B2">
        <w:rPr>
          <w:lang w:eastAsia="en-AU"/>
        </w:rPr>
        <w:t xml:space="preserve">type of </w:t>
      </w:r>
      <w:r w:rsidR="003E03BE">
        <w:rPr>
          <w:lang w:eastAsia="en-AU"/>
        </w:rPr>
        <w:t>offending.</w:t>
      </w:r>
    </w:p>
    <w:p w14:paraId="3AB0EC44" w14:textId="6043ACE9" w:rsidR="00E62976" w:rsidRDefault="00E62976" w:rsidP="00393328">
      <w:pPr>
        <w:spacing w:after="120"/>
        <w:rPr>
          <w:lang w:eastAsia="en-AU"/>
        </w:rPr>
      </w:pPr>
      <w:r>
        <w:rPr>
          <w:lang w:eastAsia="en-AU"/>
        </w:rPr>
        <w:t xml:space="preserve">The Central Australian Women’s Legal Service </w:t>
      </w:r>
      <w:r w:rsidR="00FE6E3C">
        <w:rPr>
          <w:lang w:eastAsia="en-AU"/>
        </w:rPr>
        <w:t xml:space="preserve">(CAWLS) </w:t>
      </w:r>
      <w:r>
        <w:rPr>
          <w:lang w:eastAsia="en-AU"/>
        </w:rPr>
        <w:t>have argued that addressing coercive control has “the potential to make a significant different in reshaping how our institutions identify and respond to family violence.”</w:t>
      </w:r>
      <w:r>
        <w:rPr>
          <w:rStyle w:val="FootnoteReference"/>
          <w:lang w:eastAsia="en-AU"/>
        </w:rPr>
        <w:footnoteReference w:id="99"/>
      </w:r>
    </w:p>
    <w:p w14:paraId="21E1FF99" w14:textId="6AD90C85" w:rsidR="00CB0654" w:rsidRDefault="00CB0654" w:rsidP="00393328">
      <w:pPr>
        <w:pStyle w:val="Heading3"/>
        <w:keepNext/>
        <w:rPr>
          <w:lang w:eastAsia="en-AU"/>
        </w:rPr>
      </w:pPr>
      <w:bookmarkStart w:id="24" w:name="_Toc112051814"/>
      <w:r>
        <w:rPr>
          <w:lang w:eastAsia="en-AU"/>
        </w:rPr>
        <w:t xml:space="preserve">Understanding </w:t>
      </w:r>
      <w:r w:rsidR="005D02FD">
        <w:rPr>
          <w:lang w:eastAsia="en-AU"/>
        </w:rPr>
        <w:t xml:space="preserve">coercive control may reduce </w:t>
      </w:r>
      <w:r>
        <w:rPr>
          <w:lang w:eastAsia="en-AU"/>
        </w:rPr>
        <w:t>misidentification</w:t>
      </w:r>
      <w:bookmarkEnd w:id="24"/>
    </w:p>
    <w:p w14:paraId="7BE4F58D" w14:textId="4EE12031" w:rsidR="00360BFD" w:rsidRDefault="00303A2E" w:rsidP="007D3AEF">
      <w:pPr>
        <w:rPr>
          <w:lang w:eastAsia="en-AU"/>
        </w:rPr>
      </w:pPr>
      <w:r>
        <w:rPr>
          <w:lang w:eastAsia="en-AU"/>
        </w:rPr>
        <w:t>S</w:t>
      </w:r>
      <w:r>
        <w:t>pecialist DFV services have observed there is a growing number of women who are both (1) long term victim-survivors of DFV and (2) named as defendants in DVO applications or orders.</w:t>
      </w:r>
      <w:r>
        <w:rPr>
          <w:rStyle w:val="FootnoteReference"/>
        </w:rPr>
        <w:footnoteReference w:id="100"/>
      </w:r>
      <w:r>
        <w:rPr>
          <w:lang w:eastAsia="en-AU"/>
        </w:rPr>
        <w:t xml:space="preserve">  </w:t>
      </w:r>
      <w:r w:rsidR="000C7F8B">
        <w:rPr>
          <w:lang w:eastAsia="en-AU"/>
        </w:rPr>
        <w:t>T</w:t>
      </w:r>
      <w:r>
        <w:rPr>
          <w:lang w:eastAsia="en-AU"/>
        </w:rPr>
        <w:t>he</w:t>
      </w:r>
      <w:r w:rsidR="00161C46">
        <w:rPr>
          <w:lang w:eastAsia="en-AU"/>
        </w:rPr>
        <w:t xml:space="preserve"> misidentification of the person most in need of protection is a major challenge for improving</w:t>
      </w:r>
      <w:r w:rsidR="00E62976">
        <w:rPr>
          <w:lang w:eastAsia="en-AU"/>
        </w:rPr>
        <w:t xml:space="preserve"> responses to DFV</w:t>
      </w:r>
      <w:r w:rsidR="000C7F8B">
        <w:rPr>
          <w:lang w:eastAsia="en-AU"/>
        </w:rPr>
        <w:t xml:space="preserve"> as outlined </w:t>
      </w:r>
      <w:r w:rsidR="000C7F8B" w:rsidRPr="003757DB">
        <w:rPr>
          <w:lang w:eastAsia="en-AU"/>
        </w:rPr>
        <w:t xml:space="preserve">in </w:t>
      </w:r>
      <w:r w:rsidR="00393328" w:rsidRPr="003757DB">
        <w:rPr>
          <w:lang w:eastAsia="en-AU"/>
        </w:rPr>
        <w:t xml:space="preserve">Part </w:t>
      </w:r>
      <w:r w:rsidR="000C7F8B" w:rsidRPr="003757DB">
        <w:rPr>
          <w:lang w:eastAsia="en-AU"/>
        </w:rPr>
        <w:t>3.6 above</w:t>
      </w:r>
      <w:r w:rsidR="00E62976">
        <w:rPr>
          <w:lang w:eastAsia="en-AU"/>
        </w:rPr>
        <w:t xml:space="preserve">. </w:t>
      </w:r>
    </w:p>
    <w:p w14:paraId="66D04E3D" w14:textId="77777777" w:rsidR="000D3F20" w:rsidRDefault="00303A2E" w:rsidP="007D3AEF">
      <w:pPr>
        <w:rPr>
          <w:lang w:eastAsia="en-AU"/>
        </w:rPr>
      </w:pPr>
      <w:r>
        <w:rPr>
          <w:lang w:eastAsia="en-AU"/>
        </w:rPr>
        <w:t xml:space="preserve">Some commentators have expressed concern that the criminalisation of coercive control may result in more long term victim-survivors </w:t>
      </w:r>
      <w:r w:rsidR="006A31A3">
        <w:rPr>
          <w:lang w:eastAsia="en-AU"/>
        </w:rPr>
        <w:t xml:space="preserve">of DFV </w:t>
      </w:r>
      <w:r>
        <w:rPr>
          <w:lang w:eastAsia="en-AU"/>
        </w:rPr>
        <w:t>being misidentified as defendants</w:t>
      </w:r>
      <w:r w:rsidR="000D3F20">
        <w:rPr>
          <w:lang w:eastAsia="en-AU"/>
        </w:rPr>
        <w:t>, particularly Aboriginal victim-survivors</w:t>
      </w:r>
      <w:r>
        <w:rPr>
          <w:lang w:eastAsia="en-AU"/>
        </w:rPr>
        <w:t>.</w:t>
      </w:r>
      <w:r w:rsidR="000D3F20">
        <w:rPr>
          <w:rStyle w:val="FootnoteReference"/>
          <w:lang w:eastAsia="en-AU"/>
        </w:rPr>
        <w:footnoteReference w:id="101"/>
      </w:r>
      <w:r>
        <w:rPr>
          <w:lang w:eastAsia="en-AU"/>
        </w:rPr>
        <w:t xml:space="preserve"> </w:t>
      </w:r>
      <w:r w:rsidR="00FE6E3C">
        <w:rPr>
          <w:lang w:eastAsia="en-AU"/>
        </w:rPr>
        <w:t xml:space="preserve"> </w:t>
      </w:r>
    </w:p>
    <w:p w14:paraId="5E2C266B" w14:textId="49AD8C13" w:rsidR="00E36E32" w:rsidRDefault="006A31A3" w:rsidP="00393328">
      <w:r>
        <w:rPr>
          <w:lang w:eastAsia="en-AU"/>
        </w:rPr>
        <w:t xml:space="preserve">However, </w:t>
      </w:r>
      <w:r w:rsidR="00FE6E3C">
        <w:rPr>
          <w:lang w:eastAsia="en-AU"/>
        </w:rPr>
        <w:t xml:space="preserve">CAWLS </w:t>
      </w:r>
      <w:r w:rsidR="00E36E32">
        <w:rPr>
          <w:lang w:eastAsia="en-AU"/>
        </w:rPr>
        <w:t xml:space="preserve">and others </w:t>
      </w:r>
      <w:r w:rsidR="00FE6E3C">
        <w:rPr>
          <w:lang w:eastAsia="en-AU"/>
        </w:rPr>
        <w:t>have argued that</w:t>
      </w:r>
      <w:r w:rsidR="00303A2E">
        <w:rPr>
          <w:lang w:eastAsia="en-AU"/>
        </w:rPr>
        <w:t xml:space="preserve"> </w:t>
      </w:r>
      <w:r w:rsidR="00EE2213">
        <w:rPr>
          <w:lang w:eastAsia="en-AU"/>
        </w:rPr>
        <w:t xml:space="preserve">understanding the centrality of </w:t>
      </w:r>
      <w:r w:rsidR="00303A2E">
        <w:rPr>
          <w:lang w:eastAsia="en-AU"/>
        </w:rPr>
        <w:t xml:space="preserve">coercive control </w:t>
      </w:r>
      <w:r w:rsidR="00EE2213">
        <w:rPr>
          <w:lang w:eastAsia="en-AU"/>
        </w:rPr>
        <w:t xml:space="preserve">in DFV </w:t>
      </w:r>
      <w:r w:rsidR="00303A2E">
        <w:rPr>
          <w:lang w:eastAsia="en-AU"/>
        </w:rPr>
        <w:t xml:space="preserve">can play a role in </w:t>
      </w:r>
      <w:r w:rsidRPr="006A31A3">
        <w:rPr>
          <w:i/>
          <w:lang w:eastAsia="en-AU"/>
        </w:rPr>
        <w:t>reducing</w:t>
      </w:r>
      <w:r>
        <w:rPr>
          <w:lang w:eastAsia="en-AU"/>
        </w:rPr>
        <w:t xml:space="preserve"> the </w:t>
      </w:r>
      <w:r w:rsidR="00303A2E">
        <w:rPr>
          <w:lang w:eastAsia="en-AU"/>
        </w:rPr>
        <w:t>misidentification of long-term victim</w:t>
      </w:r>
      <w:r w:rsidR="005D02FD">
        <w:rPr>
          <w:lang w:eastAsia="en-AU"/>
        </w:rPr>
        <w:t>-survivor</w:t>
      </w:r>
      <w:r w:rsidR="00303A2E">
        <w:rPr>
          <w:lang w:eastAsia="en-AU"/>
        </w:rPr>
        <w:t>s of DFV as the primary aggressor</w:t>
      </w:r>
      <w:r w:rsidR="00EE2213">
        <w:rPr>
          <w:lang w:eastAsia="en-AU"/>
        </w:rPr>
        <w:t>. It</w:t>
      </w:r>
      <w:r w:rsidR="000D3F20">
        <w:rPr>
          <w:lang w:eastAsia="en-AU"/>
        </w:rPr>
        <w:t xml:space="preserve"> allows retaliation or physical resist</w:t>
      </w:r>
      <w:r w:rsidR="00EE2213">
        <w:rPr>
          <w:lang w:eastAsia="en-AU"/>
        </w:rPr>
        <w:t xml:space="preserve">ance by women to be seen in the </w:t>
      </w:r>
      <w:r w:rsidR="000D3F20">
        <w:rPr>
          <w:lang w:eastAsia="en-AU"/>
        </w:rPr>
        <w:t xml:space="preserve">context </w:t>
      </w:r>
      <w:r w:rsidR="00EE2213">
        <w:rPr>
          <w:lang w:eastAsia="en-AU"/>
        </w:rPr>
        <w:t xml:space="preserve">of a pattern of abuse, rather than as isolated </w:t>
      </w:r>
      <w:r w:rsidR="00E36E32">
        <w:rPr>
          <w:lang w:eastAsia="en-AU"/>
        </w:rPr>
        <w:t xml:space="preserve">one-off </w:t>
      </w:r>
      <w:r w:rsidR="00EE2213">
        <w:rPr>
          <w:lang w:eastAsia="en-AU"/>
        </w:rPr>
        <w:t>incidents of physical violence</w:t>
      </w:r>
      <w:r w:rsidR="00303A2E">
        <w:rPr>
          <w:lang w:eastAsia="en-AU"/>
        </w:rPr>
        <w:t xml:space="preserve">. </w:t>
      </w:r>
      <w:r w:rsidR="00303A2E">
        <w:rPr>
          <w:rStyle w:val="FootnoteReference"/>
          <w:lang w:eastAsia="en-AU"/>
        </w:rPr>
        <w:footnoteReference w:id="102"/>
      </w:r>
      <w:r w:rsidR="000D3F20">
        <w:rPr>
          <w:lang w:eastAsia="en-AU"/>
        </w:rPr>
        <w:t xml:space="preserve"> </w:t>
      </w:r>
      <w:r w:rsidR="00393328">
        <w:rPr>
          <w:lang w:eastAsia="en-AU"/>
        </w:rPr>
        <w:t xml:space="preserve"> </w:t>
      </w:r>
      <w:r w:rsidR="000D3F20">
        <w:rPr>
          <w:lang w:eastAsia="en-AU"/>
        </w:rPr>
        <w:t xml:space="preserve">As ANROWs has argued, victim-survivors of DFV sometimes </w:t>
      </w:r>
      <w:r w:rsidR="00E36E32">
        <w:rPr>
          <w:lang w:eastAsia="en-AU"/>
        </w:rPr>
        <w:t xml:space="preserve">do </w:t>
      </w:r>
      <w:r w:rsidR="000D3F20">
        <w:rPr>
          <w:lang w:eastAsia="en-AU"/>
        </w:rPr>
        <w:t>physically retaliate or resist violence against them, but they rarely use coercive control.</w:t>
      </w:r>
      <w:r w:rsidR="000D3F20">
        <w:rPr>
          <w:rStyle w:val="FootnoteReference"/>
          <w:lang w:eastAsia="en-AU"/>
        </w:rPr>
        <w:footnoteReference w:id="103"/>
      </w:r>
      <w:r w:rsidR="00EE2213">
        <w:rPr>
          <w:lang w:eastAsia="en-AU"/>
        </w:rPr>
        <w:t xml:space="preserve">  </w:t>
      </w:r>
      <w:r w:rsidR="000C7F8B">
        <w:rPr>
          <w:lang w:eastAsia="en-AU"/>
        </w:rPr>
        <w:t xml:space="preserve">Nancarrow and others have recommending providing guidance to police </w:t>
      </w:r>
      <w:r w:rsidR="000C7F8B">
        <w:t>on identifying patterns of coercive control to reduce misidentification.</w:t>
      </w:r>
      <w:r w:rsidR="000C7F8B">
        <w:rPr>
          <w:rStyle w:val="FootnoteReference"/>
        </w:rPr>
        <w:footnoteReference w:id="104"/>
      </w:r>
    </w:p>
    <w:p w14:paraId="57B01632" w14:textId="60916194" w:rsidR="00BC19F2" w:rsidRDefault="00EE2213" w:rsidP="00393328">
      <w:pPr>
        <w:rPr>
          <w:lang w:eastAsia="en-AU"/>
        </w:rPr>
      </w:pPr>
      <w:r>
        <w:rPr>
          <w:lang w:eastAsia="en-AU"/>
        </w:rPr>
        <w:t>In cases where there are cross allegations of violence or evidence of violence by both parties, s</w:t>
      </w:r>
      <w:r w:rsidR="000D3F20">
        <w:rPr>
          <w:lang w:eastAsia="en-AU"/>
        </w:rPr>
        <w:t>eeing DFV through the len</w:t>
      </w:r>
      <w:r w:rsidR="00E36E32">
        <w:rPr>
          <w:lang w:eastAsia="en-AU"/>
        </w:rPr>
        <w:t xml:space="preserve">s of coercive control may enable police and courts </w:t>
      </w:r>
      <w:r>
        <w:rPr>
          <w:lang w:eastAsia="en-AU"/>
        </w:rPr>
        <w:t xml:space="preserve">to more accurately identify the </w:t>
      </w:r>
      <w:r w:rsidR="00E36E32">
        <w:rPr>
          <w:lang w:eastAsia="en-AU"/>
        </w:rPr>
        <w:t>person most in need of protection and avoid misidentification.</w:t>
      </w:r>
    </w:p>
    <w:p w14:paraId="19AD20C7" w14:textId="1CBBF283" w:rsidR="00D1113E" w:rsidRPr="009D3A75" w:rsidRDefault="00D1113E" w:rsidP="00393328">
      <w:pPr>
        <w:pStyle w:val="Heading2"/>
        <w:keepNext/>
        <w:ind w:left="1134" w:hanging="578"/>
        <w:rPr>
          <w:lang w:eastAsia="en-AU"/>
        </w:rPr>
      </w:pPr>
      <w:bookmarkStart w:id="25" w:name="_Toc112051815"/>
      <w:r w:rsidRPr="009D3A75">
        <w:rPr>
          <w:lang w:eastAsia="en-AU"/>
        </w:rPr>
        <w:t>The criminalisation of coercive control</w:t>
      </w:r>
      <w:bookmarkEnd w:id="25"/>
    </w:p>
    <w:p w14:paraId="21CF4431" w14:textId="19A6D2EB" w:rsidR="00CE48A7" w:rsidRDefault="005156DF" w:rsidP="00D1113E">
      <w:pPr>
        <w:rPr>
          <w:lang w:eastAsia="en-AU"/>
        </w:rPr>
      </w:pPr>
      <w:r>
        <w:rPr>
          <w:lang w:eastAsia="en-AU"/>
        </w:rPr>
        <w:t>One of th</w:t>
      </w:r>
      <w:r w:rsidR="00706330">
        <w:rPr>
          <w:lang w:eastAsia="en-AU"/>
        </w:rPr>
        <w:t>e questions considered in this r</w:t>
      </w:r>
      <w:r>
        <w:rPr>
          <w:lang w:eastAsia="en-AU"/>
        </w:rPr>
        <w:t>eview is whether coercive control should be criminalised in the N</w:t>
      </w:r>
      <w:r w:rsidR="00693FA5">
        <w:rPr>
          <w:lang w:eastAsia="en-AU"/>
        </w:rPr>
        <w:t>orthern Territory.</w:t>
      </w:r>
    </w:p>
    <w:p w14:paraId="2777D3BC" w14:textId="471676FF" w:rsidR="00B36561" w:rsidRDefault="00CE48A7" w:rsidP="00283EAD">
      <w:pPr>
        <w:spacing w:after="120"/>
        <w:rPr>
          <w:lang w:eastAsia="en-AU"/>
        </w:rPr>
      </w:pPr>
      <w:r>
        <w:rPr>
          <w:lang w:eastAsia="en-AU"/>
        </w:rPr>
        <w:t xml:space="preserve">Debate over whether coercive control should be criminalised came to prominence after the </w:t>
      </w:r>
      <w:r w:rsidR="002D3EC4">
        <w:rPr>
          <w:lang w:eastAsia="en-AU"/>
        </w:rPr>
        <w:t>murder</w:t>
      </w:r>
      <w:r>
        <w:rPr>
          <w:lang w:eastAsia="en-AU"/>
        </w:rPr>
        <w:t xml:space="preserve"> of Hannah Clarke and her three children</w:t>
      </w:r>
      <w:r w:rsidR="002D3EC4">
        <w:rPr>
          <w:lang w:eastAsia="en-AU"/>
        </w:rPr>
        <w:t xml:space="preserve"> in </w:t>
      </w:r>
      <w:r w:rsidR="009D3A75">
        <w:rPr>
          <w:lang w:eastAsia="en-AU"/>
        </w:rPr>
        <w:t xml:space="preserve">Queensland in </w:t>
      </w:r>
      <w:r w:rsidR="002D3EC4">
        <w:rPr>
          <w:lang w:eastAsia="en-AU"/>
        </w:rPr>
        <w:t>February 2020 by her former partner</w:t>
      </w:r>
      <w:r>
        <w:rPr>
          <w:lang w:eastAsia="en-AU"/>
        </w:rPr>
        <w:t>.</w:t>
      </w:r>
      <w:r w:rsidR="00587310">
        <w:rPr>
          <w:lang w:eastAsia="en-AU"/>
        </w:rPr>
        <w:t xml:space="preserve"> </w:t>
      </w:r>
      <w:r w:rsidR="00393328">
        <w:rPr>
          <w:lang w:eastAsia="en-AU"/>
        </w:rPr>
        <w:t xml:space="preserve"> </w:t>
      </w:r>
      <w:r w:rsidR="00587310">
        <w:rPr>
          <w:lang w:eastAsia="en-AU"/>
        </w:rPr>
        <w:t xml:space="preserve">Although in the lead up to her death </w:t>
      </w:r>
      <w:r w:rsidR="00BA0C3E">
        <w:rPr>
          <w:lang w:eastAsia="en-AU"/>
        </w:rPr>
        <w:t>Hannah</w:t>
      </w:r>
      <w:r w:rsidR="00587310">
        <w:rPr>
          <w:lang w:eastAsia="en-AU"/>
        </w:rPr>
        <w:t xml:space="preserve"> </w:t>
      </w:r>
      <w:r w:rsidR="00D46B7F">
        <w:rPr>
          <w:lang w:eastAsia="en-AU"/>
        </w:rPr>
        <w:t xml:space="preserve">Clarke </w:t>
      </w:r>
      <w:r w:rsidR="00587310">
        <w:rPr>
          <w:lang w:eastAsia="en-AU"/>
        </w:rPr>
        <w:t>did not experience physical violence</w:t>
      </w:r>
      <w:r w:rsidR="00BA0C3E">
        <w:rPr>
          <w:lang w:eastAsia="en-AU"/>
        </w:rPr>
        <w:t>,</w:t>
      </w:r>
      <w:r w:rsidR="00587310">
        <w:rPr>
          <w:lang w:eastAsia="en-AU"/>
        </w:rPr>
        <w:t xml:space="preserve"> she did experience significant coercive and controlling behaviour from her former partner</w:t>
      </w:r>
      <w:r w:rsidR="00BA0C3E">
        <w:rPr>
          <w:lang w:eastAsia="en-AU"/>
        </w:rPr>
        <w:t xml:space="preserve"> during their relationship and after their separation</w:t>
      </w:r>
      <w:r w:rsidR="00587310">
        <w:rPr>
          <w:lang w:eastAsia="en-AU"/>
        </w:rPr>
        <w:t>.</w:t>
      </w:r>
      <w:r w:rsidR="00D63EEA">
        <w:rPr>
          <w:lang w:eastAsia="en-AU"/>
        </w:rPr>
        <w:t xml:space="preserve"> </w:t>
      </w:r>
      <w:r w:rsidR="00393328">
        <w:rPr>
          <w:lang w:eastAsia="en-AU"/>
        </w:rPr>
        <w:t xml:space="preserve"> </w:t>
      </w:r>
      <w:r w:rsidR="00D63EEA">
        <w:rPr>
          <w:lang w:eastAsia="en-AU"/>
        </w:rPr>
        <w:t xml:space="preserve">This was set out by Queensland’s Deputy State Coroner in the findings of inquest into the death of Hannah Clarke and her children which was handed down on </w:t>
      </w:r>
      <w:r w:rsidR="00D63EEA">
        <w:rPr>
          <w:lang w:eastAsia="en-AU"/>
        </w:rPr>
        <w:lastRenderedPageBreak/>
        <w:t>29 June 2022.</w:t>
      </w:r>
      <w:r w:rsidR="00BA0C3E">
        <w:rPr>
          <w:rStyle w:val="FootnoteReference"/>
          <w:lang w:eastAsia="en-AU"/>
        </w:rPr>
        <w:footnoteReference w:id="105"/>
      </w:r>
      <w:r w:rsidR="00D63EEA">
        <w:rPr>
          <w:lang w:eastAsia="en-AU"/>
        </w:rPr>
        <w:t xml:space="preserve"> </w:t>
      </w:r>
      <w:r w:rsidR="00393328">
        <w:rPr>
          <w:lang w:eastAsia="en-AU"/>
        </w:rPr>
        <w:t xml:space="preserve"> </w:t>
      </w:r>
      <w:r w:rsidR="00D63EEA">
        <w:rPr>
          <w:lang w:eastAsia="en-AU"/>
        </w:rPr>
        <w:t>The coercive control that Hannah Clarke experienced was summarised in the NSW Government’s discussion paper on coercive control in these terms:</w:t>
      </w:r>
    </w:p>
    <w:p w14:paraId="3B029529" w14:textId="77777777" w:rsidR="00B65F66" w:rsidRPr="00D5072A" w:rsidRDefault="00D5072A" w:rsidP="00D5072A">
      <w:pPr>
        <w:ind w:left="568"/>
        <w:rPr>
          <w:sz w:val="20"/>
          <w:szCs w:val="20"/>
          <w:lang w:eastAsia="en-AU"/>
        </w:rPr>
      </w:pPr>
      <w:r w:rsidRPr="00393328">
        <w:rPr>
          <w:lang w:eastAsia="en-AU"/>
        </w:rPr>
        <w:t>“…the perpetrator used recording devices to monitor Hannah’s conversations, controlled what she wore (for example by preventing her from wearing shorts or bikini off the beach), and isolated her from her family. Reporting also noted that this was coupled with sexual violence, in which Baxter forced Hannah to have sex with him every night, and made threats if she did not comply. Even when they separated,</w:t>
      </w:r>
      <w:r>
        <w:rPr>
          <w:sz w:val="20"/>
          <w:szCs w:val="20"/>
          <w:lang w:eastAsia="en-AU"/>
        </w:rPr>
        <w:t xml:space="preserve"> Baxter continued to track and monitor Hannah’s actions and movements and sought to control her through their children, including kidnapping one of them, which he claimed was punishment for her leaving him.” </w:t>
      </w:r>
      <w:r>
        <w:rPr>
          <w:rStyle w:val="FootnoteReference"/>
          <w:sz w:val="20"/>
          <w:szCs w:val="20"/>
          <w:lang w:eastAsia="en-AU"/>
        </w:rPr>
        <w:footnoteReference w:id="106"/>
      </w:r>
    </w:p>
    <w:p w14:paraId="6D2112C5" w14:textId="04B630D1" w:rsidR="00CE48A7" w:rsidRDefault="007D24AA" w:rsidP="00D1113E">
      <w:pPr>
        <w:rPr>
          <w:lang w:eastAsia="en-AU"/>
        </w:rPr>
      </w:pPr>
      <w:r>
        <w:rPr>
          <w:lang w:eastAsia="en-AU"/>
        </w:rPr>
        <w:t xml:space="preserve">There has been significant </w:t>
      </w:r>
      <w:r w:rsidR="002D56C7">
        <w:rPr>
          <w:lang w:eastAsia="en-AU"/>
        </w:rPr>
        <w:t xml:space="preserve">public </w:t>
      </w:r>
      <w:r w:rsidR="00C71B92">
        <w:rPr>
          <w:lang w:eastAsia="en-AU"/>
        </w:rPr>
        <w:t xml:space="preserve">and academic </w:t>
      </w:r>
      <w:r w:rsidR="002D56C7">
        <w:rPr>
          <w:lang w:eastAsia="en-AU"/>
        </w:rPr>
        <w:t>d</w:t>
      </w:r>
      <w:r w:rsidR="006910E8">
        <w:rPr>
          <w:lang w:eastAsia="en-AU"/>
        </w:rPr>
        <w:t>ebate</w:t>
      </w:r>
      <w:r w:rsidR="00D46B7F">
        <w:rPr>
          <w:lang w:eastAsia="en-AU"/>
        </w:rPr>
        <w:t xml:space="preserve"> about whether coercive control should be criminalised.  S</w:t>
      </w:r>
      <w:r w:rsidR="00BF4B28">
        <w:rPr>
          <w:lang w:eastAsia="en-AU"/>
        </w:rPr>
        <w:t xml:space="preserve">ome </w:t>
      </w:r>
      <w:r w:rsidR="00D46B7F">
        <w:rPr>
          <w:lang w:eastAsia="en-AU"/>
        </w:rPr>
        <w:t>argue</w:t>
      </w:r>
      <w:r w:rsidR="002D56C7">
        <w:rPr>
          <w:lang w:eastAsia="en-AU"/>
        </w:rPr>
        <w:t xml:space="preserve"> that criminalising coercive control is </w:t>
      </w:r>
      <w:r w:rsidR="00E341A8">
        <w:rPr>
          <w:lang w:eastAsia="en-AU"/>
        </w:rPr>
        <w:t>a</w:t>
      </w:r>
      <w:r w:rsidR="002D56C7">
        <w:rPr>
          <w:lang w:eastAsia="en-AU"/>
        </w:rPr>
        <w:t xml:space="preserve"> key </w:t>
      </w:r>
      <w:r w:rsidR="00E341A8">
        <w:rPr>
          <w:lang w:eastAsia="en-AU"/>
        </w:rPr>
        <w:t xml:space="preserve">element of </w:t>
      </w:r>
      <w:r w:rsidR="002D56C7">
        <w:rPr>
          <w:lang w:eastAsia="en-AU"/>
        </w:rPr>
        <w:t>improving responses to DFV</w:t>
      </w:r>
      <w:r w:rsidR="00D46B7F">
        <w:rPr>
          <w:lang w:eastAsia="en-AU"/>
        </w:rPr>
        <w:t>,</w:t>
      </w:r>
      <w:r w:rsidR="002D56C7">
        <w:rPr>
          <w:rStyle w:val="FootnoteReference"/>
          <w:lang w:eastAsia="en-AU"/>
        </w:rPr>
        <w:footnoteReference w:id="107"/>
      </w:r>
      <w:r w:rsidR="00D46B7F">
        <w:rPr>
          <w:lang w:eastAsia="en-AU"/>
        </w:rPr>
        <w:t xml:space="preserve"> while others argue that</w:t>
      </w:r>
      <w:r w:rsidR="00BF4B28">
        <w:rPr>
          <w:lang w:eastAsia="en-AU"/>
        </w:rPr>
        <w:t xml:space="preserve"> a criminal offence would be counter-productive</w:t>
      </w:r>
      <w:r w:rsidR="00D46B7F">
        <w:rPr>
          <w:lang w:eastAsia="en-AU"/>
        </w:rPr>
        <w:t xml:space="preserve"> and have unintended consequences</w:t>
      </w:r>
      <w:r w:rsidR="00BF4B28">
        <w:rPr>
          <w:lang w:eastAsia="en-AU"/>
        </w:rPr>
        <w:t>.</w:t>
      </w:r>
    </w:p>
    <w:p w14:paraId="5C7B7F24" w14:textId="71403EE7" w:rsidR="00D46B7F" w:rsidRDefault="00D46B7F" w:rsidP="00D1113E">
      <w:pPr>
        <w:rPr>
          <w:lang w:eastAsia="en-AU"/>
        </w:rPr>
      </w:pPr>
      <w:r>
        <w:rPr>
          <w:lang w:eastAsia="en-AU"/>
        </w:rPr>
        <w:t xml:space="preserve">Tasmania has had offences which criminalise aspects of coercive control since </w:t>
      </w:r>
      <w:r w:rsidR="007B22F5">
        <w:rPr>
          <w:lang w:eastAsia="en-AU"/>
        </w:rPr>
        <w:t>2004</w:t>
      </w:r>
      <w:r>
        <w:rPr>
          <w:lang w:eastAsia="en-AU"/>
        </w:rPr>
        <w:t xml:space="preserve">. </w:t>
      </w:r>
      <w:r w:rsidR="00393328">
        <w:rPr>
          <w:lang w:eastAsia="en-AU"/>
        </w:rPr>
        <w:t xml:space="preserve"> </w:t>
      </w:r>
      <w:r>
        <w:rPr>
          <w:lang w:eastAsia="en-AU"/>
        </w:rPr>
        <w:t xml:space="preserve">The </w:t>
      </w:r>
      <w:r w:rsidRPr="005E2138">
        <w:rPr>
          <w:i/>
          <w:iCs/>
          <w:lang w:eastAsia="en-AU"/>
        </w:rPr>
        <w:t>Family Violence Act 2004</w:t>
      </w:r>
      <w:r w:rsidR="007B22F5">
        <w:rPr>
          <w:lang w:eastAsia="en-AU"/>
        </w:rPr>
        <w:t xml:space="preserve"> (Tas) has</w:t>
      </w:r>
      <w:r>
        <w:rPr>
          <w:lang w:eastAsia="en-AU"/>
        </w:rPr>
        <w:t xml:space="preserve"> an offence of economic abuse (section 8), and an offence of emotional abuse and intimidation (section 9), each with a maximum penalty 40 penalty units or two years in prison and a 12 month limitation period. </w:t>
      </w:r>
      <w:r w:rsidR="00393328">
        <w:rPr>
          <w:lang w:eastAsia="en-AU"/>
        </w:rPr>
        <w:t xml:space="preserve"> </w:t>
      </w:r>
      <w:r>
        <w:rPr>
          <w:lang w:eastAsia="en-AU"/>
        </w:rPr>
        <w:t>However, these offences have not been well utilised</w:t>
      </w:r>
      <w:r w:rsidR="007B22F5">
        <w:rPr>
          <w:lang w:eastAsia="en-AU"/>
        </w:rPr>
        <w:t xml:space="preserve"> and commentators have identified limitations compared to the approaches in Scotland and England for example.</w:t>
      </w:r>
      <w:r>
        <w:rPr>
          <w:rStyle w:val="FootnoteReference"/>
          <w:lang w:eastAsia="en-AU"/>
        </w:rPr>
        <w:footnoteReference w:id="108"/>
      </w:r>
    </w:p>
    <w:p w14:paraId="28D9F758" w14:textId="321C7D60" w:rsidR="005156DF" w:rsidRDefault="0083002E" w:rsidP="003757DB">
      <w:pPr>
        <w:spacing w:after="120"/>
        <w:rPr>
          <w:lang w:eastAsia="en-AU"/>
        </w:rPr>
      </w:pPr>
      <w:r>
        <w:rPr>
          <w:lang w:eastAsia="en-AU"/>
        </w:rPr>
        <w:t>T</w:t>
      </w:r>
      <w:r w:rsidR="00CE48A7">
        <w:rPr>
          <w:lang w:eastAsia="en-AU"/>
        </w:rPr>
        <w:t>he criminalisation of coercive control</w:t>
      </w:r>
      <w:r w:rsidR="00693FA5">
        <w:rPr>
          <w:lang w:eastAsia="en-AU"/>
        </w:rPr>
        <w:t xml:space="preserve"> </w:t>
      </w:r>
      <w:r>
        <w:rPr>
          <w:lang w:eastAsia="en-AU"/>
        </w:rPr>
        <w:t xml:space="preserve">is </w:t>
      </w:r>
      <w:r w:rsidR="007B22F5">
        <w:rPr>
          <w:lang w:eastAsia="en-AU"/>
        </w:rPr>
        <w:t xml:space="preserve">currently </w:t>
      </w:r>
      <w:r>
        <w:rPr>
          <w:lang w:eastAsia="en-AU"/>
        </w:rPr>
        <w:t>being considered by states and territories across Australia</w:t>
      </w:r>
      <w:r w:rsidR="007B22F5">
        <w:rPr>
          <w:lang w:eastAsia="en-AU"/>
        </w:rPr>
        <w:t>:</w:t>
      </w:r>
      <w:r w:rsidR="00693FA5">
        <w:rPr>
          <w:lang w:eastAsia="en-AU"/>
        </w:rPr>
        <w:t xml:space="preserve"> </w:t>
      </w:r>
    </w:p>
    <w:p w14:paraId="4CF2B479" w14:textId="523A57E6" w:rsidR="00693FA5" w:rsidRDefault="00966E1B" w:rsidP="0067521E">
      <w:pPr>
        <w:pStyle w:val="ListParagraph"/>
        <w:numPr>
          <w:ilvl w:val="0"/>
          <w:numId w:val="126"/>
        </w:numPr>
        <w:ind w:left="993" w:hanging="425"/>
        <w:rPr>
          <w:lang w:eastAsia="en-AU"/>
        </w:rPr>
      </w:pPr>
      <w:r>
        <w:rPr>
          <w:lang w:eastAsia="en-AU"/>
        </w:rPr>
        <w:t>In 2021</w:t>
      </w:r>
      <w:r w:rsidR="00283EAD">
        <w:rPr>
          <w:lang w:eastAsia="en-AU"/>
        </w:rPr>
        <w:t>,</w:t>
      </w:r>
      <w:r>
        <w:rPr>
          <w:lang w:eastAsia="en-AU"/>
        </w:rPr>
        <w:t xml:space="preserve"> t</w:t>
      </w:r>
      <w:r w:rsidR="00693FA5">
        <w:rPr>
          <w:lang w:eastAsia="en-AU"/>
        </w:rPr>
        <w:t>he NSW Parliament Joint Select Committee Inquiry into Coercive Control</w:t>
      </w:r>
      <w:r w:rsidR="00DA2461">
        <w:rPr>
          <w:lang w:eastAsia="en-AU"/>
        </w:rPr>
        <w:t xml:space="preserve"> </w:t>
      </w:r>
      <w:r w:rsidR="00693FA5">
        <w:rPr>
          <w:lang w:eastAsia="en-AU"/>
        </w:rPr>
        <w:t xml:space="preserve">released its report entitled </w:t>
      </w:r>
      <w:r w:rsidR="00693FA5" w:rsidRPr="00D46B7F">
        <w:rPr>
          <w:i/>
          <w:lang w:eastAsia="en-AU"/>
        </w:rPr>
        <w:t>Coercive Control in Domestic Relationships</w:t>
      </w:r>
      <w:r w:rsidR="00693FA5">
        <w:rPr>
          <w:lang w:eastAsia="en-AU"/>
        </w:rPr>
        <w:t xml:space="preserve">.  </w:t>
      </w:r>
      <w:r w:rsidR="00283EAD">
        <w:rPr>
          <w:lang w:eastAsia="en-AU"/>
        </w:rPr>
        <w:t>The Committee received 156 </w:t>
      </w:r>
      <w:r w:rsidR="008F0D38">
        <w:rPr>
          <w:lang w:eastAsia="en-AU"/>
        </w:rPr>
        <w:t xml:space="preserve">submissions and heard evidence from numerous witnesses. </w:t>
      </w:r>
      <w:r w:rsidR="00283EAD">
        <w:rPr>
          <w:lang w:eastAsia="en-AU"/>
        </w:rPr>
        <w:t xml:space="preserve"> </w:t>
      </w:r>
      <w:r w:rsidR="00693FA5">
        <w:rPr>
          <w:lang w:eastAsia="en-AU"/>
        </w:rPr>
        <w:t>The NSW Government responded in</w:t>
      </w:r>
      <w:r w:rsidR="00D46B7F">
        <w:rPr>
          <w:lang w:eastAsia="en-AU"/>
        </w:rPr>
        <w:t xml:space="preserve"> December 2021 support</w:t>
      </w:r>
      <w:r w:rsidR="00693FA5">
        <w:rPr>
          <w:lang w:eastAsia="en-AU"/>
        </w:rPr>
        <w:t>ing the recommendation to criminalise coercive control.</w:t>
      </w:r>
      <w:r w:rsidR="00236745">
        <w:rPr>
          <w:rStyle w:val="FootnoteReference"/>
          <w:lang w:eastAsia="en-AU"/>
        </w:rPr>
        <w:footnoteReference w:id="109"/>
      </w:r>
    </w:p>
    <w:p w14:paraId="16026711" w14:textId="3612F3BF" w:rsidR="00693FA5" w:rsidRDefault="00966E1B" w:rsidP="0067521E">
      <w:pPr>
        <w:pStyle w:val="ListParagraph"/>
        <w:numPr>
          <w:ilvl w:val="0"/>
          <w:numId w:val="126"/>
        </w:numPr>
        <w:ind w:left="992" w:hanging="425"/>
        <w:rPr>
          <w:lang w:eastAsia="en-AU"/>
        </w:rPr>
      </w:pPr>
      <w:r>
        <w:rPr>
          <w:lang w:eastAsia="en-AU"/>
        </w:rPr>
        <w:t>In 2021</w:t>
      </w:r>
      <w:r w:rsidR="00283EAD">
        <w:rPr>
          <w:lang w:eastAsia="en-AU"/>
        </w:rPr>
        <w:t>,</w:t>
      </w:r>
      <w:r>
        <w:rPr>
          <w:lang w:eastAsia="en-AU"/>
        </w:rPr>
        <w:t xml:space="preserve"> t</w:t>
      </w:r>
      <w:r w:rsidR="00693FA5">
        <w:rPr>
          <w:lang w:eastAsia="en-AU"/>
        </w:rPr>
        <w:t xml:space="preserve">he Queensland Women’s Safety and Justice Taskforce released its report, </w:t>
      </w:r>
      <w:r w:rsidR="00693FA5" w:rsidRPr="00D46B7F">
        <w:rPr>
          <w:i/>
          <w:lang w:eastAsia="en-AU"/>
        </w:rPr>
        <w:t>Hear Her Voice: Addressing Coercive Control and Domestic and Family Violence in Queensland</w:t>
      </w:r>
      <w:r w:rsidR="00693FA5">
        <w:rPr>
          <w:lang w:eastAsia="en-AU"/>
        </w:rPr>
        <w:t>.  The report recommended criminalising coercive control</w:t>
      </w:r>
      <w:r w:rsidR="00C74E87">
        <w:rPr>
          <w:lang w:eastAsia="en-AU"/>
        </w:rPr>
        <w:t xml:space="preserve">, </w:t>
      </w:r>
      <w:r w:rsidR="00C71B92">
        <w:rPr>
          <w:lang w:eastAsia="en-AU"/>
        </w:rPr>
        <w:t>with</w:t>
      </w:r>
      <w:r w:rsidR="00C74E87">
        <w:rPr>
          <w:lang w:eastAsia="en-AU"/>
        </w:rPr>
        <w:t xml:space="preserve"> </w:t>
      </w:r>
      <w:r w:rsidR="00C71B92">
        <w:rPr>
          <w:lang w:eastAsia="en-AU"/>
        </w:rPr>
        <w:t xml:space="preserve">a </w:t>
      </w:r>
      <w:r w:rsidR="00C74E87">
        <w:rPr>
          <w:lang w:eastAsia="en-AU"/>
        </w:rPr>
        <w:t>four</w:t>
      </w:r>
      <w:r w:rsidR="006910E8">
        <w:rPr>
          <w:lang w:eastAsia="en-AU"/>
        </w:rPr>
        <w:t>-</w:t>
      </w:r>
      <w:r w:rsidR="00C74E87">
        <w:rPr>
          <w:lang w:eastAsia="en-AU"/>
        </w:rPr>
        <w:t xml:space="preserve">phase </w:t>
      </w:r>
      <w:r w:rsidR="00C71B92">
        <w:rPr>
          <w:lang w:eastAsia="en-AU"/>
        </w:rPr>
        <w:t xml:space="preserve">implementation </w:t>
      </w:r>
      <w:r w:rsidR="00C74E87">
        <w:rPr>
          <w:lang w:eastAsia="en-AU"/>
        </w:rPr>
        <w:t>process to set the foundations for reform</w:t>
      </w:r>
      <w:r w:rsidR="00693FA5">
        <w:rPr>
          <w:lang w:eastAsia="en-AU"/>
        </w:rPr>
        <w:t xml:space="preserve">. </w:t>
      </w:r>
      <w:r w:rsidR="00283EAD">
        <w:rPr>
          <w:lang w:eastAsia="en-AU"/>
        </w:rPr>
        <w:t xml:space="preserve"> </w:t>
      </w:r>
      <w:r w:rsidR="00E6360E">
        <w:rPr>
          <w:lang w:eastAsia="en-AU"/>
        </w:rPr>
        <w:t>The Taskforce received 700 submissions, and more than 500 of those were from people with lived experience of DFV.</w:t>
      </w:r>
      <w:r w:rsidR="00E6360E">
        <w:rPr>
          <w:rStyle w:val="FootnoteReference"/>
          <w:lang w:eastAsia="en-AU"/>
        </w:rPr>
        <w:footnoteReference w:id="110"/>
      </w:r>
      <w:r w:rsidR="00E6360E">
        <w:rPr>
          <w:lang w:eastAsia="en-AU"/>
        </w:rPr>
        <w:t xml:space="preserve"> </w:t>
      </w:r>
      <w:r w:rsidR="00283EAD">
        <w:rPr>
          <w:lang w:eastAsia="en-AU"/>
        </w:rPr>
        <w:t xml:space="preserve"> </w:t>
      </w:r>
      <w:r w:rsidR="007015B2">
        <w:rPr>
          <w:lang w:eastAsia="en-AU"/>
        </w:rPr>
        <w:t xml:space="preserve">The Queensland Government has announced that it is supportive or supportive-in-principle of </w:t>
      </w:r>
      <w:r w:rsidR="007015B2">
        <w:rPr>
          <w:lang w:eastAsia="en-AU"/>
        </w:rPr>
        <w:lastRenderedPageBreak/>
        <w:t xml:space="preserve">all 89 of the Taskforce’s recommendations, including to criminalise coercive control. </w:t>
      </w:r>
      <w:r w:rsidR="00283EAD">
        <w:rPr>
          <w:lang w:eastAsia="en-AU"/>
        </w:rPr>
        <w:t xml:space="preserve"> </w:t>
      </w:r>
      <w:r w:rsidR="007015B2">
        <w:rPr>
          <w:lang w:eastAsia="en-AU"/>
        </w:rPr>
        <w:t>It has made clear that system-wide reform is necessary before any new offences come into effect.</w:t>
      </w:r>
      <w:r w:rsidR="00C74E87">
        <w:rPr>
          <w:lang w:eastAsia="en-AU"/>
        </w:rPr>
        <w:t xml:space="preserve"> </w:t>
      </w:r>
    </w:p>
    <w:p w14:paraId="7538BA3C" w14:textId="7410F5FC" w:rsidR="00A2707F" w:rsidRDefault="00993E6D" w:rsidP="0067521E">
      <w:pPr>
        <w:pStyle w:val="ListParagraph"/>
        <w:keepLines/>
        <w:numPr>
          <w:ilvl w:val="0"/>
          <w:numId w:val="126"/>
        </w:numPr>
        <w:ind w:left="992" w:hanging="425"/>
        <w:rPr>
          <w:lang w:eastAsia="en-AU"/>
        </w:rPr>
      </w:pPr>
      <w:r>
        <w:rPr>
          <w:lang w:eastAsia="en-AU"/>
        </w:rPr>
        <w:t>In October 2021</w:t>
      </w:r>
      <w:r w:rsidR="00283EAD">
        <w:rPr>
          <w:lang w:eastAsia="en-AU"/>
        </w:rPr>
        <w:t>,</w:t>
      </w:r>
      <w:r>
        <w:rPr>
          <w:lang w:eastAsia="en-AU"/>
        </w:rPr>
        <w:t xml:space="preserve"> t</w:t>
      </w:r>
      <w:r w:rsidR="00953D29" w:rsidRPr="00A2707F">
        <w:rPr>
          <w:lang w:eastAsia="en-AU"/>
        </w:rPr>
        <w:t xml:space="preserve">he </w:t>
      </w:r>
      <w:r w:rsidR="00C74E87" w:rsidRPr="00A2707F">
        <w:rPr>
          <w:lang w:eastAsia="en-AU"/>
        </w:rPr>
        <w:t>South Australian</w:t>
      </w:r>
      <w:r w:rsidR="008F0D38" w:rsidRPr="00A2707F">
        <w:rPr>
          <w:lang w:eastAsia="en-AU"/>
        </w:rPr>
        <w:t xml:space="preserve"> Government </w:t>
      </w:r>
      <w:r w:rsidR="00CE48A7" w:rsidRPr="00A2707F">
        <w:rPr>
          <w:lang w:eastAsia="en-AU"/>
        </w:rPr>
        <w:t xml:space="preserve">introduced a bill to </w:t>
      </w:r>
      <w:r w:rsidR="00A2707F">
        <w:rPr>
          <w:lang w:eastAsia="en-AU"/>
        </w:rPr>
        <w:t>criminalis</w:t>
      </w:r>
      <w:r>
        <w:rPr>
          <w:lang w:eastAsia="en-AU"/>
        </w:rPr>
        <w:t>e</w:t>
      </w:r>
      <w:r w:rsidR="00A2707F">
        <w:rPr>
          <w:lang w:eastAsia="en-AU"/>
        </w:rPr>
        <w:t xml:space="preserve"> coercive controlling behaviou</w:t>
      </w:r>
      <w:r w:rsidR="009A08A4">
        <w:rPr>
          <w:lang w:eastAsia="en-AU"/>
        </w:rPr>
        <w:t>r</w:t>
      </w:r>
      <w:r>
        <w:rPr>
          <w:rStyle w:val="FootnoteReference"/>
          <w:lang w:eastAsia="en-AU"/>
        </w:rPr>
        <w:footnoteReference w:id="111"/>
      </w:r>
      <w:r w:rsidR="00A2707F">
        <w:rPr>
          <w:lang w:eastAsia="en-AU"/>
        </w:rPr>
        <w:t xml:space="preserve"> </w:t>
      </w:r>
      <w:r w:rsidR="00966E1B">
        <w:rPr>
          <w:lang w:eastAsia="en-AU"/>
        </w:rPr>
        <w:t>but it was not passed</w:t>
      </w:r>
      <w:r w:rsidR="002106AE">
        <w:rPr>
          <w:lang w:eastAsia="en-AU"/>
        </w:rPr>
        <w:t xml:space="preserve"> prior to the</w:t>
      </w:r>
      <w:r w:rsidR="00CE48A7">
        <w:rPr>
          <w:lang w:eastAsia="en-AU"/>
        </w:rPr>
        <w:t xml:space="preserve"> March 2022</w:t>
      </w:r>
      <w:r w:rsidR="002106AE">
        <w:rPr>
          <w:lang w:eastAsia="en-AU"/>
        </w:rPr>
        <w:t xml:space="preserve"> </w:t>
      </w:r>
      <w:r w:rsidR="00D46B7F">
        <w:rPr>
          <w:lang w:eastAsia="en-AU"/>
        </w:rPr>
        <w:t xml:space="preserve">state </w:t>
      </w:r>
      <w:r w:rsidR="002106AE">
        <w:rPr>
          <w:lang w:eastAsia="en-AU"/>
        </w:rPr>
        <w:t>election</w:t>
      </w:r>
      <w:r w:rsidR="00B65F66">
        <w:rPr>
          <w:lang w:eastAsia="en-AU"/>
        </w:rPr>
        <w:t>.</w:t>
      </w:r>
      <w:r w:rsidR="006910E8">
        <w:rPr>
          <w:lang w:eastAsia="en-AU"/>
        </w:rPr>
        <w:t xml:space="preserve"> </w:t>
      </w:r>
      <w:r w:rsidR="00283EAD">
        <w:rPr>
          <w:lang w:eastAsia="en-AU"/>
        </w:rPr>
        <w:t xml:space="preserve"> </w:t>
      </w:r>
      <w:r w:rsidR="002106AE">
        <w:rPr>
          <w:lang w:eastAsia="en-AU"/>
        </w:rPr>
        <w:t xml:space="preserve">The </w:t>
      </w:r>
      <w:r w:rsidR="006910E8" w:rsidRPr="00A2707F">
        <w:rPr>
          <w:lang w:eastAsia="en-AU"/>
        </w:rPr>
        <w:t>South Australian Government</w:t>
      </w:r>
      <w:r w:rsidR="002106AE">
        <w:rPr>
          <w:lang w:eastAsia="en-AU"/>
        </w:rPr>
        <w:t xml:space="preserve"> has released a discussion paper: </w:t>
      </w:r>
      <w:r w:rsidR="002106AE" w:rsidRPr="00D46B7F">
        <w:rPr>
          <w:i/>
          <w:lang w:eastAsia="en-AU"/>
        </w:rPr>
        <w:t>Implementation considerations should coercive control be criminalised in South Australia</w:t>
      </w:r>
      <w:r w:rsidR="002106AE">
        <w:rPr>
          <w:lang w:eastAsia="en-AU"/>
        </w:rPr>
        <w:t>.</w:t>
      </w:r>
      <w:r w:rsidR="00CE48A7">
        <w:rPr>
          <w:rStyle w:val="FootnoteReference"/>
          <w:lang w:eastAsia="en-AU"/>
        </w:rPr>
        <w:footnoteReference w:id="112"/>
      </w:r>
    </w:p>
    <w:p w14:paraId="1C4D7F71" w14:textId="1BF9495A" w:rsidR="002106AE" w:rsidRDefault="00DA7934" w:rsidP="0067521E">
      <w:pPr>
        <w:pStyle w:val="ListParagraph"/>
        <w:numPr>
          <w:ilvl w:val="0"/>
          <w:numId w:val="126"/>
        </w:numPr>
        <w:spacing w:after="200"/>
        <w:ind w:left="992" w:hanging="425"/>
        <w:rPr>
          <w:lang w:eastAsia="en-AU"/>
        </w:rPr>
      </w:pPr>
      <w:r>
        <w:rPr>
          <w:lang w:eastAsia="en-AU"/>
        </w:rPr>
        <w:t>In March 2022</w:t>
      </w:r>
      <w:r w:rsidR="00283EAD">
        <w:rPr>
          <w:lang w:eastAsia="en-AU"/>
        </w:rPr>
        <w:t>,</w:t>
      </w:r>
      <w:r>
        <w:rPr>
          <w:lang w:eastAsia="en-AU"/>
        </w:rPr>
        <w:t xml:space="preserve"> the Western Australian Government released a discussion paper:</w:t>
      </w:r>
      <w:r w:rsidRPr="00D46B7F">
        <w:rPr>
          <w:i/>
          <w:lang w:eastAsia="en-AU"/>
        </w:rPr>
        <w:t xml:space="preserve"> Legislative Responses to Coercive Control in Western Australia.</w:t>
      </w:r>
      <w:r w:rsidR="00E65925">
        <w:rPr>
          <w:rStyle w:val="FootnoteReference"/>
          <w:i/>
          <w:lang w:eastAsia="en-AU"/>
        </w:rPr>
        <w:footnoteReference w:id="113"/>
      </w:r>
    </w:p>
    <w:p w14:paraId="641EDE67" w14:textId="34C0547D" w:rsidR="00C74E87" w:rsidRDefault="00B65F66" w:rsidP="00B65F66">
      <w:pPr>
        <w:rPr>
          <w:lang w:eastAsia="en-AU"/>
        </w:rPr>
      </w:pPr>
      <w:r>
        <w:rPr>
          <w:lang w:eastAsia="en-AU"/>
        </w:rPr>
        <w:t>T</w:t>
      </w:r>
      <w:r w:rsidR="00C74E87">
        <w:rPr>
          <w:lang w:eastAsia="en-AU"/>
        </w:rPr>
        <w:t xml:space="preserve">he Commonwealth Government is working with state and territory governments to develop National Principles on Coercive Control. </w:t>
      </w:r>
      <w:r w:rsidR="00283EAD">
        <w:rPr>
          <w:lang w:eastAsia="en-AU"/>
        </w:rPr>
        <w:t xml:space="preserve"> </w:t>
      </w:r>
      <w:r w:rsidR="00C74E87">
        <w:rPr>
          <w:lang w:eastAsia="en-AU"/>
        </w:rPr>
        <w:t xml:space="preserve">While criminalising coercive control </w:t>
      </w:r>
      <w:r w:rsidR="008F0D38">
        <w:rPr>
          <w:lang w:eastAsia="en-AU"/>
        </w:rPr>
        <w:t xml:space="preserve">or introducing other legislative reforms </w:t>
      </w:r>
      <w:r w:rsidR="00C74E87">
        <w:rPr>
          <w:lang w:eastAsia="en-AU"/>
        </w:rPr>
        <w:t xml:space="preserve">is a matter for state and territory governments there is agreement that legislative efforts would be enhanced by a shared national understanding of coercive control. </w:t>
      </w:r>
      <w:r w:rsidR="00DA2461">
        <w:rPr>
          <w:rStyle w:val="FootnoteReference"/>
          <w:lang w:eastAsia="en-AU"/>
        </w:rPr>
        <w:footnoteReference w:id="114"/>
      </w:r>
    </w:p>
    <w:p w14:paraId="3E55928E" w14:textId="393F8B21" w:rsidR="002F4AFE" w:rsidRPr="002C7009" w:rsidRDefault="002C7009" w:rsidP="00D1113E">
      <w:pPr>
        <w:rPr>
          <w:lang w:eastAsia="en-AU"/>
        </w:rPr>
      </w:pPr>
      <w:r w:rsidRPr="002C7009">
        <w:rPr>
          <w:lang w:eastAsia="en-AU"/>
        </w:rPr>
        <w:t>While criminalisation is an important consideration</w:t>
      </w:r>
      <w:r>
        <w:rPr>
          <w:lang w:eastAsia="en-AU"/>
        </w:rPr>
        <w:t>, there are other legislative and syst</w:t>
      </w:r>
      <w:r w:rsidR="009D3A75">
        <w:rPr>
          <w:lang w:eastAsia="en-AU"/>
        </w:rPr>
        <w:t>ems changes other than the introduction of</w:t>
      </w:r>
      <w:r>
        <w:rPr>
          <w:lang w:eastAsia="en-AU"/>
        </w:rPr>
        <w:t xml:space="preserve"> a new criminal offence that may </w:t>
      </w:r>
      <w:r w:rsidR="005160E3">
        <w:rPr>
          <w:lang w:eastAsia="en-AU"/>
        </w:rPr>
        <w:t xml:space="preserve">improve responses </w:t>
      </w:r>
      <w:r>
        <w:rPr>
          <w:lang w:eastAsia="en-AU"/>
        </w:rPr>
        <w:t>to coercive control and DFV</w:t>
      </w:r>
      <w:r w:rsidR="008A1C06">
        <w:rPr>
          <w:lang w:eastAsia="en-AU"/>
        </w:rPr>
        <w:t xml:space="preserve"> (see below).</w:t>
      </w:r>
    </w:p>
    <w:p w14:paraId="73E4316B" w14:textId="77777777" w:rsidR="00523A3A" w:rsidRPr="00353620" w:rsidRDefault="00523A3A" w:rsidP="00283EAD">
      <w:pPr>
        <w:pStyle w:val="Heading2"/>
        <w:keepNext/>
        <w:ind w:left="1134" w:hanging="578"/>
        <w:rPr>
          <w:lang w:eastAsia="en-AU"/>
        </w:rPr>
      </w:pPr>
      <w:bookmarkStart w:id="26" w:name="_Toc112051816"/>
      <w:r w:rsidRPr="00353620">
        <w:rPr>
          <w:lang w:eastAsia="en-AU"/>
        </w:rPr>
        <w:t>Where has coercive control been criminalised?</w:t>
      </w:r>
      <w:bookmarkEnd w:id="26"/>
    </w:p>
    <w:p w14:paraId="1448BBED" w14:textId="77777777" w:rsidR="0052351F" w:rsidRDefault="00745BDD" w:rsidP="00523A3A">
      <w:pPr>
        <w:rPr>
          <w:lang w:eastAsia="en-AU"/>
        </w:rPr>
      </w:pPr>
      <w:r>
        <w:rPr>
          <w:lang w:eastAsia="en-AU"/>
        </w:rPr>
        <w:t>Coercive control has been criminalised in</w:t>
      </w:r>
      <w:r w:rsidR="0052351F">
        <w:rPr>
          <w:lang w:eastAsia="en-AU"/>
        </w:rPr>
        <w:t>:</w:t>
      </w:r>
    </w:p>
    <w:p w14:paraId="455E35DC" w14:textId="5306FC9A" w:rsidR="0052351F" w:rsidRDefault="00745BDD" w:rsidP="0067521E">
      <w:pPr>
        <w:pStyle w:val="ListParagraph"/>
        <w:numPr>
          <w:ilvl w:val="0"/>
          <w:numId w:val="48"/>
        </w:numPr>
        <w:ind w:left="993" w:hanging="426"/>
        <w:rPr>
          <w:lang w:eastAsia="en-AU"/>
        </w:rPr>
      </w:pPr>
      <w:r>
        <w:rPr>
          <w:lang w:eastAsia="en-AU"/>
        </w:rPr>
        <w:t>England and Wales</w:t>
      </w:r>
      <w:r w:rsidR="00724C81">
        <w:rPr>
          <w:rStyle w:val="FootnoteReference"/>
          <w:lang w:eastAsia="en-AU"/>
        </w:rPr>
        <w:footnoteReference w:id="115"/>
      </w:r>
      <w:r>
        <w:rPr>
          <w:lang w:eastAsia="en-AU"/>
        </w:rPr>
        <w:t xml:space="preserve"> since December 2015</w:t>
      </w:r>
      <w:r w:rsidR="00283EAD">
        <w:rPr>
          <w:lang w:eastAsia="en-AU"/>
        </w:rPr>
        <w:t>;</w:t>
      </w:r>
    </w:p>
    <w:p w14:paraId="4A450CB1" w14:textId="6926B50F" w:rsidR="0052351F" w:rsidRDefault="00745BDD" w:rsidP="0067521E">
      <w:pPr>
        <w:pStyle w:val="ListParagraph"/>
        <w:numPr>
          <w:ilvl w:val="0"/>
          <w:numId w:val="48"/>
        </w:numPr>
        <w:ind w:left="993" w:hanging="426"/>
        <w:rPr>
          <w:lang w:eastAsia="en-AU"/>
        </w:rPr>
      </w:pPr>
      <w:r>
        <w:rPr>
          <w:lang w:eastAsia="en-AU"/>
        </w:rPr>
        <w:t>Ireland</w:t>
      </w:r>
      <w:r w:rsidR="00724C81">
        <w:rPr>
          <w:rStyle w:val="FootnoteReference"/>
          <w:lang w:eastAsia="en-AU"/>
        </w:rPr>
        <w:footnoteReference w:id="116"/>
      </w:r>
      <w:r>
        <w:rPr>
          <w:lang w:eastAsia="en-AU"/>
        </w:rPr>
        <w:t xml:space="preserve"> since </w:t>
      </w:r>
      <w:r w:rsidR="00283EAD">
        <w:rPr>
          <w:lang w:eastAsia="en-AU"/>
        </w:rPr>
        <w:t>January 2019;</w:t>
      </w:r>
    </w:p>
    <w:p w14:paraId="5604BEFC" w14:textId="27B6EA8E" w:rsidR="0052351F" w:rsidRDefault="00745BDD" w:rsidP="0067521E">
      <w:pPr>
        <w:pStyle w:val="ListParagraph"/>
        <w:numPr>
          <w:ilvl w:val="0"/>
          <w:numId w:val="48"/>
        </w:numPr>
        <w:ind w:left="993" w:hanging="426"/>
        <w:rPr>
          <w:lang w:eastAsia="en-AU"/>
        </w:rPr>
      </w:pPr>
      <w:r>
        <w:rPr>
          <w:lang w:eastAsia="en-AU"/>
        </w:rPr>
        <w:t>Scotland</w:t>
      </w:r>
      <w:r w:rsidR="00724C81">
        <w:rPr>
          <w:rStyle w:val="FootnoteReference"/>
          <w:lang w:eastAsia="en-AU"/>
        </w:rPr>
        <w:footnoteReference w:id="117"/>
      </w:r>
      <w:r>
        <w:rPr>
          <w:lang w:eastAsia="en-AU"/>
        </w:rPr>
        <w:t xml:space="preserve"> since April 2019</w:t>
      </w:r>
      <w:r w:rsidR="00283EAD">
        <w:rPr>
          <w:lang w:eastAsia="en-AU"/>
        </w:rPr>
        <w:t>;</w:t>
      </w:r>
    </w:p>
    <w:p w14:paraId="0F1FBDD7" w14:textId="7E40B57D" w:rsidR="00523A3A" w:rsidRDefault="00745BDD" w:rsidP="0067521E">
      <w:pPr>
        <w:pStyle w:val="ListParagraph"/>
        <w:numPr>
          <w:ilvl w:val="0"/>
          <w:numId w:val="48"/>
        </w:numPr>
        <w:spacing w:after="200"/>
        <w:ind w:left="992" w:hanging="425"/>
        <w:rPr>
          <w:lang w:eastAsia="en-AU"/>
        </w:rPr>
      </w:pPr>
      <w:r>
        <w:rPr>
          <w:lang w:eastAsia="en-AU"/>
        </w:rPr>
        <w:t>Northern Ireland</w:t>
      </w:r>
      <w:r w:rsidR="0052351F">
        <w:rPr>
          <w:rStyle w:val="FootnoteReference"/>
          <w:lang w:eastAsia="en-AU"/>
        </w:rPr>
        <w:footnoteReference w:id="118"/>
      </w:r>
      <w:r>
        <w:rPr>
          <w:lang w:eastAsia="en-AU"/>
        </w:rPr>
        <w:t xml:space="preserve"> </w:t>
      </w:r>
      <w:r w:rsidR="0052351F">
        <w:rPr>
          <w:lang w:eastAsia="en-AU"/>
        </w:rPr>
        <w:t>since March 2021.</w:t>
      </w:r>
      <w:r w:rsidR="00E626AC">
        <w:rPr>
          <w:lang w:eastAsia="en-AU"/>
        </w:rPr>
        <w:t xml:space="preserve"> </w:t>
      </w:r>
    </w:p>
    <w:p w14:paraId="4FC290FC" w14:textId="3A923D90" w:rsidR="00FB0C3C" w:rsidRDefault="00FB0C3C" w:rsidP="00523A3A">
      <w:pPr>
        <w:rPr>
          <w:lang w:eastAsia="en-AU"/>
        </w:rPr>
      </w:pPr>
      <w:r>
        <w:rPr>
          <w:lang w:eastAsia="en-AU"/>
        </w:rPr>
        <w:t>As indicated previously</w:t>
      </w:r>
      <w:r w:rsidR="00283EAD">
        <w:rPr>
          <w:lang w:eastAsia="en-AU"/>
        </w:rPr>
        <w:t>,</w:t>
      </w:r>
      <w:r>
        <w:rPr>
          <w:lang w:eastAsia="en-AU"/>
        </w:rPr>
        <w:t xml:space="preserve"> economic abuse and emotional abuse are criminalised in Tasmania’s </w:t>
      </w:r>
      <w:r w:rsidRPr="00FB0C3C">
        <w:rPr>
          <w:i/>
          <w:iCs/>
          <w:lang w:eastAsia="en-AU"/>
        </w:rPr>
        <w:t>Family Violence Act 2004</w:t>
      </w:r>
      <w:r>
        <w:rPr>
          <w:lang w:eastAsia="en-AU"/>
        </w:rPr>
        <w:t xml:space="preserve"> which is the only state or territory in Australia to have done so.</w:t>
      </w:r>
      <w:r w:rsidR="00F00B53">
        <w:rPr>
          <w:rStyle w:val="FootnoteReference"/>
          <w:lang w:eastAsia="en-AU"/>
        </w:rPr>
        <w:footnoteReference w:id="119"/>
      </w:r>
    </w:p>
    <w:p w14:paraId="7640F001" w14:textId="77777777" w:rsidR="00FB0C3C" w:rsidRDefault="00FB0C3C" w:rsidP="00283EAD">
      <w:pPr>
        <w:pStyle w:val="Heading3"/>
        <w:keepNext/>
        <w:rPr>
          <w:lang w:eastAsia="en-AU"/>
        </w:rPr>
      </w:pPr>
      <w:bookmarkStart w:id="27" w:name="_Toc112051817"/>
      <w:r>
        <w:rPr>
          <w:lang w:eastAsia="en-AU"/>
        </w:rPr>
        <w:lastRenderedPageBreak/>
        <w:t>The Scottish legislation</w:t>
      </w:r>
      <w:bookmarkEnd w:id="27"/>
    </w:p>
    <w:p w14:paraId="34445C1C" w14:textId="0DD238A4" w:rsidR="00523A3A" w:rsidRDefault="0059340C" w:rsidP="00523A3A">
      <w:pPr>
        <w:rPr>
          <w:lang w:eastAsia="en-AU"/>
        </w:rPr>
      </w:pPr>
      <w:r w:rsidRPr="00F3780F">
        <w:rPr>
          <w:lang w:eastAsia="en-AU"/>
        </w:rPr>
        <w:t>Scotland is considered to have the ‘gold standard’ legislation criminalis</w:t>
      </w:r>
      <w:r w:rsidR="00C71B92">
        <w:rPr>
          <w:lang w:eastAsia="en-AU"/>
        </w:rPr>
        <w:t>ing</w:t>
      </w:r>
      <w:r w:rsidRPr="00F3780F">
        <w:rPr>
          <w:lang w:eastAsia="en-AU"/>
        </w:rPr>
        <w:t xml:space="preserve"> coercive control.</w:t>
      </w:r>
      <w:r w:rsidR="00797AC6">
        <w:rPr>
          <w:rStyle w:val="FootnoteReference"/>
          <w:lang w:eastAsia="en-AU"/>
        </w:rPr>
        <w:footnoteReference w:id="120"/>
      </w:r>
      <w:r w:rsidRPr="00F3780F">
        <w:rPr>
          <w:lang w:eastAsia="en-AU"/>
        </w:rPr>
        <w:t xml:space="preserve"> </w:t>
      </w:r>
      <w:r w:rsidR="00283EAD">
        <w:rPr>
          <w:lang w:eastAsia="en-AU"/>
        </w:rPr>
        <w:t xml:space="preserve"> </w:t>
      </w:r>
      <w:r w:rsidR="00F3780F" w:rsidRPr="00F3780F">
        <w:rPr>
          <w:lang w:eastAsia="en-AU"/>
        </w:rPr>
        <w:t xml:space="preserve">The </w:t>
      </w:r>
      <w:r w:rsidR="00F3780F" w:rsidRPr="00F3780F">
        <w:rPr>
          <w:i/>
          <w:iCs/>
          <w:lang w:eastAsia="en-AU"/>
        </w:rPr>
        <w:t>Domestic Abuse (Scotland) Act 2018</w:t>
      </w:r>
      <w:r w:rsidR="00F3780F" w:rsidRPr="00F3780F">
        <w:rPr>
          <w:lang w:eastAsia="en-AU"/>
        </w:rPr>
        <w:t xml:space="preserve"> was designed to reflect victims’ lived experience</w:t>
      </w:r>
      <w:r w:rsidR="00171B85">
        <w:rPr>
          <w:lang w:eastAsia="en-AU"/>
        </w:rPr>
        <w:t xml:space="preserve"> of domestic abuse</w:t>
      </w:r>
      <w:r w:rsidR="002160E8">
        <w:rPr>
          <w:rStyle w:val="FootnoteReference"/>
          <w:lang w:eastAsia="en-AU"/>
        </w:rPr>
        <w:footnoteReference w:id="121"/>
      </w:r>
      <w:r w:rsidR="00F3780F" w:rsidRPr="00F3780F">
        <w:rPr>
          <w:lang w:eastAsia="en-AU"/>
        </w:rPr>
        <w:t>, while still ensuring fairness for the accused. Scotland</w:t>
      </w:r>
      <w:r w:rsidRPr="00F3780F">
        <w:rPr>
          <w:lang w:eastAsia="en-AU"/>
        </w:rPr>
        <w:t xml:space="preserve"> has </w:t>
      </w:r>
      <w:r w:rsidR="00283EAD">
        <w:rPr>
          <w:lang w:eastAsia="en-AU"/>
        </w:rPr>
        <w:t>invested in a significant cross</w:t>
      </w:r>
      <w:r w:rsidR="00283EAD">
        <w:rPr>
          <w:lang w:eastAsia="en-AU"/>
        </w:rPr>
        <w:noBreakHyphen/>
      </w:r>
      <w:r w:rsidRPr="00F3780F">
        <w:rPr>
          <w:lang w:eastAsia="en-AU"/>
        </w:rPr>
        <w:t>agency response to full</w:t>
      </w:r>
      <w:r w:rsidR="00171B85">
        <w:rPr>
          <w:lang w:eastAsia="en-AU"/>
        </w:rPr>
        <w:t>y</w:t>
      </w:r>
      <w:r w:rsidRPr="00F3780F">
        <w:rPr>
          <w:lang w:eastAsia="en-AU"/>
        </w:rPr>
        <w:t xml:space="preserve"> implement the legislative reforms and give them the best </w:t>
      </w:r>
      <w:r w:rsidR="004F5617">
        <w:rPr>
          <w:lang w:eastAsia="en-AU"/>
        </w:rPr>
        <w:t>opportunity to succeed</w:t>
      </w:r>
      <w:r w:rsidRPr="00F3780F">
        <w:rPr>
          <w:lang w:eastAsia="en-AU"/>
        </w:rPr>
        <w:t>.</w:t>
      </w:r>
    </w:p>
    <w:p w14:paraId="1EF20D81" w14:textId="47A95212" w:rsidR="00686E39" w:rsidRPr="00611218" w:rsidRDefault="00AB7807" w:rsidP="00283EAD">
      <w:pPr>
        <w:keepNext/>
        <w:spacing w:after="120"/>
        <w:rPr>
          <w:lang w:eastAsia="en-AU"/>
        </w:rPr>
      </w:pPr>
      <w:r>
        <w:rPr>
          <w:lang w:eastAsia="en-AU"/>
        </w:rPr>
        <w:t>As set out in</w:t>
      </w:r>
      <w:r w:rsidR="00611218">
        <w:rPr>
          <w:lang w:eastAsia="en-AU"/>
        </w:rPr>
        <w:t xml:space="preserve"> section 1 of the </w:t>
      </w:r>
      <w:r w:rsidR="00611218" w:rsidRPr="00F3780F">
        <w:rPr>
          <w:i/>
          <w:iCs/>
          <w:lang w:eastAsia="en-AU"/>
        </w:rPr>
        <w:t>Domestic Abuse (Scotland) Act 2018</w:t>
      </w:r>
      <w:r w:rsidR="00611218" w:rsidRPr="00F3780F">
        <w:rPr>
          <w:lang w:eastAsia="en-AU"/>
        </w:rPr>
        <w:t xml:space="preserve"> </w:t>
      </w:r>
      <w:r w:rsidR="00611218">
        <w:rPr>
          <w:lang w:eastAsia="en-AU"/>
        </w:rPr>
        <w:t>i</w:t>
      </w:r>
      <w:r w:rsidR="00686E39" w:rsidRPr="00611218">
        <w:rPr>
          <w:lang w:eastAsia="en-AU"/>
        </w:rPr>
        <w:t>t is an offence for a person (</w:t>
      </w:r>
      <w:r w:rsidR="00283EAD">
        <w:rPr>
          <w:lang w:eastAsia="en-AU"/>
        </w:rPr>
        <w:t>a</w:t>
      </w:r>
      <w:r w:rsidR="00686E39" w:rsidRPr="00611218">
        <w:rPr>
          <w:lang w:eastAsia="en-AU"/>
        </w:rPr>
        <w:t xml:space="preserve">) to </w:t>
      </w:r>
      <w:r w:rsidR="00611218">
        <w:rPr>
          <w:lang w:eastAsia="en-AU"/>
        </w:rPr>
        <w:t>engage in a course of behaviour</w:t>
      </w:r>
      <w:r w:rsidR="004F350B" w:rsidRPr="00611218">
        <w:rPr>
          <w:lang w:eastAsia="en-AU"/>
        </w:rPr>
        <w:t xml:space="preserve"> </w:t>
      </w:r>
      <w:r w:rsidR="00611218">
        <w:rPr>
          <w:lang w:eastAsia="en-AU"/>
        </w:rPr>
        <w:t>which is abusive</w:t>
      </w:r>
      <w:r w:rsidR="00283EAD">
        <w:rPr>
          <w:lang w:eastAsia="en-AU"/>
        </w:rPr>
        <w:t xml:space="preserve"> of A’s partner or ex-partner (b</w:t>
      </w:r>
      <w:r w:rsidR="00686E39" w:rsidRPr="00611218">
        <w:rPr>
          <w:lang w:eastAsia="en-AU"/>
        </w:rPr>
        <w:t>) if</w:t>
      </w:r>
      <w:r w:rsidR="00611218">
        <w:rPr>
          <w:lang w:eastAsia="en-AU"/>
        </w:rPr>
        <w:t xml:space="preserve"> two further conditions are met</w:t>
      </w:r>
      <w:r w:rsidR="00686E39" w:rsidRPr="00611218">
        <w:rPr>
          <w:lang w:eastAsia="en-AU"/>
        </w:rPr>
        <w:t>:</w:t>
      </w:r>
    </w:p>
    <w:p w14:paraId="46FCCD54" w14:textId="559A7064" w:rsidR="00686E39" w:rsidRPr="00611218" w:rsidRDefault="00611218" w:rsidP="0067521E">
      <w:pPr>
        <w:numPr>
          <w:ilvl w:val="0"/>
          <w:numId w:val="120"/>
        </w:numPr>
        <w:spacing w:after="120"/>
        <w:ind w:left="993" w:hanging="426"/>
        <w:rPr>
          <w:lang w:eastAsia="en-AU"/>
        </w:rPr>
      </w:pPr>
      <w:r>
        <w:rPr>
          <w:lang w:eastAsia="en-AU"/>
        </w:rPr>
        <w:t>That a</w:t>
      </w:r>
      <w:r w:rsidR="00686E39" w:rsidRPr="00611218">
        <w:rPr>
          <w:lang w:eastAsia="en-AU"/>
        </w:rPr>
        <w:t xml:space="preserve"> reasonable person would</w:t>
      </w:r>
      <w:r>
        <w:rPr>
          <w:lang w:eastAsia="en-AU"/>
        </w:rPr>
        <w:t xml:space="preserve"> consider this course of behaviour</w:t>
      </w:r>
      <w:r w:rsidR="00686E39" w:rsidRPr="00611218">
        <w:rPr>
          <w:lang w:eastAsia="en-AU"/>
        </w:rPr>
        <w:t xml:space="preserve"> is likely to cause B to suffer physical or ps</w:t>
      </w:r>
      <w:r>
        <w:rPr>
          <w:lang w:eastAsia="en-AU"/>
        </w:rPr>
        <w:t>ychological harm, and</w:t>
      </w:r>
    </w:p>
    <w:p w14:paraId="42EC469D" w14:textId="7E613F2D" w:rsidR="00611218" w:rsidRDefault="00611218" w:rsidP="0067521E">
      <w:pPr>
        <w:numPr>
          <w:ilvl w:val="0"/>
          <w:numId w:val="120"/>
        </w:numPr>
        <w:spacing w:after="120"/>
        <w:ind w:left="993" w:hanging="426"/>
        <w:rPr>
          <w:lang w:eastAsia="en-AU"/>
        </w:rPr>
      </w:pPr>
      <w:r>
        <w:rPr>
          <w:lang w:eastAsia="en-AU"/>
        </w:rPr>
        <w:t>That either –</w:t>
      </w:r>
    </w:p>
    <w:p w14:paraId="1BCFA804" w14:textId="27BD478B" w:rsidR="00611218" w:rsidRDefault="00523A3A" w:rsidP="0067521E">
      <w:pPr>
        <w:numPr>
          <w:ilvl w:val="1"/>
          <w:numId w:val="120"/>
        </w:numPr>
        <w:spacing w:after="120"/>
        <w:ind w:left="1418" w:hanging="284"/>
        <w:rPr>
          <w:lang w:eastAsia="en-AU"/>
        </w:rPr>
      </w:pPr>
      <w:r w:rsidRPr="00611218">
        <w:rPr>
          <w:lang w:eastAsia="en-AU"/>
        </w:rPr>
        <w:t xml:space="preserve">A intends </w:t>
      </w:r>
      <w:r w:rsidR="00611218">
        <w:rPr>
          <w:lang w:eastAsia="en-AU"/>
        </w:rPr>
        <w:t xml:space="preserve">by the course of behaviour </w:t>
      </w:r>
      <w:r w:rsidRPr="00611218">
        <w:rPr>
          <w:lang w:eastAsia="en-AU"/>
        </w:rPr>
        <w:t>B to suffer physical or psychological harm</w:t>
      </w:r>
      <w:r w:rsidR="00611218">
        <w:rPr>
          <w:lang w:eastAsia="en-AU"/>
        </w:rPr>
        <w:t>,</w:t>
      </w:r>
      <w:r w:rsidRPr="00611218">
        <w:rPr>
          <w:lang w:eastAsia="en-AU"/>
        </w:rPr>
        <w:t xml:space="preserve"> or</w:t>
      </w:r>
    </w:p>
    <w:p w14:paraId="6B5DE395" w14:textId="15A74314" w:rsidR="00523A3A" w:rsidRPr="00611218" w:rsidRDefault="00611218" w:rsidP="0067521E">
      <w:pPr>
        <w:numPr>
          <w:ilvl w:val="1"/>
          <w:numId w:val="120"/>
        </w:numPr>
        <w:ind w:left="1418" w:hanging="284"/>
        <w:rPr>
          <w:lang w:eastAsia="en-AU"/>
        </w:rPr>
      </w:pPr>
      <w:r>
        <w:rPr>
          <w:lang w:eastAsia="en-AU"/>
        </w:rPr>
        <w:t>A</w:t>
      </w:r>
      <w:r w:rsidR="00523A3A" w:rsidRPr="00611218">
        <w:rPr>
          <w:lang w:eastAsia="en-AU"/>
        </w:rPr>
        <w:t xml:space="preserve"> is reckless as to whether it will cause physical or psychological harm.</w:t>
      </w:r>
    </w:p>
    <w:p w14:paraId="5CCA398B" w14:textId="36154299" w:rsidR="00A91497" w:rsidRDefault="00611218" w:rsidP="00523A3A">
      <w:pPr>
        <w:rPr>
          <w:lang w:eastAsia="en-AU"/>
        </w:rPr>
      </w:pPr>
      <w:r>
        <w:rPr>
          <w:lang w:eastAsia="en-AU"/>
        </w:rPr>
        <w:t>Psychological harm is defined to include fear, alarm and distress.</w:t>
      </w:r>
      <w:r w:rsidR="003757DB">
        <w:rPr>
          <w:lang w:eastAsia="en-AU"/>
        </w:rPr>
        <w:t xml:space="preserve">  </w:t>
      </w:r>
      <w:r w:rsidR="00A91497">
        <w:rPr>
          <w:lang w:eastAsia="en-AU"/>
        </w:rPr>
        <w:t>A course of behaviour is defined as involving behaviour on at least two occasions.</w:t>
      </w:r>
    </w:p>
    <w:p w14:paraId="609BD1C3" w14:textId="43A04291" w:rsidR="00611218" w:rsidRPr="00AB7807" w:rsidRDefault="00686E39" w:rsidP="003757DB">
      <w:pPr>
        <w:keepNext/>
        <w:spacing w:after="120"/>
        <w:rPr>
          <w:lang w:eastAsia="en-AU"/>
        </w:rPr>
      </w:pPr>
      <w:r>
        <w:rPr>
          <w:lang w:eastAsia="en-AU"/>
        </w:rPr>
        <w:t xml:space="preserve">The legislation provides an illustrative definition of </w:t>
      </w:r>
      <w:r w:rsidR="00523A3A" w:rsidRPr="00244B27">
        <w:rPr>
          <w:lang w:eastAsia="en-AU"/>
        </w:rPr>
        <w:t>‘</w:t>
      </w:r>
      <w:r>
        <w:rPr>
          <w:lang w:eastAsia="en-AU"/>
        </w:rPr>
        <w:t>a</w:t>
      </w:r>
      <w:r w:rsidR="00523A3A" w:rsidRPr="00244B27">
        <w:rPr>
          <w:lang w:eastAsia="en-AU"/>
        </w:rPr>
        <w:t>busive behaviour</w:t>
      </w:r>
      <w:r w:rsidR="00611218">
        <w:rPr>
          <w:lang w:eastAsia="en-AU"/>
        </w:rPr>
        <w:t xml:space="preserve">’ </w:t>
      </w:r>
      <w:r w:rsidR="00AB7807">
        <w:rPr>
          <w:lang w:eastAsia="en-AU"/>
        </w:rPr>
        <w:t>in section 2 as follows</w:t>
      </w:r>
      <w:r>
        <w:rPr>
          <w:lang w:eastAsia="en-AU"/>
        </w:rPr>
        <w:t>:</w:t>
      </w:r>
    </w:p>
    <w:p w14:paraId="54CB0E84" w14:textId="5E55E3DC" w:rsidR="00611218" w:rsidRPr="00283EAD" w:rsidRDefault="00611218" w:rsidP="00283EAD">
      <w:pPr>
        <w:pStyle w:val="legclearfix"/>
        <w:shd w:val="clear" w:color="auto" w:fill="FFFFFF"/>
        <w:spacing w:before="0" w:beforeAutospacing="0" w:after="120" w:afterAutospacing="0"/>
        <w:ind w:left="1134" w:hanging="566"/>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(2)</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Behaviour which is abusive of B includes (in particular)—</w:t>
      </w:r>
    </w:p>
    <w:p w14:paraId="0CF8AE48" w14:textId="0498E092" w:rsidR="00611218" w:rsidRPr="00283EAD" w:rsidRDefault="00611218" w:rsidP="00283EAD">
      <w:pPr>
        <w:pStyle w:val="legclearfix"/>
        <w:shd w:val="clear" w:color="auto" w:fill="FFFFFF"/>
        <w:spacing w:before="0" w:beforeAutospacing="0" w:after="120" w:afterAutospacing="0"/>
        <w:ind w:left="1701" w:hanging="565"/>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(a)</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behaviour directed at B that is violent, threatening or intimidating,</w:t>
      </w:r>
    </w:p>
    <w:p w14:paraId="3B42A8D8" w14:textId="441F64CB" w:rsidR="00611218" w:rsidRPr="00283EAD" w:rsidRDefault="00611218" w:rsidP="00283EAD">
      <w:pPr>
        <w:pStyle w:val="legclearfix"/>
        <w:shd w:val="clear" w:color="auto" w:fill="FFFFFF"/>
        <w:spacing w:before="0" w:beforeAutospacing="0" w:after="120" w:afterAutospacing="0"/>
        <w:ind w:left="1701" w:hanging="565"/>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(b)</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behaviour directed at B, at a child of B or at another person that either—</w:t>
      </w:r>
    </w:p>
    <w:p w14:paraId="07543226" w14:textId="1E9E8B1A" w:rsidR="00611218" w:rsidRPr="00283EAD" w:rsidRDefault="00611218" w:rsidP="00283EAD">
      <w:pPr>
        <w:pStyle w:val="legclearfix"/>
        <w:shd w:val="clear" w:color="auto" w:fill="FFFFFF"/>
        <w:spacing w:before="0" w:beforeAutospacing="0" w:after="120" w:afterAutospacing="0"/>
        <w:ind w:left="2268" w:hanging="564"/>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(i)</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has as its purpose (or among its purposes) one or more of the relevant effects set out in subsection (3), or</w:t>
      </w:r>
    </w:p>
    <w:p w14:paraId="4414A0D0" w14:textId="52A2D398" w:rsidR="00611218" w:rsidRPr="00283EAD" w:rsidRDefault="00611218" w:rsidP="00283EAD">
      <w:pPr>
        <w:pStyle w:val="legclearfix"/>
        <w:shd w:val="clear" w:color="auto" w:fill="FFFFFF"/>
        <w:spacing w:before="0" w:beforeAutospacing="0" w:after="120" w:afterAutospacing="0"/>
        <w:ind w:left="2268" w:hanging="564"/>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(ii)</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would be considered by a reasonable person to be likely to have one or more of the relevant effects set out in subsection (3).</w:t>
      </w:r>
    </w:p>
    <w:p w14:paraId="666A3090" w14:textId="14EF9724" w:rsidR="00611218" w:rsidRPr="00283EAD" w:rsidRDefault="00611218" w:rsidP="00283EAD">
      <w:pPr>
        <w:pStyle w:val="legclearfix"/>
        <w:shd w:val="clear" w:color="auto" w:fill="FFFFFF"/>
        <w:spacing w:before="0" w:beforeAutospacing="0" w:after="120" w:afterAutospacing="0"/>
        <w:ind w:left="1134" w:hanging="566"/>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(3)</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The relevant effects are of—</w:t>
      </w:r>
    </w:p>
    <w:p w14:paraId="12D5FED3" w14:textId="10328C1D" w:rsidR="00611218" w:rsidRPr="00283EAD" w:rsidRDefault="00611218" w:rsidP="00283EAD">
      <w:pPr>
        <w:pStyle w:val="legclearfix"/>
        <w:shd w:val="clear" w:color="auto" w:fill="FFFFFF"/>
        <w:spacing w:before="0" w:beforeAutospacing="0" w:after="120" w:afterAutospacing="0"/>
        <w:ind w:left="1701" w:hanging="565"/>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(a)</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making B dependent on, or subordinate to, A,</w:t>
      </w:r>
    </w:p>
    <w:p w14:paraId="369D9774" w14:textId="428534D2" w:rsidR="00611218" w:rsidRPr="00283EAD" w:rsidRDefault="00611218" w:rsidP="00283EAD">
      <w:pPr>
        <w:pStyle w:val="legclearfix"/>
        <w:shd w:val="clear" w:color="auto" w:fill="FFFFFF"/>
        <w:spacing w:before="0" w:beforeAutospacing="0" w:after="120" w:afterAutospacing="0"/>
        <w:ind w:left="1701" w:hanging="565"/>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(b)</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isolating B from friends, relatives or other sources of support,</w:t>
      </w:r>
    </w:p>
    <w:p w14:paraId="56C81CD3" w14:textId="30161CEC" w:rsidR="00611218" w:rsidRPr="00283EAD" w:rsidRDefault="00611218" w:rsidP="00283EAD">
      <w:pPr>
        <w:pStyle w:val="legclearfix"/>
        <w:shd w:val="clear" w:color="auto" w:fill="FFFFFF"/>
        <w:spacing w:before="0" w:beforeAutospacing="0" w:after="120" w:afterAutospacing="0"/>
        <w:ind w:left="1701" w:hanging="565"/>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(c)</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controlling, regulating or monitoring B’s day-to-day activities,</w:t>
      </w:r>
    </w:p>
    <w:p w14:paraId="5606A2C4" w14:textId="477A2D52" w:rsidR="00611218" w:rsidRPr="00283EAD" w:rsidRDefault="00611218" w:rsidP="00283EAD">
      <w:pPr>
        <w:pStyle w:val="legclearfix"/>
        <w:shd w:val="clear" w:color="auto" w:fill="FFFFFF"/>
        <w:spacing w:before="0" w:beforeAutospacing="0" w:after="120" w:afterAutospacing="0"/>
        <w:ind w:left="1701" w:hanging="565"/>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(d)</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depriving B of, or restricting B’s, freedom of action,</w:t>
      </w:r>
    </w:p>
    <w:p w14:paraId="579F2A6B" w14:textId="5DC44AB7" w:rsidR="00611218" w:rsidRPr="00283EAD" w:rsidRDefault="00611218" w:rsidP="00283EAD">
      <w:pPr>
        <w:pStyle w:val="legclearfix"/>
        <w:shd w:val="clear" w:color="auto" w:fill="FFFFFF"/>
        <w:spacing w:before="0" w:beforeAutospacing="0" w:after="120" w:afterAutospacing="0"/>
        <w:ind w:left="1701" w:hanging="565"/>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(e)</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frightening, humiliating, degrading or punishing B.</w:t>
      </w:r>
    </w:p>
    <w:p w14:paraId="102B3652" w14:textId="0C90D857" w:rsidR="00611218" w:rsidRPr="00283EAD" w:rsidRDefault="00611218" w:rsidP="00283EAD">
      <w:pPr>
        <w:pStyle w:val="legclearfix"/>
        <w:shd w:val="clear" w:color="auto" w:fill="FFFFFF"/>
        <w:spacing w:before="0" w:beforeAutospacing="0" w:after="120" w:afterAutospacing="0"/>
        <w:ind w:left="1134" w:hanging="566"/>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(4</w:t>
      </w:r>
      <w:r w:rsidR="00AB7807" w:rsidRPr="00283EAD">
        <w:rPr>
          <w:rStyle w:val="legds"/>
          <w:rFonts w:asciiTheme="minorHAnsi" w:eastAsiaTheme="majorEastAsia" w:hAnsiTheme="minorHAnsi" w:cs="Arial"/>
          <w:color w:val="000000"/>
          <w:sz w:val="22"/>
          <w:szCs w:val="22"/>
        </w:rPr>
        <w:t xml:space="preserve"> </w:t>
      </w:r>
      <w:r w:rsidRPr="00283EAD">
        <w:rPr>
          <w:rStyle w:val="legds"/>
          <w:rFonts w:asciiTheme="minorHAnsi" w:eastAsiaTheme="majorEastAsia" w:hAnsiTheme="minorHAnsi" w:cs="Arial"/>
          <w:color w:val="000000"/>
          <w:sz w:val="22"/>
          <w:szCs w:val="22"/>
        </w:rPr>
        <w:t>)</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In subsection (2)—</w:t>
      </w:r>
    </w:p>
    <w:p w14:paraId="64CFAD65" w14:textId="4EBF0F05" w:rsidR="00611218" w:rsidRPr="00283EAD" w:rsidRDefault="00611218" w:rsidP="00283EAD">
      <w:pPr>
        <w:pStyle w:val="legclearfix"/>
        <w:shd w:val="clear" w:color="auto" w:fill="FFFFFF"/>
        <w:spacing w:before="0" w:beforeAutospacing="0" w:after="120" w:afterAutospacing="0"/>
        <w:ind w:left="1701" w:hanging="565"/>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t>(a)</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in paragraph (a), the reference to violent behaviour includes sexual violence as well as physical violence,</w:t>
      </w:r>
    </w:p>
    <w:p w14:paraId="0E3BF215" w14:textId="03DC336C" w:rsidR="00611218" w:rsidRPr="00283EAD" w:rsidRDefault="00611218" w:rsidP="00283EAD">
      <w:pPr>
        <w:pStyle w:val="legclearfix"/>
        <w:shd w:val="clear" w:color="auto" w:fill="FFFFFF"/>
        <w:spacing w:before="0" w:beforeAutospacing="0" w:after="240" w:afterAutospacing="0"/>
        <w:ind w:left="1701" w:hanging="567"/>
        <w:rPr>
          <w:rFonts w:asciiTheme="minorHAnsi" w:hAnsiTheme="minorHAnsi" w:cs="Arial"/>
          <w:color w:val="000000"/>
          <w:sz w:val="22"/>
          <w:szCs w:val="22"/>
        </w:rPr>
      </w:pPr>
      <w:r w:rsidRPr="00283EAD">
        <w:rPr>
          <w:rStyle w:val="legds"/>
          <w:rFonts w:asciiTheme="minorHAnsi" w:eastAsiaTheme="majorEastAsia" w:hAnsiTheme="minorHAnsi" w:cs="Arial"/>
          <w:color w:val="000000"/>
          <w:sz w:val="22"/>
          <w:szCs w:val="22"/>
        </w:rPr>
        <w:lastRenderedPageBreak/>
        <w:t>(b)</w:t>
      </w:r>
      <w:r w:rsidR="00283EAD">
        <w:rPr>
          <w:rStyle w:val="legds"/>
          <w:rFonts w:asciiTheme="minorHAnsi" w:eastAsiaTheme="majorEastAsia" w:hAnsiTheme="minorHAnsi" w:cs="Arial"/>
          <w:color w:val="000000"/>
          <w:sz w:val="22"/>
          <w:szCs w:val="22"/>
        </w:rPr>
        <w:tab/>
      </w:r>
      <w:r w:rsidRPr="00283EAD">
        <w:rPr>
          <w:rStyle w:val="legds"/>
          <w:rFonts w:asciiTheme="minorHAnsi" w:eastAsiaTheme="majorEastAsia" w:hAnsiTheme="minorHAnsi" w:cs="Arial"/>
          <w:color w:val="000000"/>
          <w:sz w:val="22"/>
          <w:szCs w:val="22"/>
        </w:rPr>
        <w:t>in paragraph (b), the reference to a child is to a person who is under 18 years of age.</w:t>
      </w:r>
    </w:p>
    <w:p w14:paraId="3D710F47" w14:textId="7D1AC088" w:rsidR="00611218" w:rsidRDefault="00617368" w:rsidP="00283EAD">
      <w:pPr>
        <w:keepNext/>
        <w:spacing w:after="120"/>
        <w:rPr>
          <w:lang w:eastAsia="en-AU"/>
        </w:rPr>
      </w:pPr>
      <w:r w:rsidRPr="00115E74">
        <w:rPr>
          <w:lang w:eastAsia="en-AU"/>
        </w:rPr>
        <w:t xml:space="preserve">The notable features of the </w:t>
      </w:r>
      <w:r w:rsidRPr="00115E74">
        <w:rPr>
          <w:i/>
          <w:iCs/>
          <w:lang w:eastAsia="en-AU"/>
        </w:rPr>
        <w:t>Domestic Abuse (Scotland) Act 2018</w:t>
      </w:r>
      <w:r w:rsidRPr="00115E74">
        <w:rPr>
          <w:lang w:eastAsia="en-AU"/>
        </w:rPr>
        <w:t xml:space="preserve"> </w:t>
      </w:r>
      <w:r w:rsidR="00AB7807" w:rsidRPr="00115E74">
        <w:rPr>
          <w:lang w:eastAsia="en-AU"/>
        </w:rPr>
        <w:t>is that:</w:t>
      </w:r>
    </w:p>
    <w:p w14:paraId="39F3A845" w14:textId="61C5CD0F" w:rsidR="00617368" w:rsidRPr="00244B27" w:rsidRDefault="00617368" w:rsidP="0067521E">
      <w:pPr>
        <w:pStyle w:val="ListParagraph"/>
        <w:numPr>
          <w:ilvl w:val="0"/>
          <w:numId w:val="121"/>
        </w:numPr>
        <w:ind w:left="993" w:hanging="426"/>
        <w:rPr>
          <w:lang w:eastAsia="en-AU"/>
        </w:rPr>
      </w:pPr>
      <w:r>
        <w:rPr>
          <w:lang w:eastAsia="en-AU"/>
        </w:rPr>
        <w:t>The Scottish legislation can be distinguished from the legislation in the England and Wales</w:t>
      </w:r>
      <w:r w:rsidR="00DE3434">
        <w:rPr>
          <w:rStyle w:val="FootnoteReference"/>
          <w:lang w:eastAsia="en-AU"/>
        </w:rPr>
        <w:footnoteReference w:id="122"/>
      </w:r>
      <w:r>
        <w:rPr>
          <w:lang w:eastAsia="en-AU"/>
        </w:rPr>
        <w:t xml:space="preserve"> in that it covers </w:t>
      </w:r>
      <w:r w:rsidR="00115E74">
        <w:rPr>
          <w:lang w:eastAsia="en-AU"/>
        </w:rPr>
        <w:t xml:space="preserve">both </w:t>
      </w:r>
      <w:r>
        <w:rPr>
          <w:lang w:eastAsia="en-AU"/>
        </w:rPr>
        <w:t>physical and non-physical forms of domestic abuse</w:t>
      </w:r>
      <w:r w:rsidR="000673C4">
        <w:rPr>
          <w:lang w:eastAsia="en-AU"/>
        </w:rPr>
        <w:t xml:space="preserve"> in the one offence</w:t>
      </w:r>
      <w:r>
        <w:rPr>
          <w:lang w:eastAsia="en-AU"/>
        </w:rPr>
        <w:t>.  In contrast</w:t>
      </w:r>
      <w:r w:rsidR="00283EAD">
        <w:rPr>
          <w:lang w:eastAsia="en-AU"/>
        </w:rPr>
        <w:t>,</w:t>
      </w:r>
      <w:r>
        <w:rPr>
          <w:lang w:eastAsia="en-AU"/>
        </w:rPr>
        <w:t xml:space="preserve"> the legislation in England and Wales </w:t>
      </w:r>
      <w:r w:rsidR="00115E74">
        <w:rPr>
          <w:lang w:eastAsia="en-AU"/>
        </w:rPr>
        <w:t>only covers non-physical abuse.</w:t>
      </w:r>
    </w:p>
    <w:p w14:paraId="1E0E6A8D" w14:textId="5F23A61D" w:rsidR="00AB7807" w:rsidRDefault="00523A3A" w:rsidP="0067521E">
      <w:pPr>
        <w:pStyle w:val="ListParagraph"/>
        <w:numPr>
          <w:ilvl w:val="0"/>
          <w:numId w:val="121"/>
        </w:numPr>
        <w:ind w:left="993" w:hanging="426"/>
        <w:rPr>
          <w:lang w:eastAsia="en-AU"/>
        </w:rPr>
      </w:pPr>
      <w:r w:rsidRPr="00244B27">
        <w:rPr>
          <w:lang w:eastAsia="en-AU"/>
        </w:rPr>
        <w:t>It is not necessary to prove actual harm</w:t>
      </w:r>
      <w:r w:rsidR="003026E5">
        <w:rPr>
          <w:lang w:eastAsia="en-AU"/>
        </w:rPr>
        <w:t xml:space="preserve">. </w:t>
      </w:r>
      <w:r w:rsidR="00283EAD">
        <w:rPr>
          <w:lang w:eastAsia="en-AU"/>
        </w:rPr>
        <w:t xml:space="preserve"> </w:t>
      </w:r>
      <w:r w:rsidR="003026E5">
        <w:rPr>
          <w:lang w:eastAsia="en-AU"/>
        </w:rPr>
        <w:t>Rather, the test is would the behaviour be considered by a reasonable person to have one or more of these effects</w:t>
      </w:r>
      <w:r w:rsidR="00FB0C3C">
        <w:rPr>
          <w:lang w:eastAsia="en-AU"/>
        </w:rPr>
        <w:t>?</w:t>
      </w:r>
      <w:r w:rsidR="00DE3434">
        <w:rPr>
          <w:lang w:eastAsia="en-AU"/>
        </w:rPr>
        <w:t xml:space="preserve">  The offence in England and Wales requi</w:t>
      </w:r>
      <w:r w:rsidR="000673C4">
        <w:rPr>
          <w:lang w:eastAsia="en-AU"/>
        </w:rPr>
        <w:t>res proof that the behaviour had</w:t>
      </w:r>
      <w:r w:rsidR="00DE3434">
        <w:rPr>
          <w:lang w:eastAsia="en-AU"/>
        </w:rPr>
        <w:t xml:space="preserve"> a se</w:t>
      </w:r>
      <w:r w:rsidR="000673C4">
        <w:rPr>
          <w:lang w:eastAsia="en-AU"/>
        </w:rPr>
        <w:t>rious effect on B and that A knew,</w:t>
      </w:r>
      <w:r w:rsidR="00DE3434">
        <w:rPr>
          <w:lang w:eastAsia="en-AU"/>
        </w:rPr>
        <w:t xml:space="preserve"> or ought to </w:t>
      </w:r>
      <w:r w:rsidR="000673C4">
        <w:rPr>
          <w:lang w:eastAsia="en-AU"/>
        </w:rPr>
        <w:t xml:space="preserve">have </w:t>
      </w:r>
      <w:r w:rsidR="00DE3434">
        <w:rPr>
          <w:lang w:eastAsia="en-AU"/>
        </w:rPr>
        <w:t>know</w:t>
      </w:r>
      <w:r w:rsidR="000673C4">
        <w:rPr>
          <w:lang w:eastAsia="en-AU"/>
        </w:rPr>
        <w:t>n, that that the behaviour would</w:t>
      </w:r>
      <w:r w:rsidR="00DE3434">
        <w:rPr>
          <w:lang w:eastAsia="en-AU"/>
        </w:rPr>
        <w:t xml:space="preserve"> have a serious effect on B.</w:t>
      </w:r>
    </w:p>
    <w:p w14:paraId="45D5C21B" w14:textId="725F3104" w:rsidR="00617368" w:rsidRDefault="00617368" w:rsidP="0067521E">
      <w:pPr>
        <w:pStyle w:val="ListParagraph"/>
        <w:numPr>
          <w:ilvl w:val="0"/>
          <w:numId w:val="121"/>
        </w:numPr>
        <w:ind w:left="993" w:hanging="426"/>
        <w:rPr>
          <w:lang w:eastAsia="en-AU"/>
        </w:rPr>
      </w:pPr>
      <w:r>
        <w:rPr>
          <w:lang w:eastAsia="en-AU"/>
        </w:rPr>
        <w:t xml:space="preserve">It only applies to partners and ex-partners, not </w:t>
      </w:r>
      <w:r w:rsidR="000673C4">
        <w:rPr>
          <w:lang w:eastAsia="en-AU"/>
        </w:rPr>
        <w:t xml:space="preserve">to </w:t>
      </w:r>
      <w:r>
        <w:rPr>
          <w:lang w:eastAsia="en-AU"/>
        </w:rPr>
        <w:t>other family relationships</w:t>
      </w:r>
      <w:r w:rsidR="00DE3434">
        <w:rPr>
          <w:lang w:eastAsia="en-AU"/>
        </w:rPr>
        <w:t xml:space="preserve">. </w:t>
      </w:r>
      <w:r w:rsidR="003757DB">
        <w:rPr>
          <w:lang w:eastAsia="en-AU"/>
        </w:rPr>
        <w:t xml:space="preserve"> </w:t>
      </w:r>
      <w:r w:rsidR="00DE3434">
        <w:rPr>
          <w:lang w:eastAsia="en-AU"/>
        </w:rPr>
        <w:t>T</w:t>
      </w:r>
      <w:r w:rsidR="00D72A9E">
        <w:rPr>
          <w:lang w:eastAsia="en-AU"/>
        </w:rPr>
        <w:t>he offence in England and Wal</w:t>
      </w:r>
      <w:r>
        <w:rPr>
          <w:lang w:eastAsia="en-AU"/>
        </w:rPr>
        <w:t>es</w:t>
      </w:r>
      <w:r w:rsidR="00DF6712">
        <w:rPr>
          <w:lang w:eastAsia="en-AU"/>
        </w:rPr>
        <w:t xml:space="preserve"> appli</w:t>
      </w:r>
      <w:r w:rsidR="007D02ED">
        <w:rPr>
          <w:lang w:eastAsia="en-AU"/>
        </w:rPr>
        <w:t xml:space="preserve">es to intimate partners and to ex-partners and </w:t>
      </w:r>
      <w:r w:rsidR="00ED6446">
        <w:rPr>
          <w:lang w:eastAsia="en-AU"/>
        </w:rPr>
        <w:t>family members</w:t>
      </w:r>
      <w:r w:rsidR="00DF6712">
        <w:rPr>
          <w:lang w:eastAsia="en-AU"/>
        </w:rPr>
        <w:t xml:space="preserve"> </w:t>
      </w:r>
      <w:r w:rsidR="007D02ED">
        <w:rPr>
          <w:lang w:eastAsia="en-AU"/>
        </w:rPr>
        <w:t xml:space="preserve">who </w:t>
      </w:r>
      <w:r w:rsidR="00DF6712">
        <w:rPr>
          <w:lang w:eastAsia="en-AU"/>
        </w:rPr>
        <w:t>live together.</w:t>
      </w:r>
      <w:r w:rsidR="007D02ED">
        <w:rPr>
          <w:rStyle w:val="FootnoteReference"/>
          <w:lang w:eastAsia="en-AU"/>
        </w:rPr>
        <w:footnoteReference w:id="123"/>
      </w:r>
      <w:r w:rsidR="007D02ED">
        <w:rPr>
          <w:lang w:eastAsia="en-AU"/>
        </w:rPr>
        <w:t xml:space="preserve"> </w:t>
      </w:r>
    </w:p>
    <w:p w14:paraId="153E9189" w14:textId="02FF84C8" w:rsidR="00AB7807" w:rsidRDefault="00686E39" w:rsidP="0067521E">
      <w:pPr>
        <w:pStyle w:val="ListParagraph"/>
        <w:numPr>
          <w:ilvl w:val="0"/>
          <w:numId w:val="121"/>
        </w:numPr>
        <w:ind w:left="993" w:hanging="426"/>
        <w:rPr>
          <w:lang w:eastAsia="en-AU"/>
        </w:rPr>
      </w:pPr>
      <w:r>
        <w:rPr>
          <w:lang w:eastAsia="en-AU"/>
        </w:rPr>
        <w:t>It is an aggravatin</w:t>
      </w:r>
      <w:r w:rsidR="00AB7807">
        <w:rPr>
          <w:lang w:eastAsia="en-AU"/>
        </w:rPr>
        <w:t xml:space="preserve">g factor if </w:t>
      </w:r>
      <w:r w:rsidR="00617368">
        <w:rPr>
          <w:lang w:eastAsia="en-AU"/>
        </w:rPr>
        <w:t xml:space="preserve">the </w:t>
      </w:r>
      <w:r w:rsidR="00AB7807">
        <w:rPr>
          <w:lang w:eastAsia="en-AU"/>
        </w:rPr>
        <w:t xml:space="preserve">abuse involves a child.  </w:t>
      </w:r>
    </w:p>
    <w:p w14:paraId="219FFAC2" w14:textId="61D6E242" w:rsidR="00AB7807" w:rsidRDefault="00523A3A" w:rsidP="0067521E">
      <w:pPr>
        <w:pStyle w:val="ListParagraph"/>
        <w:numPr>
          <w:ilvl w:val="0"/>
          <w:numId w:val="121"/>
        </w:numPr>
        <w:ind w:left="993" w:hanging="426"/>
        <w:rPr>
          <w:lang w:eastAsia="en-AU"/>
        </w:rPr>
      </w:pPr>
      <w:r w:rsidRPr="00244B27">
        <w:rPr>
          <w:lang w:eastAsia="en-AU"/>
        </w:rPr>
        <w:t>It is a defence for A to show that the course of behaviour was “reasonable in the particular circumstances” (the prosecution must then prove it was not reasonable)</w:t>
      </w:r>
      <w:r w:rsidR="00686E39">
        <w:rPr>
          <w:lang w:eastAsia="en-AU"/>
        </w:rPr>
        <w:t xml:space="preserve">.  </w:t>
      </w:r>
      <w:r w:rsidRPr="00244B27">
        <w:rPr>
          <w:lang w:eastAsia="en-AU"/>
        </w:rPr>
        <w:t>Examples</w:t>
      </w:r>
      <w:r w:rsidR="00686E39">
        <w:rPr>
          <w:lang w:eastAsia="en-AU"/>
        </w:rPr>
        <w:t xml:space="preserve"> might include </w:t>
      </w:r>
      <w:r w:rsidRPr="00244B27">
        <w:rPr>
          <w:lang w:eastAsia="en-AU"/>
        </w:rPr>
        <w:t>withholding money from someone who has a gambling addiction, or isolating someone with an alcohol problem from friends who drink.</w:t>
      </w:r>
    </w:p>
    <w:p w14:paraId="0BB2D62C" w14:textId="7FBFAA2D" w:rsidR="00617368" w:rsidRDefault="00617368" w:rsidP="0067521E">
      <w:pPr>
        <w:pStyle w:val="ListParagraph"/>
        <w:numPr>
          <w:ilvl w:val="0"/>
          <w:numId w:val="121"/>
        </w:numPr>
        <w:ind w:left="993" w:hanging="426"/>
        <w:rPr>
          <w:lang w:eastAsia="en-AU"/>
        </w:rPr>
      </w:pPr>
      <w:r>
        <w:rPr>
          <w:lang w:eastAsia="en-AU"/>
        </w:rPr>
        <w:t>The l</w:t>
      </w:r>
      <w:r w:rsidR="00ED6446">
        <w:rPr>
          <w:lang w:eastAsia="en-AU"/>
        </w:rPr>
        <w:t xml:space="preserve">egislation is written in </w:t>
      </w:r>
      <w:r>
        <w:rPr>
          <w:lang w:eastAsia="en-AU"/>
        </w:rPr>
        <w:t>plain language to aid it being understood by non-lawyers.</w:t>
      </w:r>
    </w:p>
    <w:p w14:paraId="0D38EC5E" w14:textId="627C4831" w:rsidR="00523A3A" w:rsidRDefault="00686E39" w:rsidP="0067521E">
      <w:pPr>
        <w:pStyle w:val="ListParagraph"/>
        <w:numPr>
          <w:ilvl w:val="0"/>
          <w:numId w:val="121"/>
        </w:numPr>
        <w:ind w:left="993" w:hanging="426"/>
        <w:rPr>
          <w:lang w:eastAsia="en-AU"/>
        </w:rPr>
      </w:pPr>
      <w:r>
        <w:rPr>
          <w:lang w:eastAsia="en-AU"/>
        </w:rPr>
        <w:t>The</w:t>
      </w:r>
      <w:r w:rsidR="004F350B">
        <w:rPr>
          <w:lang w:eastAsia="en-AU"/>
        </w:rPr>
        <w:t xml:space="preserve"> maximum penalty </w:t>
      </w:r>
      <w:r w:rsidR="00630BE6">
        <w:rPr>
          <w:lang w:eastAsia="en-AU"/>
        </w:rPr>
        <w:t xml:space="preserve">is </w:t>
      </w:r>
      <w:r w:rsidR="004F350B">
        <w:rPr>
          <w:lang w:eastAsia="en-AU"/>
        </w:rPr>
        <w:t xml:space="preserve">14 years </w:t>
      </w:r>
      <w:r w:rsidR="00630BE6">
        <w:rPr>
          <w:lang w:eastAsia="en-AU"/>
        </w:rPr>
        <w:t xml:space="preserve">imprisonment </w:t>
      </w:r>
      <w:r w:rsidR="004F350B">
        <w:rPr>
          <w:lang w:eastAsia="en-AU"/>
        </w:rPr>
        <w:t>for an indictable offence</w:t>
      </w:r>
      <w:r w:rsidR="00630BE6">
        <w:rPr>
          <w:lang w:eastAsia="en-AU"/>
        </w:rPr>
        <w:t xml:space="preserve"> and </w:t>
      </w:r>
      <w:r w:rsidR="00630BE6" w:rsidRPr="00244B27">
        <w:rPr>
          <w:lang w:eastAsia="en-AU"/>
        </w:rPr>
        <w:t xml:space="preserve">12 months imprisonment </w:t>
      </w:r>
      <w:r w:rsidR="00630BE6">
        <w:rPr>
          <w:lang w:eastAsia="en-AU"/>
        </w:rPr>
        <w:t>for a summary offence</w:t>
      </w:r>
      <w:r w:rsidR="004F350B">
        <w:rPr>
          <w:lang w:eastAsia="en-AU"/>
        </w:rPr>
        <w:t xml:space="preserve">. </w:t>
      </w:r>
      <w:r w:rsidR="00630BE6">
        <w:rPr>
          <w:lang w:eastAsia="en-AU"/>
        </w:rPr>
        <w:t xml:space="preserve"> By contrast the English offence has a maximum penalty of 5 years imprisonment on indictment or 12 months for a summary conviction.</w:t>
      </w:r>
    </w:p>
    <w:p w14:paraId="5BD07716" w14:textId="6B4D07BD" w:rsidR="00523A3A" w:rsidRPr="003757DB" w:rsidRDefault="00946EBE" w:rsidP="00523A3A">
      <w:pPr>
        <w:rPr>
          <w:lang w:eastAsia="en-AU"/>
        </w:rPr>
      </w:pPr>
      <w:r>
        <w:rPr>
          <w:lang w:eastAsia="en-AU"/>
        </w:rPr>
        <w:t>K</w:t>
      </w:r>
      <w:r w:rsidR="000E05CA">
        <w:rPr>
          <w:lang w:eastAsia="en-AU"/>
        </w:rPr>
        <w:t xml:space="preserve">ey provisions </w:t>
      </w:r>
      <w:r w:rsidRPr="00946EBE">
        <w:rPr>
          <w:lang w:eastAsia="en-AU"/>
        </w:rPr>
        <w:t xml:space="preserve">of the </w:t>
      </w:r>
      <w:r w:rsidRPr="00946EBE">
        <w:rPr>
          <w:i/>
          <w:iCs/>
          <w:lang w:eastAsia="en-AU"/>
        </w:rPr>
        <w:t>Domestic Abuse (Scotland) Act 2018</w:t>
      </w:r>
      <w:r w:rsidRPr="00946EBE">
        <w:rPr>
          <w:lang w:eastAsia="en-AU"/>
        </w:rPr>
        <w:t xml:space="preserve"> </w:t>
      </w:r>
      <w:r w:rsidR="000E05CA">
        <w:rPr>
          <w:lang w:eastAsia="en-AU"/>
        </w:rPr>
        <w:t xml:space="preserve">are set out </w:t>
      </w:r>
      <w:r w:rsidR="000E05CA" w:rsidRPr="003757DB">
        <w:rPr>
          <w:lang w:eastAsia="en-AU"/>
        </w:rPr>
        <w:t>in</w:t>
      </w:r>
      <w:r w:rsidR="0057532C" w:rsidRPr="003757DB">
        <w:rPr>
          <w:lang w:eastAsia="en-AU"/>
        </w:rPr>
        <w:t xml:space="preserve"> </w:t>
      </w:r>
      <w:r w:rsidR="008A4C9F">
        <w:rPr>
          <w:lang w:eastAsia="en-AU"/>
        </w:rPr>
        <w:t>Attachment 7</w:t>
      </w:r>
      <w:r w:rsidR="00AB7807" w:rsidRPr="003757DB">
        <w:rPr>
          <w:lang w:eastAsia="en-AU"/>
        </w:rPr>
        <w:t>.2</w:t>
      </w:r>
      <w:r w:rsidR="0057532C" w:rsidRPr="003757DB">
        <w:rPr>
          <w:lang w:eastAsia="en-AU"/>
        </w:rPr>
        <w:t>.</w:t>
      </w:r>
    </w:p>
    <w:p w14:paraId="56CB4B28" w14:textId="0D9B9A4F" w:rsidR="007D02ED" w:rsidRDefault="007D02ED" w:rsidP="00523A3A">
      <w:pPr>
        <w:rPr>
          <w:lang w:eastAsia="en-AU"/>
        </w:rPr>
      </w:pPr>
      <w:r w:rsidRPr="003757DB">
        <w:rPr>
          <w:lang w:eastAsia="en-AU"/>
        </w:rPr>
        <w:t xml:space="preserve">Section 76 of the </w:t>
      </w:r>
      <w:r w:rsidRPr="003757DB">
        <w:rPr>
          <w:i/>
          <w:lang w:eastAsia="en-AU"/>
        </w:rPr>
        <w:t xml:space="preserve">Serious Crime Act 2015 </w:t>
      </w:r>
      <w:r w:rsidRPr="003757DB">
        <w:rPr>
          <w:lang w:eastAsia="en-AU"/>
        </w:rPr>
        <w:t>(England and W</w:t>
      </w:r>
      <w:r w:rsidR="008A4C9F">
        <w:rPr>
          <w:lang w:eastAsia="en-AU"/>
        </w:rPr>
        <w:t>ales) is set out in Attachment 7</w:t>
      </w:r>
      <w:r w:rsidRPr="003757DB">
        <w:rPr>
          <w:lang w:eastAsia="en-AU"/>
        </w:rPr>
        <w:t>.3.</w:t>
      </w:r>
      <w:r>
        <w:rPr>
          <w:lang w:eastAsia="en-AU"/>
        </w:rPr>
        <w:t xml:space="preserve"> </w:t>
      </w:r>
    </w:p>
    <w:p w14:paraId="677575E2" w14:textId="77777777" w:rsidR="00FB0C3C" w:rsidRDefault="000F66C8" w:rsidP="003757DB">
      <w:pPr>
        <w:pStyle w:val="Heading3"/>
        <w:keepNext/>
        <w:rPr>
          <w:lang w:eastAsia="en-AU"/>
        </w:rPr>
      </w:pPr>
      <w:bookmarkStart w:id="28" w:name="_Toc112051818"/>
      <w:r>
        <w:rPr>
          <w:lang w:eastAsia="en-AU"/>
        </w:rPr>
        <w:t>The strengths of the Scottish approach</w:t>
      </w:r>
      <w:bookmarkEnd w:id="28"/>
    </w:p>
    <w:p w14:paraId="203858B6" w14:textId="77777777" w:rsidR="00150F78" w:rsidRDefault="00EE360A" w:rsidP="00523A3A">
      <w:pPr>
        <w:rPr>
          <w:iCs/>
          <w:lang w:eastAsia="en-AU"/>
        </w:rPr>
      </w:pPr>
      <w:r w:rsidRPr="00EE360A">
        <w:rPr>
          <w:lang w:eastAsia="en-AU"/>
        </w:rPr>
        <w:t>The</w:t>
      </w:r>
      <w:r>
        <w:rPr>
          <w:i/>
          <w:iCs/>
          <w:lang w:eastAsia="en-AU"/>
        </w:rPr>
        <w:t xml:space="preserve"> </w:t>
      </w:r>
      <w:r w:rsidRPr="00F3780F">
        <w:rPr>
          <w:i/>
          <w:iCs/>
          <w:lang w:eastAsia="en-AU"/>
        </w:rPr>
        <w:t>Domestic Abuse (Scotland) Act 2018</w:t>
      </w:r>
      <w:r w:rsidRPr="00F3780F">
        <w:rPr>
          <w:lang w:eastAsia="en-AU"/>
        </w:rPr>
        <w:t xml:space="preserve"> was </w:t>
      </w:r>
      <w:r>
        <w:rPr>
          <w:lang w:eastAsia="en-AU"/>
        </w:rPr>
        <w:t>co-</w:t>
      </w:r>
      <w:r w:rsidRPr="00F3780F">
        <w:rPr>
          <w:lang w:eastAsia="en-AU"/>
        </w:rPr>
        <w:t xml:space="preserve">designed </w:t>
      </w:r>
      <w:r>
        <w:rPr>
          <w:lang w:eastAsia="en-AU"/>
        </w:rPr>
        <w:t xml:space="preserve">with victim advocates, to ensure it reflected the </w:t>
      </w:r>
      <w:r w:rsidRPr="00F3780F">
        <w:rPr>
          <w:lang w:eastAsia="en-AU"/>
        </w:rPr>
        <w:t>lived experience</w:t>
      </w:r>
      <w:r>
        <w:rPr>
          <w:lang w:eastAsia="en-AU"/>
        </w:rPr>
        <w:t xml:space="preserve"> of domestic abuse.</w:t>
      </w:r>
      <w:r w:rsidR="00131654">
        <w:rPr>
          <w:lang w:eastAsia="en-AU"/>
        </w:rPr>
        <w:t xml:space="preserve">  </w:t>
      </w:r>
      <w:r w:rsidR="00F927E9">
        <w:rPr>
          <w:lang w:eastAsia="en-AU"/>
        </w:rPr>
        <w:t>It</w:t>
      </w:r>
      <w:r w:rsidR="00131654">
        <w:rPr>
          <w:lang w:eastAsia="en-AU"/>
        </w:rPr>
        <w:t xml:space="preserve"> use</w:t>
      </w:r>
      <w:r w:rsidR="00F927E9">
        <w:rPr>
          <w:lang w:eastAsia="en-AU"/>
        </w:rPr>
        <w:t>s</w:t>
      </w:r>
      <w:r w:rsidR="00131654">
        <w:rPr>
          <w:lang w:eastAsia="en-AU"/>
        </w:rPr>
        <w:t xml:space="preserve"> the reasonable person test, rather than having to prove actual harm</w:t>
      </w:r>
      <w:r w:rsidR="00F927E9">
        <w:rPr>
          <w:lang w:eastAsia="en-AU"/>
        </w:rPr>
        <w:t xml:space="preserve"> to the victim. T</w:t>
      </w:r>
      <w:r w:rsidR="00131654">
        <w:rPr>
          <w:lang w:eastAsia="en-AU"/>
        </w:rPr>
        <w:t xml:space="preserve">he listing of the ‘relevant effects’ </w:t>
      </w:r>
      <w:r w:rsidR="00F927E9">
        <w:rPr>
          <w:lang w:eastAsia="en-AU"/>
        </w:rPr>
        <w:t>also mirrors victim-survivors’ experience of coercive control.</w:t>
      </w:r>
    </w:p>
    <w:p w14:paraId="797190BC" w14:textId="61BDA6C3" w:rsidR="00523A3A" w:rsidRDefault="00F927E9" w:rsidP="0053680E">
      <w:pPr>
        <w:keepNext/>
        <w:spacing w:after="120"/>
        <w:rPr>
          <w:iCs/>
          <w:lang w:eastAsia="en-AU"/>
        </w:rPr>
      </w:pPr>
      <w:r>
        <w:rPr>
          <w:iCs/>
          <w:lang w:eastAsia="en-AU"/>
        </w:rPr>
        <w:t xml:space="preserve">A </w:t>
      </w:r>
      <w:r w:rsidR="00131654">
        <w:rPr>
          <w:iCs/>
          <w:lang w:eastAsia="en-AU"/>
        </w:rPr>
        <w:t xml:space="preserve">significant </w:t>
      </w:r>
      <w:r w:rsidR="00523A3A">
        <w:rPr>
          <w:iCs/>
          <w:lang w:eastAsia="en-AU"/>
        </w:rPr>
        <w:t xml:space="preserve">strength of the Scottish approach </w:t>
      </w:r>
      <w:r w:rsidR="00D1033B">
        <w:rPr>
          <w:iCs/>
          <w:lang w:eastAsia="en-AU"/>
        </w:rPr>
        <w:t>lies</w:t>
      </w:r>
      <w:r w:rsidR="00CE2106">
        <w:rPr>
          <w:iCs/>
          <w:lang w:eastAsia="en-AU"/>
        </w:rPr>
        <w:t xml:space="preserve"> </w:t>
      </w:r>
      <w:r w:rsidR="00D1033B">
        <w:rPr>
          <w:iCs/>
          <w:lang w:eastAsia="en-AU"/>
        </w:rPr>
        <w:t xml:space="preserve">in </w:t>
      </w:r>
      <w:r w:rsidR="00D25514">
        <w:rPr>
          <w:iCs/>
          <w:lang w:eastAsia="en-AU"/>
        </w:rPr>
        <w:t>the investment made in the comprehensive and time</w:t>
      </w:r>
      <w:r w:rsidR="00D1033B">
        <w:rPr>
          <w:iCs/>
          <w:lang w:eastAsia="en-AU"/>
        </w:rPr>
        <w:t xml:space="preserve">ly </w:t>
      </w:r>
      <w:r w:rsidR="00D25514">
        <w:rPr>
          <w:iCs/>
          <w:lang w:eastAsia="en-AU"/>
        </w:rPr>
        <w:t>implementation of the Act:</w:t>
      </w:r>
    </w:p>
    <w:p w14:paraId="14CA7648" w14:textId="1086291D" w:rsidR="00523A3A" w:rsidRPr="000E05CA" w:rsidRDefault="0053680E" w:rsidP="0067521E">
      <w:pPr>
        <w:pStyle w:val="ListParagraph"/>
        <w:numPr>
          <w:ilvl w:val="0"/>
          <w:numId w:val="171"/>
        </w:numPr>
        <w:tabs>
          <w:tab w:val="clear" w:pos="928"/>
        </w:tabs>
        <w:ind w:left="993" w:hanging="425"/>
        <w:rPr>
          <w:lang w:eastAsia="en-AU"/>
        </w:rPr>
      </w:pPr>
      <w:r>
        <w:rPr>
          <w:lang w:eastAsia="en-AU"/>
        </w:rPr>
        <w:t xml:space="preserve">implementation </w:t>
      </w:r>
      <w:r w:rsidR="00645022">
        <w:rPr>
          <w:lang w:eastAsia="en-AU"/>
        </w:rPr>
        <w:t>of the bill occurred as a c</w:t>
      </w:r>
      <w:r w:rsidR="00523A3A" w:rsidRPr="000E05CA">
        <w:rPr>
          <w:lang w:eastAsia="en-AU"/>
        </w:rPr>
        <w:t xml:space="preserve">ollaboration between police, prosecutors, courts, department, and domestic violence </w:t>
      </w:r>
      <w:r w:rsidR="00D25514">
        <w:rPr>
          <w:lang w:eastAsia="en-AU"/>
        </w:rPr>
        <w:t>service</w:t>
      </w:r>
      <w:r w:rsidR="00645022">
        <w:rPr>
          <w:lang w:eastAsia="en-AU"/>
        </w:rPr>
        <w:t>;</w:t>
      </w:r>
    </w:p>
    <w:p w14:paraId="362876E8" w14:textId="7D22587A" w:rsidR="000E05CA" w:rsidRDefault="003757DB" w:rsidP="0067521E">
      <w:pPr>
        <w:pStyle w:val="ListParagraph"/>
        <w:numPr>
          <w:ilvl w:val="0"/>
          <w:numId w:val="171"/>
        </w:numPr>
        <w:tabs>
          <w:tab w:val="clear" w:pos="928"/>
        </w:tabs>
        <w:ind w:left="993" w:hanging="425"/>
        <w:rPr>
          <w:lang w:eastAsia="en-AU"/>
        </w:rPr>
      </w:pPr>
      <w:r w:rsidRPr="000E05CA">
        <w:rPr>
          <w:lang w:eastAsia="en-AU"/>
        </w:rPr>
        <w:lastRenderedPageBreak/>
        <w:t xml:space="preserve">significant </w:t>
      </w:r>
      <w:r w:rsidR="000E05CA" w:rsidRPr="000E05CA">
        <w:rPr>
          <w:lang w:eastAsia="en-AU"/>
        </w:rPr>
        <w:t>preparation and t</w:t>
      </w:r>
      <w:r w:rsidR="00523A3A" w:rsidRPr="000E05CA">
        <w:rPr>
          <w:lang w:eastAsia="en-AU"/>
        </w:rPr>
        <w:t xml:space="preserve">raining </w:t>
      </w:r>
      <w:r w:rsidR="000E05CA" w:rsidRPr="000E05CA">
        <w:rPr>
          <w:lang w:eastAsia="en-AU"/>
        </w:rPr>
        <w:t xml:space="preserve">occurred </w:t>
      </w:r>
      <w:r w:rsidR="00523A3A" w:rsidRPr="000E05CA">
        <w:rPr>
          <w:lang w:eastAsia="en-AU"/>
        </w:rPr>
        <w:t>prior to commencement</w:t>
      </w:r>
      <w:r w:rsidR="00555632">
        <w:rPr>
          <w:lang w:eastAsia="en-AU"/>
        </w:rPr>
        <w:t xml:space="preserve"> of the </w:t>
      </w:r>
      <w:r w:rsidR="00D1033B">
        <w:rPr>
          <w:lang w:eastAsia="en-AU"/>
        </w:rPr>
        <w:t>Act</w:t>
      </w:r>
      <w:r w:rsidR="00555632">
        <w:rPr>
          <w:lang w:eastAsia="en-AU"/>
        </w:rPr>
        <w:t>;</w:t>
      </w:r>
      <w:r w:rsidR="00D5126B">
        <w:rPr>
          <w:rStyle w:val="FootnoteReference"/>
          <w:lang w:eastAsia="en-AU"/>
        </w:rPr>
        <w:footnoteReference w:id="124"/>
      </w:r>
    </w:p>
    <w:p w14:paraId="49667873" w14:textId="38F0A7C6" w:rsidR="00523A3A" w:rsidRPr="000E05CA" w:rsidRDefault="0053680E" w:rsidP="0067521E">
      <w:pPr>
        <w:pStyle w:val="ListParagraph"/>
        <w:numPr>
          <w:ilvl w:val="0"/>
          <w:numId w:val="171"/>
        </w:numPr>
        <w:tabs>
          <w:tab w:val="clear" w:pos="928"/>
        </w:tabs>
        <w:ind w:left="993" w:hanging="425"/>
        <w:rPr>
          <w:lang w:eastAsia="en-AU"/>
        </w:rPr>
      </w:pPr>
      <w:r>
        <w:rPr>
          <w:lang w:eastAsia="en-AU"/>
        </w:rPr>
        <w:t xml:space="preserve">there </w:t>
      </w:r>
      <w:r w:rsidR="000E05CA">
        <w:rPr>
          <w:lang w:eastAsia="en-AU"/>
        </w:rPr>
        <w:t>was fa</w:t>
      </w:r>
      <w:r w:rsidR="00523A3A" w:rsidRPr="000E05CA">
        <w:rPr>
          <w:lang w:eastAsia="en-AU"/>
        </w:rPr>
        <w:t>ce</w:t>
      </w:r>
      <w:r w:rsidR="00555632">
        <w:rPr>
          <w:lang w:eastAsia="en-AU"/>
        </w:rPr>
        <w:t>-</w:t>
      </w:r>
      <w:r w:rsidR="00523A3A" w:rsidRPr="000E05CA">
        <w:rPr>
          <w:lang w:eastAsia="en-AU"/>
        </w:rPr>
        <w:t>to</w:t>
      </w:r>
      <w:r w:rsidR="00555632">
        <w:rPr>
          <w:lang w:eastAsia="en-AU"/>
        </w:rPr>
        <w:t>-</w:t>
      </w:r>
      <w:r w:rsidR="00523A3A" w:rsidRPr="000E05CA">
        <w:rPr>
          <w:lang w:eastAsia="en-AU"/>
        </w:rPr>
        <w:t>face training for 14,000 police</w:t>
      </w:r>
      <w:r w:rsidR="000E05CA">
        <w:rPr>
          <w:lang w:eastAsia="en-AU"/>
        </w:rPr>
        <w:t xml:space="preserve"> members</w:t>
      </w:r>
      <w:r w:rsidR="00555632">
        <w:rPr>
          <w:lang w:eastAsia="en-AU"/>
        </w:rPr>
        <w:t>;</w:t>
      </w:r>
    </w:p>
    <w:p w14:paraId="7B27A944" w14:textId="051FAEE7" w:rsidR="00523A3A" w:rsidRPr="000E05CA" w:rsidRDefault="0053680E" w:rsidP="0067521E">
      <w:pPr>
        <w:pStyle w:val="ListParagraph"/>
        <w:numPr>
          <w:ilvl w:val="0"/>
          <w:numId w:val="171"/>
        </w:numPr>
        <w:tabs>
          <w:tab w:val="clear" w:pos="928"/>
        </w:tabs>
        <w:ind w:left="993" w:hanging="425"/>
        <w:rPr>
          <w:lang w:eastAsia="en-AU"/>
        </w:rPr>
      </w:pPr>
      <w:r>
        <w:rPr>
          <w:lang w:eastAsia="en-AU"/>
        </w:rPr>
        <w:t xml:space="preserve">there </w:t>
      </w:r>
      <w:r w:rsidR="000E05CA">
        <w:rPr>
          <w:lang w:eastAsia="en-AU"/>
        </w:rPr>
        <w:t>was o</w:t>
      </w:r>
      <w:r w:rsidR="00523A3A" w:rsidRPr="000E05CA">
        <w:rPr>
          <w:lang w:eastAsia="en-AU"/>
        </w:rPr>
        <w:t xml:space="preserve">nline training of 21,000 of </w:t>
      </w:r>
      <w:r w:rsidR="00645022">
        <w:rPr>
          <w:lang w:eastAsia="en-AU"/>
        </w:rPr>
        <w:t xml:space="preserve">the total </w:t>
      </w:r>
      <w:r w:rsidR="00523A3A" w:rsidRPr="000E05CA">
        <w:rPr>
          <w:lang w:eastAsia="en-AU"/>
        </w:rPr>
        <w:t>22,000 police</w:t>
      </w:r>
      <w:r w:rsidR="000E05CA">
        <w:rPr>
          <w:lang w:eastAsia="en-AU"/>
        </w:rPr>
        <w:t xml:space="preserve"> members</w:t>
      </w:r>
      <w:r w:rsidR="00645022">
        <w:rPr>
          <w:lang w:eastAsia="en-AU"/>
        </w:rPr>
        <w:t>;</w:t>
      </w:r>
    </w:p>
    <w:p w14:paraId="3B959F92" w14:textId="1E85F93C" w:rsidR="00523A3A" w:rsidRPr="000E05CA" w:rsidRDefault="00523A3A" w:rsidP="0067521E">
      <w:pPr>
        <w:pStyle w:val="ListParagraph"/>
        <w:numPr>
          <w:ilvl w:val="0"/>
          <w:numId w:val="171"/>
        </w:numPr>
        <w:tabs>
          <w:tab w:val="clear" w:pos="928"/>
        </w:tabs>
        <w:ind w:left="993" w:hanging="425"/>
        <w:rPr>
          <w:lang w:eastAsia="en-AU"/>
        </w:rPr>
      </w:pPr>
      <w:r w:rsidRPr="000E05CA">
        <w:rPr>
          <w:lang w:eastAsia="en-AU"/>
        </w:rPr>
        <w:t>700 police were</w:t>
      </w:r>
      <w:r w:rsidR="000E05CA">
        <w:rPr>
          <w:lang w:eastAsia="en-AU"/>
        </w:rPr>
        <w:t xml:space="preserve"> identified as </w:t>
      </w:r>
      <w:r w:rsidRPr="000E05CA">
        <w:rPr>
          <w:lang w:eastAsia="en-AU"/>
        </w:rPr>
        <w:t>‘champions’</w:t>
      </w:r>
      <w:r w:rsidR="000E05CA">
        <w:rPr>
          <w:lang w:eastAsia="en-AU"/>
        </w:rPr>
        <w:t xml:space="preserve"> of the reforms, that is, </w:t>
      </w:r>
      <w:r w:rsidRPr="000E05CA">
        <w:rPr>
          <w:lang w:eastAsia="en-AU"/>
        </w:rPr>
        <w:t>key enablers to lead good practice and imbed legislative change (</w:t>
      </w:r>
      <w:r w:rsidR="000E05CA">
        <w:rPr>
          <w:lang w:eastAsia="en-AU"/>
        </w:rPr>
        <w:t xml:space="preserve">this was considered a </w:t>
      </w:r>
      <w:r w:rsidRPr="000E05CA">
        <w:rPr>
          <w:lang w:eastAsia="en-AU"/>
        </w:rPr>
        <w:t>development opportunity</w:t>
      </w:r>
      <w:r w:rsidR="00D1033B">
        <w:rPr>
          <w:lang w:eastAsia="en-AU"/>
        </w:rPr>
        <w:t xml:space="preserve"> for police</w:t>
      </w:r>
      <w:r w:rsidRPr="000E05CA">
        <w:rPr>
          <w:lang w:eastAsia="en-AU"/>
        </w:rPr>
        <w:t>)</w:t>
      </w:r>
      <w:r w:rsidR="0053680E">
        <w:rPr>
          <w:lang w:eastAsia="en-AU"/>
        </w:rPr>
        <w:t>;</w:t>
      </w:r>
    </w:p>
    <w:p w14:paraId="76178644" w14:textId="0B2A46F0" w:rsidR="00523A3A" w:rsidRPr="000E05CA" w:rsidRDefault="0053680E" w:rsidP="0067521E">
      <w:pPr>
        <w:pStyle w:val="ListParagraph"/>
        <w:numPr>
          <w:ilvl w:val="0"/>
          <w:numId w:val="171"/>
        </w:numPr>
        <w:tabs>
          <w:tab w:val="clear" w:pos="928"/>
        </w:tabs>
        <w:ind w:left="993" w:hanging="425"/>
        <w:rPr>
          <w:lang w:eastAsia="en-AU"/>
        </w:rPr>
      </w:pPr>
      <w:r w:rsidRPr="000E05CA">
        <w:rPr>
          <w:lang w:eastAsia="en-AU"/>
        </w:rPr>
        <w:t xml:space="preserve">all </w:t>
      </w:r>
      <w:r w:rsidR="00523A3A" w:rsidRPr="000E05CA">
        <w:rPr>
          <w:lang w:eastAsia="en-AU"/>
        </w:rPr>
        <w:t xml:space="preserve">judges </w:t>
      </w:r>
      <w:r w:rsidR="00645022">
        <w:rPr>
          <w:lang w:eastAsia="en-AU"/>
        </w:rPr>
        <w:t>received training;</w:t>
      </w:r>
      <w:r>
        <w:rPr>
          <w:lang w:eastAsia="en-AU"/>
        </w:rPr>
        <w:t xml:space="preserve"> and</w:t>
      </w:r>
    </w:p>
    <w:p w14:paraId="7F86E3EC" w14:textId="6B24BC7B" w:rsidR="00523A3A" w:rsidRPr="00244B27" w:rsidRDefault="0053680E" w:rsidP="0067521E">
      <w:pPr>
        <w:pStyle w:val="ListParagraph"/>
        <w:numPr>
          <w:ilvl w:val="0"/>
          <w:numId w:val="171"/>
        </w:numPr>
        <w:tabs>
          <w:tab w:val="clear" w:pos="928"/>
        </w:tabs>
        <w:spacing w:after="200"/>
        <w:ind w:left="992" w:hanging="425"/>
        <w:rPr>
          <w:lang w:eastAsia="en-AU"/>
        </w:rPr>
      </w:pPr>
      <w:r>
        <w:rPr>
          <w:lang w:eastAsia="en-AU"/>
        </w:rPr>
        <w:t xml:space="preserve">there </w:t>
      </w:r>
      <w:r w:rsidR="000E05CA">
        <w:rPr>
          <w:lang w:eastAsia="en-AU"/>
        </w:rPr>
        <w:t>was a significant p</w:t>
      </w:r>
      <w:r w:rsidR="00523A3A" w:rsidRPr="00244B27">
        <w:rPr>
          <w:lang w:eastAsia="en-AU"/>
        </w:rPr>
        <w:t>ublic awareness campaign</w:t>
      </w:r>
      <w:r w:rsidR="00C77B18">
        <w:rPr>
          <w:lang w:eastAsia="en-AU"/>
        </w:rPr>
        <w:t>.</w:t>
      </w:r>
      <w:r w:rsidR="00C77B18">
        <w:rPr>
          <w:rStyle w:val="FootnoteReference"/>
          <w:lang w:eastAsia="en-AU"/>
        </w:rPr>
        <w:footnoteReference w:id="125"/>
      </w:r>
    </w:p>
    <w:p w14:paraId="3CD64F85" w14:textId="1E160EDB" w:rsidR="00645022" w:rsidRDefault="00645022" w:rsidP="00523A3A">
      <w:pPr>
        <w:rPr>
          <w:iCs/>
          <w:lang w:eastAsia="en-AU"/>
        </w:rPr>
      </w:pPr>
      <w:r>
        <w:rPr>
          <w:iCs/>
          <w:lang w:eastAsia="en-AU"/>
        </w:rPr>
        <w:t xml:space="preserve">The implementation process occurred </w:t>
      </w:r>
      <w:r w:rsidR="00D1033B">
        <w:rPr>
          <w:iCs/>
          <w:lang w:eastAsia="en-AU"/>
        </w:rPr>
        <w:t xml:space="preserve">prior to commencement </w:t>
      </w:r>
      <w:r>
        <w:rPr>
          <w:iCs/>
          <w:lang w:eastAsia="en-AU"/>
        </w:rPr>
        <w:t xml:space="preserve">and was so thorough that the first charges </w:t>
      </w:r>
      <w:r w:rsidR="00D1033B">
        <w:rPr>
          <w:iCs/>
          <w:lang w:eastAsia="en-AU"/>
        </w:rPr>
        <w:t xml:space="preserve">for domestic abuse </w:t>
      </w:r>
      <w:r>
        <w:rPr>
          <w:iCs/>
          <w:lang w:eastAsia="en-AU"/>
        </w:rPr>
        <w:t xml:space="preserve">were laid </w:t>
      </w:r>
      <w:r w:rsidR="00C77B18">
        <w:rPr>
          <w:iCs/>
          <w:lang w:eastAsia="en-AU"/>
        </w:rPr>
        <w:t>immediately (</w:t>
      </w:r>
      <w:r>
        <w:rPr>
          <w:iCs/>
          <w:lang w:eastAsia="en-AU"/>
        </w:rPr>
        <w:t xml:space="preserve">in the </w:t>
      </w:r>
      <w:r w:rsidR="00C77B18">
        <w:rPr>
          <w:iCs/>
          <w:lang w:eastAsia="en-AU"/>
        </w:rPr>
        <w:t>first week)</w:t>
      </w:r>
      <w:r w:rsidR="00C14E49">
        <w:rPr>
          <w:iCs/>
          <w:lang w:eastAsia="en-AU"/>
        </w:rPr>
        <w:t xml:space="preserve"> after the commencement of the Act</w:t>
      </w:r>
      <w:r>
        <w:rPr>
          <w:iCs/>
          <w:lang w:eastAsia="en-AU"/>
        </w:rPr>
        <w:t>.</w:t>
      </w:r>
      <w:r w:rsidR="00C77B18">
        <w:rPr>
          <w:rStyle w:val="FootnoteReference"/>
          <w:iCs/>
          <w:lang w:eastAsia="en-AU"/>
        </w:rPr>
        <w:footnoteReference w:id="126"/>
      </w:r>
    </w:p>
    <w:p w14:paraId="7E9E5227" w14:textId="5CB8A361" w:rsidR="00523A3A" w:rsidRDefault="00997B22" w:rsidP="0053680E">
      <w:pPr>
        <w:keepNext/>
        <w:rPr>
          <w:lang w:eastAsia="en-AU"/>
        </w:rPr>
      </w:pPr>
      <w:r>
        <w:rPr>
          <w:lang w:eastAsia="en-AU"/>
        </w:rPr>
        <w:t>S</w:t>
      </w:r>
      <w:r w:rsidR="00523A3A">
        <w:rPr>
          <w:lang w:eastAsia="en-AU"/>
        </w:rPr>
        <w:t xml:space="preserve">cottish officials </w:t>
      </w:r>
      <w:r w:rsidR="00C77B18">
        <w:rPr>
          <w:lang w:eastAsia="en-AU"/>
        </w:rPr>
        <w:t>identified</w:t>
      </w:r>
      <w:r w:rsidR="00523A3A">
        <w:rPr>
          <w:lang w:eastAsia="en-AU"/>
        </w:rPr>
        <w:t xml:space="preserve"> the benefits of </w:t>
      </w:r>
      <w:r w:rsidR="000E05CA">
        <w:rPr>
          <w:lang w:eastAsia="en-AU"/>
        </w:rPr>
        <w:t xml:space="preserve">the new offence </w:t>
      </w:r>
      <w:r w:rsidR="00523A3A">
        <w:rPr>
          <w:lang w:eastAsia="en-AU"/>
        </w:rPr>
        <w:t>as</w:t>
      </w:r>
      <w:r w:rsidR="00C77B18">
        <w:rPr>
          <w:lang w:eastAsia="en-AU"/>
        </w:rPr>
        <w:t xml:space="preserve"> follows</w:t>
      </w:r>
      <w:r w:rsidR="00523A3A">
        <w:rPr>
          <w:lang w:eastAsia="en-AU"/>
        </w:rPr>
        <w:t>:</w:t>
      </w:r>
    </w:p>
    <w:p w14:paraId="1AC2AA77" w14:textId="1D1D1108" w:rsidR="00523A3A" w:rsidRPr="003610CF" w:rsidRDefault="0053680E" w:rsidP="0067521E">
      <w:pPr>
        <w:numPr>
          <w:ilvl w:val="0"/>
          <w:numId w:val="172"/>
        </w:numPr>
        <w:tabs>
          <w:tab w:val="clear" w:pos="720"/>
        </w:tabs>
        <w:ind w:left="993" w:hanging="426"/>
        <w:rPr>
          <w:lang w:eastAsia="en-AU"/>
        </w:rPr>
      </w:pPr>
      <w:r w:rsidRPr="003610CF">
        <w:rPr>
          <w:lang w:eastAsia="en-AU"/>
        </w:rPr>
        <w:t xml:space="preserve">effective </w:t>
      </w:r>
      <w:r w:rsidR="00523A3A" w:rsidRPr="003610CF">
        <w:rPr>
          <w:lang w:eastAsia="en-AU"/>
        </w:rPr>
        <w:t>enforcement and prosecution is critical to prevention efforts</w:t>
      </w:r>
      <w:r w:rsidR="00C77B18">
        <w:rPr>
          <w:lang w:eastAsia="en-AU"/>
        </w:rPr>
        <w:t>;</w:t>
      </w:r>
    </w:p>
    <w:p w14:paraId="39125A4B" w14:textId="37EBF490" w:rsidR="00523A3A" w:rsidRPr="003610CF" w:rsidRDefault="0053680E" w:rsidP="0067521E">
      <w:pPr>
        <w:numPr>
          <w:ilvl w:val="0"/>
          <w:numId w:val="172"/>
        </w:numPr>
        <w:tabs>
          <w:tab w:val="clear" w:pos="720"/>
        </w:tabs>
        <w:ind w:left="993" w:hanging="426"/>
        <w:rPr>
          <w:lang w:eastAsia="en-AU"/>
        </w:rPr>
      </w:pPr>
      <w:r w:rsidRPr="003610CF">
        <w:rPr>
          <w:lang w:eastAsia="en-AU"/>
        </w:rPr>
        <w:t xml:space="preserve">prosecution </w:t>
      </w:r>
      <w:r w:rsidR="00523A3A" w:rsidRPr="003610CF">
        <w:rPr>
          <w:lang w:eastAsia="en-AU"/>
        </w:rPr>
        <w:t>disrupts abuse and separates parties for a time (</w:t>
      </w:r>
      <w:r w:rsidR="000E05CA">
        <w:rPr>
          <w:lang w:eastAsia="en-AU"/>
        </w:rPr>
        <w:t xml:space="preserve">and provides </w:t>
      </w:r>
      <w:r w:rsidR="00523A3A" w:rsidRPr="003610CF">
        <w:rPr>
          <w:lang w:eastAsia="en-AU"/>
        </w:rPr>
        <w:t>breathing space for victims)</w:t>
      </w:r>
      <w:r w:rsidR="00C77B18">
        <w:rPr>
          <w:lang w:eastAsia="en-AU"/>
        </w:rPr>
        <w:t>;</w:t>
      </w:r>
    </w:p>
    <w:p w14:paraId="101EB887" w14:textId="727B5719" w:rsidR="00523A3A" w:rsidRPr="003610CF" w:rsidRDefault="0053680E" w:rsidP="0067521E">
      <w:pPr>
        <w:numPr>
          <w:ilvl w:val="0"/>
          <w:numId w:val="172"/>
        </w:numPr>
        <w:tabs>
          <w:tab w:val="clear" w:pos="720"/>
        </w:tabs>
        <w:ind w:left="993" w:hanging="426"/>
        <w:rPr>
          <w:lang w:eastAsia="en-AU"/>
        </w:rPr>
      </w:pPr>
      <w:r w:rsidRPr="003610CF">
        <w:rPr>
          <w:lang w:eastAsia="en-AU"/>
        </w:rPr>
        <w:t xml:space="preserve">conviction </w:t>
      </w:r>
      <w:r w:rsidR="00523A3A" w:rsidRPr="003610CF">
        <w:rPr>
          <w:lang w:eastAsia="en-AU"/>
        </w:rPr>
        <w:t xml:space="preserve">provides a marker of the behaviour, and </w:t>
      </w:r>
      <w:r w:rsidR="000E05CA">
        <w:rPr>
          <w:lang w:eastAsia="en-AU"/>
        </w:rPr>
        <w:t xml:space="preserve">an </w:t>
      </w:r>
      <w:r w:rsidR="00523A3A" w:rsidRPr="003610CF">
        <w:rPr>
          <w:lang w:eastAsia="en-AU"/>
        </w:rPr>
        <w:t>opportunity for intervention</w:t>
      </w:r>
      <w:r w:rsidR="00C77B18">
        <w:rPr>
          <w:lang w:eastAsia="en-AU"/>
        </w:rPr>
        <w:t>;</w:t>
      </w:r>
    </w:p>
    <w:p w14:paraId="0599DF40" w14:textId="7C491DA4" w:rsidR="00523A3A" w:rsidRPr="003610CF" w:rsidRDefault="0053680E" w:rsidP="0067521E">
      <w:pPr>
        <w:numPr>
          <w:ilvl w:val="0"/>
          <w:numId w:val="172"/>
        </w:numPr>
        <w:tabs>
          <w:tab w:val="clear" w:pos="720"/>
        </w:tabs>
        <w:ind w:left="993" w:hanging="426"/>
        <w:rPr>
          <w:lang w:eastAsia="en-AU"/>
        </w:rPr>
      </w:pPr>
      <w:r>
        <w:rPr>
          <w:lang w:eastAsia="en-AU"/>
        </w:rPr>
        <w:t xml:space="preserve">this </w:t>
      </w:r>
      <w:r w:rsidR="000E05CA">
        <w:rPr>
          <w:lang w:eastAsia="en-AU"/>
        </w:rPr>
        <w:t>can</w:t>
      </w:r>
      <w:r w:rsidR="00523A3A" w:rsidRPr="003610CF">
        <w:rPr>
          <w:lang w:eastAsia="en-AU"/>
        </w:rPr>
        <w:t xml:space="preserve"> prevent abuse</w:t>
      </w:r>
      <w:r w:rsidR="00C77B18">
        <w:rPr>
          <w:lang w:eastAsia="en-AU"/>
        </w:rPr>
        <w:t>;</w:t>
      </w:r>
    </w:p>
    <w:p w14:paraId="7B16434F" w14:textId="01435137" w:rsidR="00523A3A" w:rsidRPr="003610CF" w:rsidRDefault="0053680E" w:rsidP="0067521E">
      <w:pPr>
        <w:numPr>
          <w:ilvl w:val="0"/>
          <w:numId w:val="172"/>
        </w:numPr>
        <w:tabs>
          <w:tab w:val="clear" w:pos="720"/>
        </w:tabs>
        <w:ind w:left="993" w:hanging="426"/>
        <w:rPr>
          <w:lang w:eastAsia="en-AU"/>
        </w:rPr>
      </w:pPr>
      <w:r>
        <w:rPr>
          <w:lang w:eastAsia="en-AU"/>
        </w:rPr>
        <w:t xml:space="preserve">it </w:t>
      </w:r>
      <w:r w:rsidR="000E05CA">
        <w:rPr>
          <w:lang w:eastAsia="en-AU"/>
        </w:rPr>
        <w:t>e</w:t>
      </w:r>
      <w:r w:rsidR="00523A3A" w:rsidRPr="003610CF">
        <w:rPr>
          <w:lang w:eastAsia="en-AU"/>
        </w:rPr>
        <w:t>ducates the public and responders about what abuse is</w:t>
      </w:r>
      <w:r w:rsidR="00C77B18">
        <w:rPr>
          <w:lang w:eastAsia="en-AU"/>
        </w:rPr>
        <w:t>;</w:t>
      </w:r>
    </w:p>
    <w:p w14:paraId="20211C39" w14:textId="721D1619" w:rsidR="00523A3A" w:rsidRPr="003610CF" w:rsidRDefault="0053680E" w:rsidP="0067521E">
      <w:pPr>
        <w:numPr>
          <w:ilvl w:val="0"/>
          <w:numId w:val="172"/>
        </w:numPr>
        <w:tabs>
          <w:tab w:val="clear" w:pos="720"/>
        </w:tabs>
        <w:ind w:left="993" w:hanging="426"/>
        <w:rPr>
          <w:lang w:eastAsia="en-AU"/>
        </w:rPr>
      </w:pPr>
      <w:r w:rsidRPr="003610CF">
        <w:rPr>
          <w:lang w:eastAsia="en-AU"/>
        </w:rPr>
        <w:t xml:space="preserve">the </w:t>
      </w:r>
      <w:r w:rsidR="00523A3A" w:rsidRPr="003610CF">
        <w:rPr>
          <w:lang w:eastAsia="en-AU"/>
        </w:rPr>
        <w:t>offence is better aligned with the lived experience of victims so they don’t feel so alienated by the justice system</w:t>
      </w:r>
      <w:r w:rsidR="00C77B18">
        <w:rPr>
          <w:lang w:eastAsia="en-AU"/>
        </w:rPr>
        <w:t xml:space="preserve">; and </w:t>
      </w:r>
    </w:p>
    <w:p w14:paraId="31446730" w14:textId="3D672ECA" w:rsidR="00523A3A" w:rsidRDefault="0053680E" w:rsidP="0067521E">
      <w:pPr>
        <w:pStyle w:val="ListParagraph"/>
        <w:numPr>
          <w:ilvl w:val="0"/>
          <w:numId w:val="172"/>
        </w:numPr>
        <w:tabs>
          <w:tab w:val="clear" w:pos="720"/>
        </w:tabs>
        <w:spacing w:after="200"/>
        <w:ind w:left="992" w:hanging="425"/>
        <w:rPr>
          <w:lang w:eastAsia="en-AU"/>
        </w:rPr>
      </w:pPr>
      <w:r>
        <w:rPr>
          <w:lang w:eastAsia="en-AU"/>
        </w:rPr>
        <w:t xml:space="preserve">it </w:t>
      </w:r>
      <w:r w:rsidR="000E05CA">
        <w:rPr>
          <w:lang w:eastAsia="en-AU"/>
        </w:rPr>
        <w:t>s</w:t>
      </w:r>
      <w:r w:rsidR="00523A3A" w:rsidRPr="003610CF">
        <w:rPr>
          <w:lang w:eastAsia="en-AU"/>
        </w:rPr>
        <w:t>ends a clear message:  This conduct is not acceptable</w:t>
      </w:r>
      <w:r w:rsidR="000E05CA">
        <w:rPr>
          <w:lang w:eastAsia="en-AU"/>
        </w:rPr>
        <w:t>.</w:t>
      </w:r>
    </w:p>
    <w:p w14:paraId="283763EC" w14:textId="77777777" w:rsidR="00523A3A" w:rsidRDefault="00957E70" w:rsidP="0053680E">
      <w:pPr>
        <w:keepNext/>
        <w:spacing w:after="120"/>
        <w:rPr>
          <w:lang w:eastAsia="en-AU"/>
        </w:rPr>
      </w:pPr>
      <w:r>
        <w:rPr>
          <w:lang w:eastAsia="en-AU"/>
        </w:rPr>
        <w:t xml:space="preserve">Scottish officials have indicated that the new offence is not a panacea and doesn’t immediately solve the challenges in prosecuting DFV offences. </w:t>
      </w:r>
      <w:r w:rsidR="00AC5A16">
        <w:rPr>
          <w:lang w:eastAsia="en-AU"/>
        </w:rPr>
        <w:t>Those challenges remain, including:</w:t>
      </w:r>
    </w:p>
    <w:p w14:paraId="70011326" w14:textId="52345C2B" w:rsidR="00523A3A" w:rsidRPr="003610CF" w:rsidRDefault="00523A3A" w:rsidP="0067521E">
      <w:pPr>
        <w:numPr>
          <w:ilvl w:val="0"/>
          <w:numId w:val="173"/>
        </w:numPr>
        <w:tabs>
          <w:tab w:val="clear" w:pos="720"/>
        </w:tabs>
        <w:spacing w:after="120"/>
        <w:ind w:left="993" w:hanging="426"/>
        <w:rPr>
          <w:lang w:eastAsia="en-AU"/>
        </w:rPr>
      </w:pPr>
      <w:r>
        <w:rPr>
          <w:lang w:eastAsia="en-AU"/>
        </w:rPr>
        <w:t>There are difficulties for police and prosecutors in obtaining and presenting evidence to prove the new offence</w:t>
      </w:r>
      <w:r w:rsidR="00AC5A16">
        <w:rPr>
          <w:lang w:eastAsia="en-AU"/>
        </w:rPr>
        <w:t xml:space="preserve"> (and accompanying trauma for complain</w:t>
      </w:r>
      <w:r w:rsidR="00C77B18">
        <w:rPr>
          <w:lang w:eastAsia="en-AU"/>
        </w:rPr>
        <w:t>an</w:t>
      </w:r>
      <w:r w:rsidR="00AC5A16">
        <w:rPr>
          <w:lang w:eastAsia="en-AU"/>
        </w:rPr>
        <w:t>ts in providing evidence)</w:t>
      </w:r>
      <w:r w:rsidR="0053680E">
        <w:rPr>
          <w:lang w:eastAsia="en-AU"/>
        </w:rPr>
        <w:t>.</w:t>
      </w:r>
    </w:p>
    <w:p w14:paraId="74487E68" w14:textId="06A45A9E" w:rsidR="00523A3A" w:rsidRPr="003610CF" w:rsidRDefault="00523A3A" w:rsidP="0067521E">
      <w:pPr>
        <w:numPr>
          <w:ilvl w:val="0"/>
          <w:numId w:val="173"/>
        </w:numPr>
        <w:tabs>
          <w:tab w:val="clear" w:pos="720"/>
        </w:tabs>
        <w:spacing w:after="120"/>
        <w:ind w:left="993" w:hanging="426"/>
        <w:rPr>
          <w:lang w:eastAsia="en-AU"/>
        </w:rPr>
      </w:pPr>
      <w:r>
        <w:rPr>
          <w:lang w:eastAsia="en-AU"/>
        </w:rPr>
        <w:t>The new off</w:t>
      </w:r>
      <w:r w:rsidR="00C14E49">
        <w:rPr>
          <w:lang w:eastAsia="en-AU"/>
        </w:rPr>
        <w:t>ence does</w:t>
      </w:r>
      <w:r w:rsidR="0053680E">
        <w:rPr>
          <w:lang w:eastAsia="en-AU"/>
        </w:rPr>
        <w:t xml:space="preserve"> </w:t>
      </w:r>
      <w:r w:rsidR="00C14E49">
        <w:rPr>
          <w:lang w:eastAsia="en-AU"/>
        </w:rPr>
        <w:t>n</w:t>
      </w:r>
      <w:r w:rsidR="0053680E">
        <w:rPr>
          <w:lang w:eastAsia="en-AU"/>
        </w:rPr>
        <w:t>o</w:t>
      </w:r>
      <w:r w:rsidR="00C14E49">
        <w:rPr>
          <w:lang w:eastAsia="en-AU"/>
        </w:rPr>
        <w:t xml:space="preserve">t on its own </w:t>
      </w:r>
      <w:r>
        <w:rPr>
          <w:lang w:eastAsia="en-AU"/>
        </w:rPr>
        <w:t>address the challenges of encouraging d</w:t>
      </w:r>
      <w:r w:rsidRPr="003610CF">
        <w:rPr>
          <w:lang w:eastAsia="en-AU"/>
        </w:rPr>
        <w:t>isengaged and reluctant victims</w:t>
      </w:r>
      <w:r>
        <w:rPr>
          <w:lang w:eastAsia="en-AU"/>
        </w:rPr>
        <w:t xml:space="preserve"> to give evidence.  Although t</w:t>
      </w:r>
      <w:r w:rsidRPr="003610CF">
        <w:rPr>
          <w:lang w:eastAsia="en-AU"/>
        </w:rPr>
        <w:t xml:space="preserve">he reasonable person test means that there could theoretically be a conviction without evidence from the </w:t>
      </w:r>
      <w:r w:rsidR="00AC5A16">
        <w:rPr>
          <w:lang w:eastAsia="en-AU"/>
        </w:rPr>
        <w:t>complainant</w:t>
      </w:r>
      <w:r w:rsidR="00C77B18">
        <w:rPr>
          <w:lang w:eastAsia="en-AU"/>
        </w:rPr>
        <w:t xml:space="preserve"> </w:t>
      </w:r>
      <w:r w:rsidRPr="003610CF">
        <w:rPr>
          <w:lang w:eastAsia="en-AU"/>
        </w:rPr>
        <w:t>but</w:t>
      </w:r>
      <w:r w:rsidR="00957E70">
        <w:rPr>
          <w:lang w:eastAsia="en-AU"/>
        </w:rPr>
        <w:t xml:space="preserve"> </w:t>
      </w:r>
      <w:r w:rsidRPr="003610CF">
        <w:rPr>
          <w:lang w:eastAsia="en-AU"/>
        </w:rPr>
        <w:t xml:space="preserve">most </w:t>
      </w:r>
      <w:r w:rsidR="00AC5A16">
        <w:rPr>
          <w:lang w:eastAsia="en-AU"/>
        </w:rPr>
        <w:t>complainants</w:t>
      </w:r>
      <w:r w:rsidRPr="003610CF">
        <w:rPr>
          <w:lang w:eastAsia="en-AU"/>
        </w:rPr>
        <w:t xml:space="preserve"> </w:t>
      </w:r>
      <w:r w:rsidR="00957E70">
        <w:rPr>
          <w:lang w:eastAsia="en-AU"/>
        </w:rPr>
        <w:t xml:space="preserve">do have to </w:t>
      </w:r>
      <w:r w:rsidRPr="003610CF">
        <w:rPr>
          <w:lang w:eastAsia="en-AU"/>
        </w:rPr>
        <w:t>provide evidence</w:t>
      </w:r>
      <w:r w:rsidR="00957E70">
        <w:rPr>
          <w:lang w:eastAsia="en-AU"/>
        </w:rPr>
        <w:t xml:space="preserve"> to secure a conviction</w:t>
      </w:r>
      <w:r w:rsidR="0053680E">
        <w:rPr>
          <w:lang w:eastAsia="en-AU"/>
        </w:rPr>
        <w:t>.</w:t>
      </w:r>
      <w:r w:rsidR="00C77B18">
        <w:rPr>
          <w:lang w:eastAsia="en-AU"/>
        </w:rPr>
        <w:t xml:space="preserve"> </w:t>
      </w:r>
    </w:p>
    <w:p w14:paraId="33F85A1C" w14:textId="5A0F52AF" w:rsidR="000759A1" w:rsidRDefault="00523A3A" w:rsidP="0067521E">
      <w:pPr>
        <w:numPr>
          <w:ilvl w:val="0"/>
          <w:numId w:val="173"/>
        </w:numPr>
        <w:tabs>
          <w:tab w:val="clear" w:pos="720"/>
        </w:tabs>
        <w:ind w:left="993" w:hanging="426"/>
        <w:rPr>
          <w:lang w:eastAsia="en-AU"/>
        </w:rPr>
      </w:pPr>
      <w:r>
        <w:rPr>
          <w:lang w:eastAsia="en-AU"/>
        </w:rPr>
        <w:t>The new offence does not overcome the challenges in identifying the person most in need of protection where there</w:t>
      </w:r>
      <w:r w:rsidR="00957E70">
        <w:rPr>
          <w:lang w:eastAsia="en-AU"/>
        </w:rPr>
        <w:t xml:space="preserve"> are</w:t>
      </w:r>
      <w:r>
        <w:rPr>
          <w:lang w:eastAsia="en-AU"/>
        </w:rPr>
        <w:t xml:space="preserve"> c</w:t>
      </w:r>
      <w:r w:rsidRPr="003610CF">
        <w:rPr>
          <w:lang w:eastAsia="en-AU"/>
        </w:rPr>
        <w:t>ounter-allegations</w:t>
      </w:r>
      <w:r>
        <w:rPr>
          <w:lang w:eastAsia="en-AU"/>
        </w:rPr>
        <w:t xml:space="preserve"> of violence.</w:t>
      </w:r>
      <w:r w:rsidR="00957E70">
        <w:rPr>
          <w:lang w:eastAsia="en-AU"/>
        </w:rPr>
        <w:t xml:space="preserve"> </w:t>
      </w:r>
      <w:r w:rsidR="00C77B18">
        <w:rPr>
          <w:rStyle w:val="FootnoteReference"/>
          <w:lang w:eastAsia="en-AU"/>
        </w:rPr>
        <w:footnoteReference w:id="127"/>
      </w:r>
    </w:p>
    <w:p w14:paraId="74F77086" w14:textId="77777777" w:rsidR="00EB0BEC" w:rsidRPr="000D2BAA" w:rsidRDefault="00AB27DC" w:rsidP="0053680E">
      <w:pPr>
        <w:pStyle w:val="Heading2"/>
        <w:keepNext/>
        <w:ind w:left="1134"/>
        <w:rPr>
          <w:lang w:eastAsia="en-AU"/>
        </w:rPr>
      </w:pPr>
      <w:bookmarkStart w:id="29" w:name="_Toc112051819"/>
      <w:r w:rsidRPr="000D2BAA">
        <w:rPr>
          <w:lang w:eastAsia="en-AU"/>
        </w:rPr>
        <w:lastRenderedPageBreak/>
        <w:t>A</w:t>
      </w:r>
      <w:r w:rsidR="00EB1E51" w:rsidRPr="000D2BAA">
        <w:rPr>
          <w:lang w:eastAsia="en-AU"/>
        </w:rPr>
        <w:t>rguments for and against criminalisation</w:t>
      </w:r>
      <w:bookmarkEnd w:id="29"/>
    </w:p>
    <w:p w14:paraId="53A4C93B" w14:textId="77777777" w:rsidR="00712BEC" w:rsidRDefault="008D0F14" w:rsidP="0053680E">
      <w:pPr>
        <w:pStyle w:val="Heading3"/>
        <w:keepNext/>
        <w:rPr>
          <w:lang w:eastAsia="en-AU"/>
        </w:rPr>
      </w:pPr>
      <w:bookmarkStart w:id="30" w:name="_Toc112051820"/>
      <w:r>
        <w:rPr>
          <w:lang w:eastAsia="en-AU"/>
        </w:rPr>
        <w:t>Arguments in favour of criminalisation</w:t>
      </w:r>
      <w:bookmarkEnd w:id="30"/>
    </w:p>
    <w:p w14:paraId="73C8B346" w14:textId="741FDF76" w:rsidR="004D3563" w:rsidRDefault="00EB0BEC" w:rsidP="0053680E">
      <w:pPr>
        <w:keepNext/>
        <w:rPr>
          <w:lang w:eastAsia="en-AU"/>
        </w:rPr>
      </w:pPr>
      <w:r>
        <w:rPr>
          <w:lang w:eastAsia="en-AU"/>
        </w:rPr>
        <w:t>There are significant arguments in favour of criminalising coercive control</w:t>
      </w:r>
      <w:r w:rsidR="00365CD4">
        <w:rPr>
          <w:lang w:eastAsia="en-AU"/>
        </w:rPr>
        <w:t xml:space="preserve"> summarised below</w:t>
      </w:r>
      <w:r w:rsidR="00AB15EA">
        <w:rPr>
          <w:lang w:eastAsia="en-AU"/>
        </w:rPr>
        <w:t>.</w:t>
      </w:r>
    </w:p>
    <w:p w14:paraId="75927246" w14:textId="120833EE" w:rsidR="00C465FE" w:rsidRDefault="00C465FE" w:rsidP="0067521E">
      <w:pPr>
        <w:pStyle w:val="ListParagraph"/>
        <w:numPr>
          <w:ilvl w:val="0"/>
          <w:numId w:val="56"/>
        </w:numPr>
        <w:ind w:left="993" w:hanging="426"/>
        <w:rPr>
          <w:lang w:eastAsia="en-AU"/>
        </w:rPr>
      </w:pPr>
      <w:r>
        <w:rPr>
          <w:lang w:eastAsia="en-AU"/>
        </w:rPr>
        <w:t>C</w:t>
      </w:r>
      <w:r w:rsidR="009B7C9C">
        <w:rPr>
          <w:lang w:eastAsia="en-AU"/>
        </w:rPr>
        <w:t>oercive control</w:t>
      </w:r>
      <w:r w:rsidR="00F27999">
        <w:rPr>
          <w:lang w:eastAsia="en-AU"/>
        </w:rPr>
        <w:t xml:space="preserve"> is conduct that is wrong and harmful and should be denounced by society through a criminal sanction. </w:t>
      </w:r>
      <w:r w:rsidR="0053680E">
        <w:rPr>
          <w:lang w:eastAsia="en-AU"/>
        </w:rPr>
        <w:t xml:space="preserve"> </w:t>
      </w:r>
      <w:r>
        <w:rPr>
          <w:lang w:eastAsia="en-AU"/>
        </w:rPr>
        <w:t>C</w:t>
      </w:r>
      <w:r w:rsidR="00F27999">
        <w:rPr>
          <w:lang w:eastAsia="en-AU"/>
        </w:rPr>
        <w:t xml:space="preserve">riminalisation </w:t>
      </w:r>
      <w:r w:rsidR="00F27999" w:rsidRPr="00BB3C47">
        <w:rPr>
          <w:lang w:eastAsia="en-AU"/>
        </w:rPr>
        <w:t xml:space="preserve">will make </w:t>
      </w:r>
      <w:r w:rsidR="00F27999">
        <w:rPr>
          <w:lang w:eastAsia="en-AU"/>
        </w:rPr>
        <w:t>coercive control</w:t>
      </w:r>
      <w:r w:rsidR="00F27999" w:rsidRPr="00BB3C47">
        <w:rPr>
          <w:lang w:eastAsia="en-AU"/>
        </w:rPr>
        <w:t xml:space="preserve"> more visible and send a clear message </w:t>
      </w:r>
      <w:r w:rsidR="00CB569C">
        <w:rPr>
          <w:lang w:eastAsia="en-AU"/>
        </w:rPr>
        <w:t xml:space="preserve">to the community </w:t>
      </w:r>
      <w:r w:rsidR="00F27999" w:rsidRPr="00BB3C47">
        <w:rPr>
          <w:lang w:eastAsia="en-AU"/>
        </w:rPr>
        <w:t>that it is wrong.</w:t>
      </w:r>
      <w:r w:rsidR="00F27999">
        <w:rPr>
          <w:lang w:eastAsia="en-AU"/>
        </w:rPr>
        <w:t xml:space="preserve"> </w:t>
      </w:r>
    </w:p>
    <w:p w14:paraId="0E36CC5D" w14:textId="7F0D2596" w:rsidR="0051297B" w:rsidRDefault="00074723" w:rsidP="0067521E">
      <w:pPr>
        <w:pStyle w:val="ListParagraph"/>
        <w:numPr>
          <w:ilvl w:val="0"/>
          <w:numId w:val="56"/>
        </w:numPr>
        <w:ind w:left="993" w:hanging="426"/>
        <w:rPr>
          <w:lang w:eastAsia="en-AU"/>
        </w:rPr>
      </w:pPr>
      <w:r>
        <w:rPr>
          <w:lang w:eastAsia="en-AU"/>
        </w:rPr>
        <w:t xml:space="preserve">In criminal law </w:t>
      </w:r>
      <w:r w:rsidR="00CB569C">
        <w:rPr>
          <w:lang w:eastAsia="en-AU"/>
        </w:rPr>
        <w:t xml:space="preserve">and policing, DFV is treated as </w:t>
      </w:r>
      <w:r w:rsidR="0051297B">
        <w:rPr>
          <w:lang w:eastAsia="en-AU"/>
        </w:rPr>
        <w:t xml:space="preserve">individual incidents of physical violence, </w:t>
      </w:r>
      <w:r w:rsidR="00CB569C">
        <w:rPr>
          <w:lang w:eastAsia="en-AU"/>
        </w:rPr>
        <w:t>with coercive control often remaining invisible and sometimes irrelevant to proceedings.</w:t>
      </w:r>
      <w:r w:rsidR="0051297B">
        <w:rPr>
          <w:lang w:eastAsia="en-AU"/>
        </w:rPr>
        <w:t xml:space="preserve"> </w:t>
      </w:r>
      <w:r w:rsidR="0053680E">
        <w:rPr>
          <w:lang w:eastAsia="en-AU"/>
        </w:rPr>
        <w:t xml:space="preserve"> </w:t>
      </w:r>
      <w:r w:rsidR="00B84CEE">
        <w:rPr>
          <w:lang w:eastAsia="en-AU"/>
        </w:rPr>
        <w:t>This</w:t>
      </w:r>
      <w:r w:rsidR="0051297B">
        <w:rPr>
          <w:lang w:eastAsia="en-AU"/>
        </w:rPr>
        <w:t xml:space="preserve"> does not accord with </w:t>
      </w:r>
      <w:r w:rsidR="00B84CEE">
        <w:rPr>
          <w:lang w:eastAsia="en-AU"/>
        </w:rPr>
        <w:t xml:space="preserve">the lived experience of victim-survivors of DFV, who </w:t>
      </w:r>
      <w:r w:rsidR="00CB569C">
        <w:rPr>
          <w:lang w:eastAsia="en-AU"/>
        </w:rPr>
        <w:t xml:space="preserve">often </w:t>
      </w:r>
      <w:r w:rsidR="00B84CEE">
        <w:rPr>
          <w:lang w:eastAsia="en-AU"/>
        </w:rPr>
        <w:t>experience a pattern of abuse</w:t>
      </w:r>
      <w:r w:rsidR="00E33002">
        <w:rPr>
          <w:lang w:eastAsia="en-AU"/>
        </w:rPr>
        <w:t xml:space="preserve"> that may include physical, sexual, emotional, psych</w:t>
      </w:r>
      <w:r w:rsidR="000D2BAA">
        <w:rPr>
          <w:lang w:eastAsia="en-AU"/>
        </w:rPr>
        <w:t>ological and economic abuse</w:t>
      </w:r>
      <w:r w:rsidR="003508EF">
        <w:rPr>
          <w:lang w:eastAsia="en-AU"/>
        </w:rPr>
        <w:t xml:space="preserve"> in an attempt to control and dominate</w:t>
      </w:r>
      <w:r w:rsidR="00E33002">
        <w:rPr>
          <w:lang w:eastAsia="en-AU"/>
        </w:rPr>
        <w:t>.</w:t>
      </w:r>
      <w:r w:rsidR="00B84CEE" w:rsidRPr="004541BD">
        <w:rPr>
          <w:sz w:val="24"/>
          <w:szCs w:val="24"/>
          <w:lang w:eastAsia="en-AU"/>
        </w:rPr>
        <w:t xml:space="preserve"> </w:t>
      </w:r>
      <w:r w:rsidR="009B7C9C" w:rsidRPr="004541BD">
        <w:rPr>
          <w:sz w:val="24"/>
          <w:szCs w:val="24"/>
          <w:lang w:eastAsia="en-AU"/>
        </w:rPr>
        <w:t xml:space="preserve"> </w:t>
      </w:r>
      <w:r w:rsidR="00E33002" w:rsidRPr="004541BD">
        <w:rPr>
          <w:sz w:val="24"/>
          <w:szCs w:val="24"/>
          <w:lang w:eastAsia="en-AU"/>
        </w:rPr>
        <w:t>By</w:t>
      </w:r>
      <w:r w:rsidR="00AC1BD0" w:rsidRPr="00E33002">
        <w:t xml:space="preserve"> criminalising coercive control </w:t>
      </w:r>
      <w:r w:rsidR="00E33002">
        <w:t>it may bring</w:t>
      </w:r>
      <w:r w:rsidR="000D2BAA">
        <w:t xml:space="preserve"> the criminal law </w:t>
      </w:r>
      <w:r w:rsidR="00E33002">
        <w:t xml:space="preserve">into </w:t>
      </w:r>
      <w:r w:rsidR="000D2BAA">
        <w:t xml:space="preserve">greater alignment </w:t>
      </w:r>
      <w:r w:rsidR="00E33002">
        <w:t>with the lived experienc</w:t>
      </w:r>
      <w:r w:rsidR="000D2BAA">
        <w:t>e of victims-survivors</w:t>
      </w:r>
      <w:r w:rsidR="00E33002">
        <w:t xml:space="preserve">.  This may increase the confidence of victim-survivors to report DFV to police and to attend Court.  </w:t>
      </w:r>
      <w:r w:rsidR="00CB569C">
        <w:rPr>
          <w:lang w:eastAsia="en-AU"/>
        </w:rPr>
        <w:t>It may also provide greater recognition</w:t>
      </w:r>
      <w:r w:rsidR="00220535">
        <w:rPr>
          <w:lang w:eastAsia="en-AU"/>
        </w:rPr>
        <w:t xml:space="preserve"> in law</w:t>
      </w:r>
      <w:r w:rsidR="00CB569C">
        <w:rPr>
          <w:lang w:eastAsia="en-AU"/>
        </w:rPr>
        <w:t xml:space="preserve"> of the cumulative harm caused by coercive control.</w:t>
      </w:r>
      <w:r w:rsidR="00365CD4">
        <w:rPr>
          <w:lang w:eastAsia="en-AU"/>
        </w:rPr>
        <w:t xml:space="preserve"> </w:t>
      </w:r>
    </w:p>
    <w:p w14:paraId="674AB2AC" w14:textId="1BC5EA01" w:rsidR="00D55B87" w:rsidRDefault="00FB3AF2" w:rsidP="0067521E">
      <w:pPr>
        <w:pStyle w:val="ListParagraph"/>
        <w:numPr>
          <w:ilvl w:val="0"/>
          <w:numId w:val="56"/>
        </w:numPr>
        <w:ind w:left="993" w:hanging="426"/>
        <w:rPr>
          <w:lang w:eastAsia="en-AU"/>
        </w:rPr>
      </w:pPr>
      <w:r>
        <w:rPr>
          <w:lang w:eastAsia="en-AU"/>
        </w:rPr>
        <w:t>The creation of a criminal offence (alon</w:t>
      </w:r>
      <w:r w:rsidR="003508EF">
        <w:rPr>
          <w:lang w:eastAsia="en-AU"/>
        </w:rPr>
        <w:t>g with effective community education and professional training</w:t>
      </w:r>
      <w:r>
        <w:rPr>
          <w:lang w:eastAsia="en-AU"/>
        </w:rPr>
        <w:t xml:space="preserve">) </w:t>
      </w:r>
      <w:r w:rsidR="00F27999">
        <w:rPr>
          <w:lang w:eastAsia="en-AU"/>
        </w:rPr>
        <w:t>w</w:t>
      </w:r>
      <w:r w:rsidR="00220535">
        <w:rPr>
          <w:lang w:eastAsia="en-AU"/>
        </w:rPr>
        <w:t>ill</w:t>
      </w:r>
      <w:r w:rsidR="00F27999">
        <w:rPr>
          <w:lang w:eastAsia="en-AU"/>
        </w:rPr>
        <w:t xml:space="preserve"> reduce </w:t>
      </w:r>
      <w:r w:rsidR="00D55B87" w:rsidRPr="00BB3C47">
        <w:rPr>
          <w:lang w:eastAsia="en-AU"/>
        </w:rPr>
        <w:t>confusion about the nature and dynamics of DF</w:t>
      </w:r>
      <w:r w:rsidR="00F27999">
        <w:rPr>
          <w:lang w:eastAsia="en-AU"/>
        </w:rPr>
        <w:t xml:space="preserve">V </w:t>
      </w:r>
      <w:r>
        <w:rPr>
          <w:lang w:eastAsia="en-AU"/>
        </w:rPr>
        <w:t xml:space="preserve">and support efforts to </w:t>
      </w:r>
      <w:r w:rsidR="00220535">
        <w:rPr>
          <w:lang w:eastAsia="en-AU"/>
        </w:rPr>
        <w:t xml:space="preserve">prevent and </w:t>
      </w:r>
      <w:r>
        <w:rPr>
          <w:lang w:eastAsia="en-AU"/>
        </w:rPr>
        <w:t>reduce violence.</w:t>
      </w:r>
      <w:r w:rsidR="003508EF">
        <w:rPr>
          <w:lang w:eastAsia="en-AU"/>
        </w:rPr>
        <w:t xml:space="preserve">  It will create greater clarity about what DFV is. </w:t>
      </w:r>
    </w:p>
    <w:p w14:paraId="37B554BD" w14:textId="38AC7C9A" w:rsidR="00FB3AF2" w:rsidRPr="00BB3C47" w:rsidRDefault="00FB3AF2" w:rsidP="0067521E">
      <w:pPr>
        <w:pStyle w:val="ListParagraph"/>
        <w:numPr>
          <w:ilvl w:val="0"/>
          <w:numId w:val="56"/>
        </w:numPr>
        <w:ind w:left="993" w:hanging="426"/>
        <w:rPr>
          <w:lang w:eastAsia="en-AU"/>
        </w:rPr>
      </w:pPr>
      <w:r>
        <w:rPr>
          <w:lang w:eastAsia="en-AU"/>
        </w:rPr>
        <w:t>Coercive control is a high</w:t>
      </w:r>
      <w:r w:rsidR="00365CD4">
        <w:rPr>
          <w:lang w:eastAsia="en-AU"/>
        </w:rPr>
        <w:t>-</w:t>
      </w:r>
      <w:r>
        <w:rPr>
          <w:lang w:eastAsia="en-AU"/>
        </w:rPr>
        <w:t>risk factor for domestic homicide</w:t>
      </w:r>
      <w:r w:rsidRPr="00220535">
        <w:rPr>
          <w:lang w:eastAsia="en-AU"/>
        </w:rPr>
        <w:t>.</w:t>
      </w:r>
      <w:r>
        <w:rPr>
          <w:lang w:eastAsia="en-AU"/>
        </w:rPr>
        <w:t xml:space="preserve"> </w:t>
      </w:r>
      <w:r w:rsidR="0053680E">
        <w:rPr>
          <w:lang w:eastAsia="en-AU"/>
        </w:rPr>
        <w:t xml:space="preserve"> </w:t>
      </w:r>
      <w:r>
        <w:rPr>
          <w:lang w:eastAsia="en-AU"/>
        </w:rPr>
        <w:t>The creation of a criminal offence w</w:t>
      </w:r>
      <w:r w:rsidR="00220535">
        <w:rPr>
          <w:lang w:eastAsia="en-AU"/>
        </w:rPr>
        <w:t>ill</w:t>
      </w:r>
      <w:r>
        <w:rPr>
          <w:lang w:eastAsia="en-AU"/>
        </w:rPr>
        <w:t xml:space="preserve"> increase opportunities to intervene in non-physical abuse and this may help reduce domestic homicide. </w:t>
      </w:r>
    </w:p>
    <w:p w14:paraId="4280B1D9" w14:textId="6FCBB05B" w:rsidR="00D55B87" w:rsidRDefault="00F27999" w:rsidP="0067521E">
      <w:pPr>
        <w:pStyle w:val="ListParagraph"/>
        <w:numPr>
          <w:ilvl w:val="0"/>
          <w:numId w:val="56"/>
        </w:numPr>
        <w:spacing w:after="200"/>
        <w:ind w:left="992" w:hanging="425"/>
        <w:rPr>
          <w:lang w:eastAsia="en-AU"/>
        </w:rPr>
      </w:pPr>
      <w:r>
        <w:rPr>
          <w:lang w:eastAsia="en-AU"/>
        </w:rPr>
        <w:t xml:space="preserve">Criminalisation </w:t>
      </w:r>
      <w:r w:rsidR="00220535">
        <w:rPr>
          <w:lang w:eastAsia="en-AU"/>
        </w:rPr>
        <w:t>(</w:t>
      </w:r>
      <w:r w:rsidR="00741B01">
        <w:rPr>
          <w:lang w:eastAsia="en-AU"/>
        </w:rPr>
        <w:t>along with effective police training and procedures</w:t>
      </w:r>
      <w:r w:rsidR="00220535">
        <w:rPr>
          <w:lang w:eastAsia="en-AU"/>
        </w:rPr>
        <w:t xml:space="preserve">) </w:t>
      </w:r>
      <w:r w:rsidR="00741B01">
        <w:rPr>
          <w:lang w:eastAsia="en-AU"/>
        </w:rPr>
        <w:t>is</w:t>
      </w:r>
      <w:r w:rsidR="00D55B87" w:rsidRPr="00BB3C47">
        <w:rPr>
          <w:lang w:eastAsia="en-AU"/>
        </w:rPr>
        <w:t xml:space="preserve"> </w:t>
      </w:r>
      <w:r w:rsidR="00741B01">
        <w:rPr>
          <w:lang w:eastAsia="en-AU"/>
        </w:rPr>
        <w:t xml:space="preserve">likely to </w:t>
      </w:r>
      <w:r w:rsidR="00BB1517">
        <w:rPr>
          <w:lang w:eastAsia="en-AU"/>
        </w:rPr>
        <w:t xml:space="preserve">improve </w:t>
      </w:r>
      <w:r w:rsidR="00220535">
        <w:rPr>
          <w:lang w:eastAsia="en-AU"/>
        </w:rPr>
        <w:t xml:space="preserve">the </w:t>
      </w:r>
      <w:r w:rsidR="00BB1517">
        <w:rPr>
          <w:lang w:eastAsia="en-AU"/>
        </w:rPr>
        <w:t xml:space="preserve">policing of DFV.  </w:t>
      </w:r>
      <w:r w:rsidR="00220535">
        <w:rPr>
          <w:lang w:eastAsia="en-AU"/>
        </w:rPr>
        <w:t>The creation of a new offence</w:t>
      </w:r>
      <w:r w:rsidR="00BB1517">
        <w:rPr>
          <w:lang w:eastAsia="en-AU"/>
        </w:rPr>
        <w:t xml:space="preserve"> will </w:t>
      </w:r>
      <w:r w:rsidR="00D55B87" w:rsidRPr="00BB3C47">
        <w:rPr>
          <w:lang w:eastAsia="en-AU"/>
        </w:rPr>
        <w:t>prompt police to look for evidence of a pattern of coercive control in the history of the relationship, rather than just focussing on the current incident of physical violence</w:t>
      </w:r>
      <w:r w:rsidR="000970FD">
        <w:rPr>
          <w:lang w:eastAsia="en-AU"/>
        </w:rPr>
        <w:t xml:space="preserve"> that they have been called to</w:t>
      </w:r>
      <w:r w:rsidR="00E6360E">
        <w:rPr>
          <w:lang w:eastAsia="en-AU"/>
        </w:rPr>
        <w:t xml:space="preserve"> attend</w:t>
      </w:r>
      <w:r w:rsidR="00D55B87" w:rsidRPr="00BB3C47">
        <w:rPr>
          <w:lang w:eastAsia="en-AU"/>
        </w:rPr>
        <w:t>.</w:t>
      </w:r>
      <w:r w:rsidR="008D0F14">
        <w:rPr>
          <w:lang w:eastAsia="en-AU"/>
        </w:rPr>
        <w:t xml:space="preserve"> </w:t>
      </w:r>
      <w:r w:rsidR="0053680E">
        <w:rPr>
          <w:lang w:eastAsia="en-AU"/>
        </w:rPr>
        <w:t xml:space="preserve"> </w:t>
      </w:r>
      <w:r w:rsidR="00220535">
        <w:rPr>
          <w:lang w:eastAsia="en-AU"/>
        </w:rPr>
        <w:t>Criminalisation will make coercive control relevant to day-to-day police w</w:t>
      </w:r>
      <w:r w:rsidR="004B6A21">
        <w:rPr>
          <w:lang w:eastAsia="en-AU"/>
        </w:rPr>
        <w:t>ork and help change the culture</w:t>
      </w:r>
      <w:r w:rsidR="00220535">
        <w:rPr>
          <w:lang w:eastAsia="en-AU"/>
        </w:rPr>
        <w:t xml:space="preserve"> of how police respond to DFV.</w:t>
      </w:r>
      <w:r w:rsidR="00C638C7">
        <w:rPr>
          <w:lang w:eastAsia="en-AU"/>
        </w:rPr>
        <w:t xml:space="preserve"> </w:t>
      </w:r>
      <w:r w:rsidR="0053680E">
        <w:rPr>
          <w:lang w:eastAsia="en-AU"/>
        </w:rPr>
        <w:t xml:space="preserve"> </w:t>
      </w:r>
      <w:r w:rsidR="00C638C7">
        <w:rPr>
          <w:lang w:eastAsia="en-AU"/>
        </w:rPr>
        <w:t xml:space="preserve">An understanding of coercive </w:t>
      </w:r>
      <w:r w:rsidR="00E6360E">
        <w:rPr>
          <w:lang w:eastAsia="en-AU"/>
        </w:rPr>
        <w:t xml:space="preserve">control is likely to reduce the </w:t>
      </w:r>
      <w:r w:rsidR="00C638C7">
        <w:rPr>
          <w:lang w:eastAsia="en-AU"/>
        </w:rPr>
        <w:t>t</w:t>
      </w:r>
      <w:r w:rsidR="00E6360E">
        <w:rPr>
          <w:lang w:eastAsia="en-AU"/>
        </w:rPr>
        <w:t>endency by some people to blame victim-survivors of DFV for offending against them.</w:t>
      </w:r>
    </w:p>
    <w:p w14:paraId="3310B8F5" w14:textId="125CDB4F" w:rsidR="00CE2106" w:rsidRDefault="00712BEC" w:rsidP="00220535">
      <w:pPr>
        <w:rPr>
          <w:lang w:eastAsia="en-AU"/>
        </w:rPr>
      </w:pPr>
      <w:r>
        <w:rPr>
          <w:lang w:eastAsia="en-AU"/>
        </w:rPr>
        <w:t xml:space="preserve">Proponents of criminalisation believe </w:t>
      </w:r>
      <w:r w:rsidR="00F21A0A">
        <w:rPr>
          <w:lang w:eastAsia="en-AU"/>
        </w:rPr>
        <w:t xml:space="preserve">that </w:t>
      </w:r>
      <w:r w:rsidR="00220535">
        <w:rPr>
          <w:lang w:eastAsia="en-AU"/>
        </w:rPr>
        <w:t xml:space="preserve">criminalising </w:t>
      </w:r>
      <w:r w:rsidR="00F21A0A">
        <w:rPr>
          <w:lang w:eastAsia="en-AU"/>
        </w:rPr>
        <w:t>coercive control has the potential to</w:t>
      </w:r>
      <w:r>
        <w:rPr>
          <w:lang w:eastAsia="en-AU"/>
        </w:rPr>
        <w:t xml:space="preserve"> change the way DFV is </w:t>
      </w:r>
      <w:r w:rsidR="00BB1517">
        <w:rPr>
          <w:lang w:eastAsia="en-AU"/>
        </w:rPr>
        <w:t>policed, prosecuted and prevented</w:t>
      </w:r>
      <w:r w:rsidR="00F21A0A">
        <w:rPr>
          <w:lang w:eastAsia="en-AU"/>
        </w:rPr>
        <w:t xml:space="preserve"> if it is properly implemented</w:t>
      </w:r>
      <w:r w:rsidR="00BB1517">
        <w:rPr>
          <w:lang w:eastAsia="en-AU"/>
        </w:rPr>
        <w:t>.  The criminalisation of coercive control</w:t>
      </w:r>
      <w:r>
        <w:rPr>
          <w:lang w:eastAsia="en-AU"/>
        </w:rPr>
        <w:t xml:space="preserve"> has become emblematic</w:t>
      </w:r>
      <w:r w:rsidR="00BB1517">
        <w:rPr>
          <w:lang w:eastAsia="en-AU"/>
        </w:rPr>
        <w:t>:  If we</w:t>
      </w:r>
      <w:r w:rsidR="001E2D85">
        <w:rPr>
          <w:lang w:eastAsia="en-AU"/>
        </w:rPr>
        <w:t xml:space="preserve"> improve our responses to coercive control, </w:t>
      </w:r>
      <w:r w:rsidR="00BB1517">
        <w:rPr>
          <w:lang w:eastAsia="en-AU"/>
        </w:rPr>
        <w:t>our responses to</w:t>
      </w:r>
      <w:r w:rsidR="00E6360E">
        <w:rPr>
          <w:lang w:eastAsia="en-AU"/>
        </w:rPr>
        <w:t xml:space="preserve"> all forms of DFV will improve.</w:t>
      </w:r>
    </w:p>
    <w:p w14:paraId="617251C0" w14:textId="77F6E391" w:rsidR="00712BEC" w:rsidRDefault="008D0F14" w:rsidP="0053680E">
      <w:pPr>
        <w:pStyle w:val="Heading3"/>
        <w:keepNext/>
        <w:rPr>
          <w:lang w:eastAsia="en-AU"/>
        </w:rPr>
      </w:pPr>
      <w:bookmarkStart w:id="31" w:name="_Toc112051821"/>
      <w:r>
        <w:rPr>
          <w:lang w:eastAsia="en-AU"/>
        </w:rPr>
        <w:t>Arguments against criminalisation</w:t>
      </w:r>
      <w:bookmarkEnd w:id="31"/>
    </w:p>
    <w:p w14:paraId="79B70BFD" w14:textId="07A6B023" w:rsidR="00052297" w:rsidRDefault="008D0F14" w:rsidP="00295CBF">
      <w:pPr>
        <w:rPr>
          <w:lang w:eastAsia="en-AU"/>
        </w:rPr>
      </w:pPr>
      <w:r>
        <w:rPr>
          <w:lang w:eastAsia="en-AU"/>
        </w:rPr>
        <w:t xml:space="preserve">Those who are opposed to criminalisation </w:t>
      </w:r>
      <w:r w:rsidR="004C3D47">
        <w:rPr>
          <w:lang w:eastAsia="en-AU"/>
        </w:rPr>
        <w:t xml:space="preserve">usually </w:t>
      </w:r>
      <w:r w:rsidR="00E82B19">
        <w:rPr>
          <w:lang w:eastAsia="en-AU"/>
        </w:rPr>
        <w:t xml:space="preserve">agree that </w:t>
      </w:r>
      <w:r w:rsidR="00365CD4">
        <w:rPr>
          <w:lang w:eastAsia="en-AU"/>
        </w:rPr>
        <w:t>g</w:t>
      </w:r>
      <w:r w:rsidR="00E82B19">
        <w:rPr>
          <w:lang w:eastAsia="en-AU"/>
        </w:rPr>
        <w:t>overnments should improve responses to coercive control but that the creation of a criminal offence goes too far.</w:t>
      </w:r>
      <w:r w:rsidR="004C3D47">
        <w:rPr>
          <w:lang w:eastAsia="en-AU"/>
        </w:rPr>
        <w:t xml:space="preserve"> </w:t>
      </w:r>
      <w:r w:rsidR="0053680E">
        <w:rPr>
          <w:lang w:eastAsia="en-AU"/>
        </w:rPr>
        <w:t xml:space="preserve"> </w:t>
      </w:r>
      <w:r w:rsidR="00052297">
        <w:rPr>
          <w:lang w:eastAsia="en-AU"/>
        </w:rPr>
        <w:t>They are concerned that criminalisation will not address the current limitations in the criminal justice res</w:t>
      </w:r>
      <w:r w:rsidR="00CF237E">
        <w:rPr>
          <w:lang w:eastAsia="en-AU"/>
        </w:rPr>
        <w:t>ponse to DFV</w:t>
      </w:r>
      <w:r w:rsidR="00652E55">
        <w:rPr>
          <w:lang w:eastAsia="en-AU"/>
        </w:rPr>
        <w:t>, and that it may result in increase</w:t>
      </w:r>
      <w:r w:rsidR="001A779E">
        <w:rPr>
          <w:lang w:eastAsia="en-AU"/>
        </w:rPr>
        <w:t>d</w:t>
      </w:r>
      <w:r w:rsidR="00652E55">
        <w:rPr>
          <w:lang w:eastAsia="en-AU"/>
        </w:rPr>
        <w:t xml:space="preserve"> trauma for victim-survivors in giving evidence at Court.  They are also concerned about the potential for unintended consequences, particularly for Aboriginal people and other vulnerable groups who may experience trauma and discrimination in their engagement with the justice system or be misidentified as defendants.</w:t>
      </w:r>
    </w:p>
    <w:p w14:paraId="7E53CF8F" w14:textId="29D166D4" w:rsidR="008D0F14" w:rsidRDefault="004C3D47" w:rsidP="0053680E">
      <w:pPr>
        <w:keepNext/>
        <w:rPr>
          <w:lang w:eastAsia="en-AU"/>
        </w:rPr>
      </w:pPr>
      <w:r>
        <w:rPr>
          <w:lang w:eastAsia="en-AU"/>
        </w:rPr>
        <w:lastRenderedPageBreak/>
        <w:t>Arguments against</w:t>
      </w:r>
      <w:r w:rsidR="008D0F14">
        <w:rPr>
          <w:lang w:eastAsia="en-AU"/>
        </w:rPr>
        <w:t xml:space="preserve"> </w:t>
      </w:r>
      <w:r>
        <w:rPr>
          <w:lang w:eastAsia="en-AU"/>
        </w:rPr>
        <w:t xml:space="preserve">the creation of </w:t>
      </w:r>
      <w:r w:rsidR="00AB15EA">
        <w:rPr>
          <w:lang w:eastAsia="en-AU"/>
        </w:rPr>
        <w:t xml:space="preserve">a </w:t>
      </w:r>
      <w:r>
        <w:rPr>
          <w:lang w:eastAsia="en-AU"/>
        </w:rPr>
        <w:t xml:space="preserve">criminal offence </w:t>
      </w:r>
      <w:r w:rsidR="00052297">
        <w:rPr>
          <w:lang w:eastAsia="en-AU"/>
        </w:rPr>
        <w:t xml:space="preserve">are summarised below, </w:t>
      </w:r>
      <w:r w:rsidR="00E6360E">
        <w:rPr>
          <w:lang w:eastAsia="en-AU"/>
        </w:rPr>
        <w:t>although it is important to</w:t>
      </w:r>
      <w:r w:rsidR="00AB15EA">
        <w:rPr>
          <w:lang w:eastAsia="en-AU"/>
        </w:rPr>
        <w:t xml:space="preserve"> </w:t>
      </w:r>
      <w:r w:rsidR="00E6360E">
        <w:rPr>
          <w:lang w:eastAsia="en-AU"/>
        </w:rPr>
        <w:t>acknowledge</w:t>
      </w:r>
      <w:r w:rsidR="00052297">
        <w:rPr>
          <w:lang w:eastAsia="en-AU"/>
        </w:rPr>
        <w:t xml:space="preserve"> that opponents of criminalisation may have</w:t>
      </w:r>
      <w:r w:rsidR="00E6360E">
        <w:rPr>
          <w:lang w:eastAsia="en-AU"/>
        </w:rPr>
        <w:t xml:space="preserve"> different rationales and views:</w:t>
      </w:r>
    </w:p>
    <w:p w14:paraId="704E9B74" w14:textId="77777777" w:rsidR="00F82923" w:rsidRDefault="00F82923" w:rsidP="0067521E">
      <w:pPr>
        <w:pStyle w:val="ListParagraph"/>
        <w:numPr>
          <w:ilvl w:val="0"/>
          <w:numId w:val="57"/>
        </w:numPr>
        <w:ind w:left="993" w:hanging="426"/>
        <w:rPr>
          <w:lang w:eastAsia="en-AU"/>
        </w:rPr>
      </w:pPr>
      <w:r>
        <w:rPr>
          <w:lang w:eastAsia="en-AU"/>
        </w:rPr>
        <w:t xml:space="preserve">Criminalisation </w:t>
      </w:r>
      <w:r w:rsidR="00D55B87" w:rsidRPr="00BB3C47">
        <w:rPr>
          <w:lang w:eastAsia="en-AU"/>
        </w:rPr>
        <w:t>w</w:t>
      </w:r>
      <w:r>
        <w:rPr>
          <w:lang w:eastAsia="en-AU"/>
        </w:rPr>
        <w:t>ill</w:t>
      </w:r>
      <w:r w:rsidR="00D90339">
        <w:rPr>
          <w:lang w:eastAsia="en-AU"/>
        </w:rPr>
        <w:t xml:space="preserve"> </w:t>
      </w:r>
      <w:r w:rsidR="00D55B87" w:rsidRPr="00BB3C47">
        <w:rPr>
          <w:lang w:eastAsia="en-AU"/>
        </w:rPr>
        <w:t>extend the reach of the criminal law too far into private lives</w:t>
      </w:r>
      <w:r>
        <w:rPr>
          <w:lang w:eastAsia="en-AU"/>
        </w:rPr>
        <w:t>.</w:t>
      </w:r>
      <w:r>
        <w:rPr>
          <w:rStyle w:val="FootnoteReference"/>
          <w:lang w:eastAsia="en-AU"/>
        </w:rPr>
        <w:footnoteReference w:id="128"/>
      </w:r>
    </w:p>
    <w:p w14:paraId="12AEB0BF" w14:textId="77777777" w:rsidR="00BF425F" w:rsidRDefault="00F82923" w:rsidP="0067521E">
      <w:pPr>
        <w:pStyle w:val="ListParagraph"/>
        <w:numPr>
          <w:ilvl w:val="0"/>
          <w:numId w:val="57"/>
        </w:numPr>
        <w:ind w:left="993" w:hanging="426"/>
        <w:rPr>
          <w:lang w:eastAsia="en-AU"/>
        </w:rPr>
      </w:pPr>
      <w:r>
        <w:rPr>
          <w:lang w:eastAsia="en-AU"/>
        </w:rPr>
        <w:t>It will</w:t>
      </w:r>
      <w:r w:rsidR="00D55B87" w:rsidRPr="00BB3C47">
        <w:rPr>
          <w:lang w:eastAsia="en-AU"/>
        </w:rPr>
        <w:t xml:space="preserve"> be </w:t>
      </w:r>
      <w:r w:rsidR="002359A3">
        <w:rPr>
          <w:lang w:eastAsia="en-AU"/>
        </w:rPr>
        <w:t xml:space="preserve">too </w:t>
      </w:r>
      <w:r w:rsidR="00D55B87" w:rsidRPr="00BB3C47">
        <w:rPr>
          <w:lang w:eastAsia="en-AU"/>
        </w:rPr>
        <w:t xml:space="preserve">difficult to </w:t>
      </w:r>
      <w:r w:rsidR="00BF425F">
        <w:rPr>
          <w:lang w:eastAsia="en-AU"/>
        </w:rPr>
        <w:t xml:space="preserve">effectively </w:t>
      </w:r>
      <w:r w:rsidR="00D55B87" w:rsidRPr="00BB3C47">
        <w:rPr>
          <w:lang w:eastAsia="en-AU"/>
        </w:rPr>
        <w:t>define coercive control in legislation because</w:t>
      </w:r>
      <w:r w:rsidR="002359A3">
        <w:rPr>
          <w:lang w:eastAsia="en-AU"/>
        </w:rPr>
        <w:t xml:space="preserve"> it involves nuanced </w:t>
      </w:r>
      <w:r w:rsidR="0027478F">
        <w:rPr>
          <w:lang w:eastAsia="en-AU"/>
        </w:rPr>
        <w:t xml:space="preserve">behaviour that is deeply contextualised and </w:t>
      </w:r>
      <w:r w:rsidR="002359A3">
        <w:rPr>
          <w:lang w:eastAsia="en-AU"/>
        </w:rPr>
        <w:t>relationship</w:t>
      </w:r>
      <w:r>
        <w:rPr>
          <w:lang w:eastAsia="en-AU"/>
        </w:rPr>
        <w:t>-</w:t>
      </w:r>
      <w:r w:rsidR="002359A3">
        <w:rPr>
          <w:lang w:eastAsia="en-AU"/>
        </w:rPr>
        <w:t>specific.</w:t>
      </w:r>
      <w:r>
        <w:rPr>
          <w:lang w:eastAsia="en-AU"/>
        </w:rPr>
        <w:t xml:space="preserve"> </w:t>
      </w:r>
      <w:r w:rsidR="002359A3">
        <w:rPr>
          <w:lang w:eastAsia="en-AU"/>
        </w:rPr>
        <w:t xml:space="preserve"> </w:t>
      </w:r>
    </w:p>
    <w:p w14:paraId="52BF4FC0" w14:textId="77777777" w:rsidR="00D55B87" w:rsidRDefault="00F82923" w:rsidP="0067521E">
      <w:pPr>
        <w:pStyle w:val="ListParagraph"/>
        <w:numPr>
          <w:ilvl w:val="0"/>
          <w:numId w:val="57"/>
        </w:numPr>
        <w:ind w:left="993" w:hanging="426"/>
        <w:rPr>
          <w:lang w:eastAsia="en-AU"/>
        </w:rPr>
      </w:pPr>
      <w:r>
        <w:rPr>
          <w:lang w:eastAsia="en-AU"/>
        </w:rPr>
        <w:t>Ex</w:t>
      </w:r>
      <w:r w:rsidR="00BF425F">
        <w:rPr>
          <w:lang w:eastAsia="en-AU"/>
        </w:rPr>
        <w:t>cessive control is</w:t>
      </w:r>
      <w:r w:rsidR="002359A3">
        <w:rPr>
          <w:lang w:eastAsia="en-AU"/>
        </w:rPr>
        <w:t xml:space="preserve"> a common feature of many relationships, and it</w:t>
      </w:r>
      <w:r w:rsidR="00D55B87" w:rsidRPr="00BB3C47">
        <w:rPr>
          <w:lang w:eastAsia="en-AU"/>
        </w:rPr>
        <w:t xml:space="preserve"> will be difficult to appropriately draw the line between </w:t>
      </w:r>
      <w:r w:rsidR="002359A3">
        <w:rPr>
          <w:lang w:eastAsia="en-AU"/>
        </w:rPr>
        <w:t xml:space="preserve">coercive control which warrants criminal sanction and </w:t>
      </w:r>
      <w:r w:rsidR="0027478F">
        <w:rPr>
          <w:lang w:eastAsia="en-AU"/>
        </w:rPr>
        <w:t>controlling behaviours which, although unhealthy, are not sufficiently egregious to warrant a criminal charge.</w:t>
      </w:r>
    </w:p>
    <w:p w14:paraId="106353B7" w14:textId="239C0D3D" w:rsidR="00465837" w:rsidRDefault="00663321" w:rsidP="0067521E">
      <w:pPr>
        <w:pStyle w:val="ListParagraph"/>
        <w:numPr>
          <w:ilvl w:val="0"/>
          <w:numId w:val="57"/>
        </w:numPr>
        <w:ind w:left="993" w:hanging="426"/>
        <w:rPr>
          <w:lang w:eastAsia="en-AU"/>
        </w:rPr>
      </w:pPr>
      <w:r>
        <w:rPr>
          <w:lang w:eastAsia="en-AU"/>
        </w:rPr>
        <w:t>It will be</w:t>
      </w:r>
      <w:r w:rsidR="005B2A32">
        <w:rPr>
          <w:lang w:eastAsia="en-AU"/>
        </w:rPr>
        <w:t xml:space="preserve"> </w:t>
      </w:r>
      <w:r>
        <w:rPr>
          <w:lang w:eastAsia="en-AU"/>
        </w:rPr>
        <w:t xml:space="preserve">difficult </w:t>
      </w:r>
      <w:r w:rsidR="00D55B87" w:rsidRPr="00BB3C47">
        <w:rPr>
          <w:lang w:eastAsia="en-AU"/>
        </w:rPr>
        <w:t>for police to obtain evidence of coercive control</w:t>
      </w:r>
      <w:r w:rsidR="00375AFD">
        <w:rPr>
          <w:lang w:eastAsia="en-AU"/>
        </w:rPr>
        <w:t xml:space="preserve"> offences, because it is a pattern of abuse over time, and it </w:t>
      </w:r>
      <w:r w:rsidR="00081DFC">
        <w:rPr>
          <w:lang w:eastAsia="en-AU"/>
        </w:rPr>
        <w:t xml:space="preserve">is </w:t>
      </w:r>
      <w:r w:rsidR="00375AFD">
        <w:rPr>
          <w:lang w:eastAsia="en-AU"/>
        </w:rPr>
        <w:t>nuanced and context-specific.</w:t>
      </w:r>
      <w:r w:rsidR="0053680E">
        <w:rPr>
          <w:lang w:eastAsia="en-AU"/>
        </w:rPr>
        <w:t xml:space="preserve"> </w:t>
      </w:r>
      <w:r w:rsidR="00375AFD">
        <w:rPr>
          <w:lang w:eastAsia="en-AU"/>
        </w:rPr>
        <w:t xml:space="preserve"> </w:t>
      </w:r>
      <w:r w:rsidR="00081DFC">
        <w:rPr>
          <w:lang w:eastAsia="en-AU"/>
        </w:rPr>
        <w:t xml:space="preserve">Evidence gathering </w:t>
      </w:r>
      <w:r w:rsidR="00465837">
        <w:rPr>
          <w:lang w:eastAsia="en-AU"/>
        </w:rPr>
        <w:t>will</w:t>
      </w:r>
      <w:r w:rsidR="00081DFC">
        <w:rPr>
          <w:lang w:eastAsia="en-AU"/>
        </w:rPr>
        <w:t xml:space="preserve"> be more time consuming, and </w:t>
      </w:r>
      <w:r w:rsidR="00465837">
        <w:rPr>
          <w:lang w:eastAsia="en-AU"/>
        </w:rPr>
        <w:t>will</w:t>
      </w:r>
      <w:r w:rsidR="00081DFC">
        <w:rPr>
          <w:lang w:eastAsia="en-AU"/>
        </w:rPr>
        <w:t xml:space="preserve"> necessarily go beyond </w:t>
      </w:r>
      <w:r w:rsidR="00EF77B2">
        <w:rPr>
          <w:lang w:eastAsia="en-AU"/>
        </w:rPr>
        <w:t xml:space="preserve">types of evidence currently relied upon </w:t>
      </w:r>
      <w:r w:rsidR="00465837">
        <w:rPr>
          <w:lang w:eastAsia="en-AU"/>
        </w:rPr>
        <w:t xml:space="preserve">in criminal DFV proceedings </w:t>
      </w:r>
      <w:r w:rsidR="00EF77B2">
        <w:rPr>
          <w:lang w:eastAsia="en-AU"/>
        </w:rPr>
        <w:t xml:space="preserve">(for example, </w:t>
      </w:r>
      <w:r w:rsidR="00081DFC">
        <w:rPr>
          <w:lang w:eastAsia="en-AU"/>
        </w:rPr>
        <w:t>a photograph</w:t>
      </w:r>
      <w:r w:rsidR="00EF77B2">
        <w:rPr>
          <w:lang w:eastAsia="en-AU"/>
        </w:rPr>
        <w:t>s of injuries, medical reports)</w:t>
      </w:r>
      <w:r w:rsidR="00081DFC">
        <w:rPr>
          <w:lang w:eastAsia="en-AU"/>
        </w:rPr>
        <w:t xml:space="preserve">. </w:t>
      </w:r>
      <w:r w:rsidR="00465837">
        <w:rPr>
          <w:lang w:eastAsia="en-AU"/>
        </w:rPr>
        <w:t xml:space="preserve"> Police may be</w:t>
      </w:r>
      <w:r w:rsidR="00081DFC">
        <w:rPr>
          <w:lang w:eastAsia="en-AU"/>
        </w:rPr>
        <w:t xml:space="preserve"> require</w:t>
      </w:r>
      <w:r w:rsidR="00465837">
        <w:rPr>
          <w:lang w:eastAsia="en-AU"/>
        </w:rPr>
        <w:t xml:space="preserve">d, for example, </w:t>
      </w:r>
      <w:r w:rsidR="00081DFC">
        <w:rPr>
          <w:lang w:eastAsia="en-AU"/>
        </w:rPr>
        <w:t xml:space="preserve">to examine the history of the relationship </w:t>
      </w:r>
      <w:r w:rsidR="00465837">
        <w:rPr>
          <w:lang w:eastAsia="en-AU"/>
        </w:rPr>
        <w:t>and</w:t>
      </w:r>
      <w:r w:rsidR="00081DFC">
        <w:rPr>
          <w:lang w:eastAsia="en-AU"/>
        </w:rPr>
        <w:t xml:space="preserve"> phone records, bank statements</w:t>
      </w:r>
      <w:r w:rsidR="00EF77B2">
        <w:rPr>
          <w:lang w:eastAsia="en-AU"/>
        </w:rPr>
        <w:t xml:space="preserve">, </w:t>
      </w:r>
      <w:r w:rsidR="00E86951">
        <w:rPr>
          <w:lang w:eastAsia="en-AU"/>
        </w:rPr>
        <w:t xml:space="preserve">and </w:t>
      </w:r>
      <w:r w:rsidR="00EF77B2">
        <w:rPr>
          <w:lang w:eastAsia="en-AU"/>
        </w:rPr>
        <w:t>witness statements</w:t>
      </w:r>
      <w:r w:rsidR="005B2A32">
        <w:rPr>
          <w:lang w:eastAsia="en-AU"/>
        </w:rPr>
        <w:t>.</w:t>
      </w:r>
    </w:p>
    <w:p w14:paraId="4D8F5A96" w14:textId="29C9C4AD" w:rsidR="00BA3AF8" w:rsidRDefault="00465837" w:rsidP="0067521E">
      <w:pPr>
        <w:pStyle w:val="ListParagraph"/>
        <w:numPr>
          <w:ilvl w:val="0"/>
          <w:numId w:val="57"/>
        </w:numPr>
        <w:ind w:left="993" w:hanging="426"/>
        <w:rPr>
          <w:lang w:eastAsia="en-AU"/>
        </w:rPr>
      </w:pPr>
      <w:r>
        <w:rPr>
          <w:lang w:eastAsia="en-AU"/>
        </w:rPr>
        <w:t xml:space="preserve">It </w:t>
      </w:r>
      <w:r w:rsidR="00081DFC">
        <w:rPr>
          <w:lang w:eastAsia="en-AU"/>
        </w:rPr>
        <w:t xml:space="preserve">may be harder to prosecute </w:t>
      </w:r>
      <w:r w:rsidR="00F12673">
        <w:rPr>
          <w:lang w:eastAsia="en-AU"/>
        </w:rPr>
        <w:t>coercive control offences</w:t>
      </w:r>
      <w:r w:rsidR="004326C9">
        <w:rPr>
          <w:lang w:eastAsia="en-AU"/>
        </w:rPr>
        <w:t xml:space="preserve"> and </w:t>
      </w:r>
      <w:r w:rsidR="005B2A32">
        <w:rPr>
          <w:lang w:eastAsia="en-AU"/>
        </w:rPr>
        <w:t xml:space="preserve">hearings may be </w:t>
      </w:r>
      <w:r w:rsidR="004326C9">
        <w:rPr>
          <w:lang w:eastAsia="en-AU"/>
        </w:rPr>
        <w:t>more traumatising for victim-survivors</w:t>
      </w:r>
      <w:r w:rsidR="00BA3AF8">
        <w:rPr>
          <w:lang w:eastAsia="en-AU"/>
        </w:rPr>
        <w:t xml:space="preserve">. </w:t>
      </w:r>
      <w:r w:rsidR="004326C9">
        <w:rPr>
          <w:lang w:eastAsia="en-AU"/>
        </w:rPr>
        <w:t xml:space="preserve"> Proving a coercive controlling offence </w:t>
      </w:r>
      <w:r w:rsidR="00BA3AF8" w:rsidRPr="00BB3C47">
        <w:rPr>
          <w:lang w:eastAsia="en-AU"/>
        </w:rPr>
        <w:t xml:space="preserve">may </w:t>
      </w:r>
      <w:r w:rsidR="004326C9">
        <w:rPr>
          <w:lang w:eastAsia="en-AU"/>
        </w:rPr>
        <w:t>require</w:t>
      </w:r>
      <w:r w:rsidR="00BA3AF8" w:rsidRPr="00BB3C47">
        <w:rPr>
          <w:lang w:eastAsia="en-AU"/>
        </w:rPr>
        <w:t xml:space="preserve"> </w:t>
      </w:r>
      <w:r w:rsidR="00BA3AF8">
        <w:rPr>
          <w:lang w:eastAsia="en-AU"/>
        </w:rPr>
        <w:t>more</w:t>
      </w:r>
      <w:r w:rsidR="00BA3AF8" w:rsidRPr="00BB3C47">
        <w:rPr>
          <w:lang w:eastAsia="en-AU"/>
        </w:rPr>
        <w:t xml:space="preserve"> detailed and contested</w:t>
      </w:r>
      <w:r w:rsidR="00BA3AF8">
        <w:rPr>
          <w:lang w:eastAsia="en-AU"/>
        </w:rPr>
        <w:t xml:space="preserve"> evidence</w:t>
      </w:r>
      <w:r w:rsidR="00BA3AF8" w:rsidRPr="00BB3C47">
        <w:rPr>
          <w:lang w:eastAsia="en-AU"/>
        </w:rPr>
        <w:t xml:space="preserve">, and </w:t>
      </w:r>
      <w:r w:rsidR="004326C9">
        <w:rPr>
          <w:lang w:eastAsia="en-AU"/>
        </w:rPr>
        <w:t xml:space="preserve">may </w:t>
      </w:r>
      <w:r w:rsidR="00BA3AF8">
        <w:rPr>
          <w:lang w:eastAsia="en-AU"/>
        </w:rPr>
        <w:t xml:space="preserve">be </w:t>
      </w:r>
      <w:r w:rsidR="00BA3AF8" w:rsidRPr="00BB3C47">
        <w:rPr>
          <w:lang w:eastAsia="en-AU"/>
        </w:rPr>
        <w:t>more reliant on victim</w:t>
      </w:r>
      <w:r w:rsidR="00CF3298">
        <w:rPr>
          <w:lang w:eastAsia="en-AU"/>
        </w:rPr>
        <w:t xml:space="preserve">-survivors </w:t>
      </w:r>
      <w:r w:rsidR="00BA3AF8" w:rsidRPr="00BB3C47">
        <w:rPr>
          <w:lang w:eastAsia="en-AU"/>
        </w:rPr>
        <w:t>to give evidence</w:t>
      </w:r>
      <w:r w:rsidR="00BA3AF8">
        <w:rPr>
          <w:lang w:eastAsia="en-AU"/>
        </w:rPr>
        <w:t xml:space="preserve">. </w:t>
      </w:r>
      <w:r w:rsidR="0053680E">
        <w:rPr>
          <w:lang w:eastAsia="en-AU"/>
        </w:rPr>
        <w:t xml:space="preserve"> </w:t>
      </w:r>
      <w:r w:rsidR="00BA3AF8">
        <w:rPr>
          <w:lang w:eastAsia="en-AU"/>
        </w:rPr>
        <w:t>This may be p</w:t>
      </w:r>
      <w:r w:rsidR="00BA3AF8" w:rsidRPr="00BB3C47">
        <w:rPr>
          <w:lang w:eastAsia="en-AU"/>
        </w:rPr>
        <w:t xml:space="preserve">articularly </w:t>
      </w:r>
      <w:r w:rsidR="004326C9">
        <w:rPr>
          <w:lang w:eastAsia="en-AU"/>
        </w:rPr>
        <w:t>traumatising</w:t>
      </w:r>
      <w:r w:rsidR="00BA3AF8">
        <w:rPr>
          <w:lang w:eastAsia="en-AU"/>
        </w:rPr>
        <w:t xml:space="preserve"> </w:t>
      </w:r>
      <w:r w:rsidR="00BA3AF8" w:rsidRPr="00BB3C47">
        <w:rPr>
          <w:lang w:eastAsia="en-AU"/>
        </w:rPr>
        <w:t>for Aboriginal</w:t>
      </w:r>
      <w:r w:rsidR="00BA3AF8">
        <w:rPr>
          <w:lang w:eastAsia="en-AU"/>
        </w:rPr>
        <w:t xml:space="preserve"> women</w:t>
      </w:r>
      <w:r w:rsidR="004326C9">
        <w:rPr>
          <w:lang w:eastAsia="en-AU"/>
        </w:rPr>
        <w:t>, women</w:t>
      </w:r>
      <w:r w:rsidR="00BA3AF8">
        <w:rPr>
          <w:lang w:eastAsia="en-AU"/>
        </w:rPr>
        <w:t xml:space="preserve"> from culturally and linguistically diverse backgrounds</w:t>
      </w:r>
      <w:r w:rsidR="004326C9">
        <w:rPr>
          <w:lang w:eastAsia="en-AU"/>
        </w:rPr>
        <w:t>,</w:t>
      </w:r>
      <w:r w:rsidR="00BA3AF8">
        <w:rPr>
          <w:lang w:eastAsia="en-AU"/>
        </w:rPr>
        <w:t xml:space="preserve"> women with disabilities</w:t>
      </w:r>
      <w:r w:rsidR="004326C9">
        <w:rPr>
          <w:lang w:eastAsia="en-AU"/>
        </w:rPr>
        <w:t xml:space="preserve"> and people who are LGB</w:t>
      </w:r>
      <w:r w:rsidR="005B2A32">
        <w:rPr>
          <w:lang w:eastAsia="en-AU"/>
        </w:rPr>
        <w:t>TQ</w:t>
      </w:r>
      <w:r w:rsidR="004326C9">
        <w:rPr>
          <w:lang w:eastAsia="en-AU"/>
        </w:rPr>
        <w:t>I+</w:t>
      </w:r>
      <w:r w:rsidR="00E6360E">
        <w:rPr>
          <w:lang w:eastAsia="en-AU"/>
        </w:rPr>
        <w:t xml:space="preserve"> or gender diverse or non-binary</w:t>
      </w:r>
      <w:r w:rsidR="004326C9">
        <w:rPr>
          <w:lang w:eastAsia="en-AU"/>
        </w:rPr>
        <w:t>.</w:t>
      </w:r>
    </w:p>
    <w:p w14:paraId="0F9314CC" w14:textId="08531DB2" w:rsidR="005D4E26" w:rsidRDefault="005B2A32" w:rsidP="0067521E">
      <w:pPr>
        <w:pStyle w:val="ListParagraph"/>
        <w:numPr>
          <w:ilvl w:val="0"/>
          <w:numId w:val="57"/>
        </w:numPr>
        <w:ind w:left="993" w:hanging="426"/>
        <w:rPr>
          <w:lang w:eastAsia="en-AU"/>
        </w:rPr>
      </w:pPr>
      <w:r>
        <w:rPr>
          <w:lang w:eastAsia="en-AU"/>
        </w:rPr>
        <w:t>It is well documented that v</w:t>
      </w:r>
      <w:r w:rsidRPr="00BB3C47">
        <w:rPr>
          <w:lang w:eastAsia="en-AU"/>
        </w:rPr>
        <w:t>ictim</w:t>
      </w:r>
      <w:r>
        <w:rPr>
          <w:lang w:eastAsia="en-AU"/>
        </w:rPr>
        <w:t>-survivor</w:t>
      </w:r>
      <w:r w:rsidRPr="00BB3C47">
        <w:rPr>
          <w:lang w:eastAsia="en-AU"/>
        </w:rPr>
        <w:t>s of DFV experience the criminal justice system as re-traumatising</w:t>
      </w:r>
      <w:r w:rsidR="009E7D5E">
        <w:rPr>
          <w:lang w:eastAsia="en-AU"/>
        </w:rPr>
        <w:t xml:space="preserve"> and difficult to navigate</w:t>
      </w:r>
      <w:r w:rsidRPr="00BB3C47">
        <w:rPr>
          <w:lang w:eastAsia="en-AU"/>
        </w:rPr>
        <w:t>.</w:t>
      </w:r>
      <w:r>
        <w:rPr>
          <w:rStyle w:val="FootnoteReference"/>
          <w:lang w:eastAsia="en-AU"/>
        </w:rPr>
        <w:footnoteReference w:id="129"/>
      </w:r>
      <w:r>
        <w:rPr>
          <w:lang w:eastAsia="en-AU"/>
        </w:rPr>
        <w:t xml:space="preserve"> </w:t>
      </w:r>
      <w:r w:rsidR="0053680E">
        <w:rPr>
          <w:lang w:eastAsia="en-AU"/>
        </w:rPr>
        <w:t xml:space="preserve"> </w:t>
      </w:r>
      <w:r w:rsidR="005D4E26">
        <w:rPr>
          <w:lang w:eastAsia="en-AU"/>
        </w:rPr>
        <w:t xml:space="preserve">Some opponents </w:t>
      </w:r>
      <w:r w:rsidR="00CE0444">
        <w:rPr>
          <w:lang w:eastAsia="en-AU"/>
        </w:rPr>
        <w:t xml:space="preserve">of criminalisation </w:t>
      </w:r>
      <w:r w:rsidR="005D4E26">
        <w:rPr>
          <w:lang w:eastAsia="en-AU"/>
        </w:rPr>
        <w:t xml:space="preserve">argue that the creation of </w:t>
      </w:r>
      <w:r w:rsidR="005D4E26" w:rsidRPr="00BB3C47">
        <w:rPr>
          <w:lang w:eastAsia="en-AU"/>
        </w:rPr>
        <w:t xml:space="preserve">a new offence won’t change these fundamental </w:t>
      </w:r>
      <w:r w:rsidR="00F35A54">
        <w:rPr>
          <w:lang w:eastAsia="en-AU"/>
        </w:rPr>
        <w:t xml:space="preserve">limitations of our </w:t>
      </w:r>
      <w:r w:rsidR="005D4E26" w:rsidRPr="00BB3C47">
        <w:rPr>
          <w:lang w:eastAsia="en-AU"/>
        </w:rPr>
        <w:t xml:space="preserve">adversarial </w:t>
      </w:r>
      <w:r w:rsidR="005D4E26">
        <w:rPr>
          <w:lang w:eastAsia="en-AU"/>
        </w:rPr>
        <w:t xml:space="preserve">justice </w:t>
      </w:r>
      <w:r w:rsidR="005D4E26" w:rsidRPr="00BB3C47">
        <w:rPr>
          <w:lang w:eastAsia="en-AU"/>
        </w:rPr>
        <w:t>system</w:t>
      </w:r>
      <w:r w:rsidR="009E7D5E">
        <w:rPr>
          <w:lang w:eastAsia="en-AU"/>
        </w:rPr>
        <w:t>, and may exacerbate them</w:t>
      </w:r>
      <w:r w:rsidR="005D4E26" w:rsidRPr="00BB3C47">
        <w:rPr>
          <w:lang w:eastAsia="en-AU"/>
        </w:rPr>
        <w:t>.</w:t>
      </w:r>
      <w:r w:rsidR="005D4E26">
        <w:rPr>
          <w:lang w:eastAsia="en-AU"/>
        </w:rPr>
        <w:t xml:space="preserve">  </w:t>
      </w:r>
    </w:p>
    <w:p w14:paraId="18918398" w14:textId="15E750B4" w:rsidR="00226A65" w:rsidRDefault="00CB0EEC" w:rsidP="0067521E">
      <w:pPr>
        <w:pStyle w:val="ListParagraph"/>
        <w:numPr>
          <w:ilvl w:val="0"/>
          <w:numId w:val="57"/>
        </w:numPr>
        <w:spacing w:after="200"/>
        <w:ind w:left="992" w:hanging="425"/>
        <w:rPr>
          <w:lang w:eastAsia="en-AU"/>
        </w:rPr>
      </w:pPr>
      <w:r>
        <w:rPr>
          <w:lang w:eastAsia="en-AU"/>
        </w:rPr>
        <w:t>M</w:t>
      </w:r>
      <w:r w:rsidR="009C7CAF">
        <w:rPr>
          <w:lang w:eastAsia="en-AU"/>
        </w:rPr>
        <w:t>any long-term victim-survivors are misidentified as defendants in DFV proceedings</w:t>
      </w:r>
      <w:r>
        <w:rPr>
          <w:lang w:eastAsia="en-AU"/>
        </w:rPr>
        <w:t>, either because they use physical violence themselves (in self</w:t>
      </w:r>
      <w:r w:rsidR="00CF3298">
        <w:rPr>
          <w:lang w:eastAsia="en-AU"/>
        </w:rPr>
        <w:t>-</w:t>
      </w:r>
      <w:r>
        <w:rPr>
          <w:lang w:eastAsia="en-AU"/>
        </w:rPr>
        <w:t>defence or ret</w:t>
      </w:r>
      <w:r w:rsidR="00CF3298">
        <w:rPr>
          <w:lang w:eastAsia="en-AU"/>
        </w:rPr>
        <w:t>aliation</w:t>
      </w:r>
      <w:r>
        <w:rPr>
          <w:lang w:eastAsia="en-AU"/>
        </w:rPr>
        <w:t>) or because the offender has use</w:t>
      </w:r>
      <w:r w:rsidR="00CF3298">
        <w:rPr>
          <w:lang w:eastAsia="en-AU"/>
        </w:rPr>
        <w:t>d</w:t>
      </w:r>
      <w:r>
        <w:rPr>
          <w:lang w:eastAsia="en-AU"/>
        </w:rPr>
        <w:t xml:space="preserve"> the justice system to inflict more harm on victims-survivors (often termed </w:t>
      </w:r>
      <w:r w:rsidR="00CF3298">
        <w:rPr>
          <w:lang w:eastAsia="en-AU"/>
        </w:rPr>
        <w:t>‘</w:t>
      </w:r>
      <w:r>
        <w:rPr>
          <w:lang w:eastAsia="en-AU"/>
        </w:rPr>
        <w:t>systems abuse</w:t>
      </w:r>
      <w:r w:rsidR="00CF3298">
        <w:rPr>
          <w:lang w:eastAsia="en-AU"/>
        </w:rPr>
        <w:t>’</w:t>
      </w:r>
      <w:r>
        <w:rPr>
          <w:lang w:eastAsia="en-AU"/>
        </w:rPr>
        <w:t>.</w:t>
      </w:r>
      <w:r w:rsidR="00CF3298">
        <w:rPr>
          <w:lang w:eastAsia="en-AU"/>
        </w:rPr>
        <w:t>)</w:t>
      </w:r>
      <w:r>
        <w:rPr>
          <w:rStyle w:val="FootnoteReference"/>
          <w:lang w:eastAsia="en-AU"/>
        </w:rPr>
        <w:footnoteReference w:id="130"/>
      </w:r>
      <w:r>
        <w:rPr>
          <w:lang w:eastAsia="en-AU"/>
        </w:rPr>
        <w:t xml:space="preserve"> </w:t>
      </w:r>
      <w:r w:rsidR="0053680E">
        <w:rPr>
          <w:lang w:eastAsia="en-AU"/>
        </w:rPr>
        <w:t xml:space="preserve"> </w:t>
      </w:r>
      <w:r>
        <w:rPr>
          <w:lang w:eastAsia="en-AU"/>
        </w:rPr>
        <w:t xml:space="preserve">Some argue that the criminalisation of coercive control – which would require </w:t>
      </w:r>
      <w:r w:rsidR="00C638C7">
        <w:rPr>
          <w:lang w:eastAsia="en-AU"/>
        </w:rPr>
        <w:t>psychological abuse to be prov</w:t>
      </w:r>
      <w:r>
        <w:rPr>
          <w:lang w:eastAsia="en-AU"/>
        </w:rPr>
        <w:t>ed beyond reasonable doubt in an adversarial system – may provide more opportunity for systems abuse</w:t>
      </w:r>
      <w:r w:rsidR="00CF3298">
        <w:rPr>
          <w:lang w:eastAsia="en-AU"/>
        </w:rPr>
        <w:t>.</w:t>
      </w:r>
      <w:r>
        <w:rPr>
          <w:lang w:eastAsia="en-AU"/>
        </w:rPr>
        <w:t xml:space="preserve"> </w:t>
      </w:r>
      <w:r w:rsidR="0053680E">
        <w:rPr>
          <w:lang w:eastAsia="en-AU"/>
        </w:rPr>
        <w:t xml:space="preserve"> </w:t>
      </w:r>
      <w:r w:rsidR="009C7CAF">
        <w:rPr>
          <w:lang w:eastAsia="en-AU"/>
        </w:rPr>
        <w:t>This may particularly affect Aboriginal women</w:t>
      </w:r>
      <w:r w:rsidR="00CF3298">
        <w:rPr>
          <w:lang w:eastAsia="en-AU"/>
        </w:rPr>
        <w:t>, wh</w:t>
      </w:r>
      <w:r w:rsidR="00E0507B">
        <w:rPr>
          <w:lang w:eastAsia="en-AU"/>
        </w:rPr>
        <w:t>o are already reluctant to engage with</w:t>
      </w:r>
      <w:r w:rsidR="00CF3298">
        <w:rPr>
          <w:lang w:eastAsia="en-AU"/>
        </w:rPr>
        <w:t xml:space="preserve"> the justice system due to past </w:t>
      </w:r>
      <w:r w:rsidR="009E7D5E">
        <w:rPr>
          <w:lang w:eastAsia="en-AU"/>
        </w:rPr>
        <w:t xml:space="preserve">policies and </w:t>
      </w:r>
      <w:r w:rsidR="00CF3298">
        <w:rPr>
          <w:lang w:eastAsia="en-AU"/>
        </w:rPr>
        <w:t>practices</w:t>
      </w:r>
      <w:r w:rsidR="009E7D5E">
        <w:rPr>
          <w:lang w:eastAsia="en-AU"/>
        </w:rPr>
        <w:t>,</w:t>
      </w:r>
      <w:r w:rsidR="00CF3298">
        <w:rPr>
          <w:lang w:eastAsia="en-AU"/>
        </w:rPr>
        <w:t xml:space="preserve"> and discrimination</w:t>
      </w:r>
      <w:r>
        <w:rPr>
          <w:lang w:eastAsia="en-AU"/>
        </w:rPr>
        <w:t>.</w:t>
      </w:r>
      <w:r>
        <w:rPr>
          <w:rStyle w:val="FootnoteReference"/>
          <w:lang w:eastAsia="en-AU"/>
        </w:rPr>
        <w:footnoteReference w:id="131"/>
      </w:r>
    </w:p>
    <w:p w14:paraId="21721B83" w14:textId="7587D211" w:rsidR="00D55B87" w:rsidRDefault="00FE5EC1" w:rsidP="0053680E">
      <w:pPr>
        <w:keepLines/>
        <w:rPr>
          <w:lang w:eastAsia="en-AU"/>
        </w:rPr>
      </w:pPr>
      <w:r>
        <w:rPr>
          <w:lang w:eastAsia="en-AU"/>
        </w:rPr>
        <w:lastRenderedPageBreak/>
        <w:t>I</w:t>
      </w:r>
      <w:r w:rsidR="009F1B60">
        <w:rPr>
          <w:lang w:eastAsia="en-AU"/>
        </w:rPr>
        <w:t>n response to these concerns</w:t>
      </w:r>
      <w:r w:rsidR="0053680E">
        <w:rPr>
          <w:lang w:eastAsia="en-AU"/>
        </w:rPr>
        <w:t>,</w:t>
      </w:r>
      <w:r w:rsidR="009F1B60">
        <w:rPr>
          <w:lang w:eastAsia="en-AU"/>
        </w:rPr>
        <w:t xml:space="preserve"> it is worth noting</w:t>
      </w:r>
      <w:r>
        <w:rPr>
          <w:lang w:eastAsia="en-AU"/>
        </w:rPr>
        <w:t xml:space="preserve"> that </w:t>
      </w:r>
      <w:r w:rsidR="006423C9">
        <w:rPr>
          <w:lang w:eastAsia="en-AU"/>
        </w:rPr>
        <w:t>the coercive control offence in Scotland</w:t>
      </w:r>
      <w:r>
        <w:rPr>
          <w:lang w:eastAsia="en-AU"/>
        </w:rPr>
        <w:t xml:space="preserve"> </w:t>
      </w:r>
      <w:r w:rsidR="009F1B60">
        <w:rPr>
          <w:lang w:eastAsia="en-AU"/>
        </w:rPr>
        <w:t>uses</w:t>
      </w:r>
      <w:r w:rsidR="00D55B87" w:rsidRPr="00BB3C47">
        <w:rPr>
          <w:lang w:eastAsia="en-AU"/>
        </w:rPr>
        <w:t xml:space="preserve"> the reasonable person test</w:t>
      </w:r>
      <w:r>
        <w:rPr>
          <w:lang w:eastAsia="en-AU"/>
        </w:rPr>
        <w:t>, and so theoretically a conviction c</w:t>
      </w:r>
      <w:r w:rsidR="00794F16">
        <w:rPr>
          <w:lang w:eastAsia="en-AU"/>
        </w:rPr>
        <w:t>ould</w:t>
      </w:r>
      <w:r>
        <w:rPr>
          <w:lang w:eastAsia="en-AU"/>
        </w:rPr>
        <w:t xml:space="preserve"> be secured without the victim-survivor giving evidence</w:t>
      </w:r>
      <w:r w:rsidR="00794F16">
        <w:rPr>
          <w:lang w:eastAsia="en-AU"/>
        </w:rPr>
        <w:t xml:space="preserve"> about actual harm experienced.</w:t>
      </w:r>
      <w:r>
        <w:rPr>
          <w:lang w:eastAsia="en-AU"/>
        </w:rPr>
        <w:t xml:space="preserve"> </w:t>
      </w:r>
      <w:r w:rsidR="0053680E">
        <w:rPr>
          <w:lang w:eastAsia="en-AU"/>
        </w:rPr>
        <w:t xml:space="preserve"> </w:t>
      </w:r>
      <w:r w:rsidR="00794F16">
        <w:rPr>
          <w:lang w:eastAsia="en-AU"/>
        </w:rPr>
        <w:t xml:space="preserve">In practice, however, evidence </w:t>
      </w:r>
      <w:r w:rsidR="00FB2A1F">
        <w:rPr>
          <w:lang w:eastAsia="en-AU"/>
        </w:rPr>
        <w:t xml:space="preserve">from a victim-survivor is </w:t>
      </w:r>
      <w:r w:rsidR="00794F16">
        <w:rPr>
          <w:lang w:eastAsia="en-AU"/>
        </w:rPr>
        <w:t>likely to be require</w:t>
      </w:r>
      <w:r w:rsidR="00FB2A1F">
        <w:rPr>
          <w:lang w:eastAsia="en-AU"/>
        </w:rPr>
        <w:t>d for a successful prosecution</w:t>
      </w:r>
      <w:r w:rsidR="00794F16">
        <w:rPr>
          <w:lang w:eastAsia="en-AU"/>
        </w:rPr>
        <w:t xml:space="preserve">. </w:t>
      </w:r>
      <w:r w:rsidR="0053680E">
        <w:rPr>
          <w:lang w:eastAsia="en-AU"/>
        </w:rPr>
        <w:t xml:space="preserve"> </w:t>
      </w:r>
      <w:r w:rsidR="00D55B87" w:rsidRPr="00BB3C47">
        <w:rPr>
          <w:lang w:eastAsia="en-AU"/>
        </w:rPr>
        <w:t xml:space="preserve">ANROWS </w:t>
      </w:r>
      <w:r w:rsidR="00AE1B98">
        <w:rPr>
          <w:lang w:eastAsia="en-AU"/>
        </w:rPr>
        <w:t xml:space="preserve">has </w:t>
      </w:r>
      <w:r w:rsidR="00D55B87" w:rsidRPr="00BB3C47">
        <w:rPr>
          <w:lang w:eastAsia="en-AU"/>
        </w:rPr>
        <w:t>argue</w:t>
      </w:r>
      <w:r w:rsidR="00AE1B98">
        <w:rPr>
          <w:lang w:eastAsia="en-AU"/>
        </w:rPr>
        <w:t>d</w:t>
      </w:r>
      <w:r w:rsidR="00D55B87" w:rsidRPr="00BB3C47">
        <w:rPr>
          <w:lang w:eastAsia="en-AU"/>
        </w:rPr>
        <w:t xml:space="preserve"> that coercive control</w:t>
      </w:r>
      <w:r w:rsidR="009F1B60">
        <w:rPr>
          <w:lang w:eastAsia="en-AU"/>
        </w:rPr>
        <w:t>,</w:t>
      </w:r>
      <w:r w:rsidR="00D55B87" w:rsidRPr="00BB3C47">
        <w:rPr>
          <w:lang w:eastAsia="en-AU"/>
        </w:rPr>
        <w:t xml:space="preserve"> properly defined</w:t>
      </w:r>
      <w:r w:rsidR="009F1B60">
        <w:rPr>
          <w:lang w:eastAsia="en-AU"/>
        </w:rPr>
        <w:t>,</w:t>
      </w:r>
      <w:r w:rsidR="00D55B87" w:rsidRPr="00BB3C47">
        <w:rPr>
          <w:lang w:eastAsia="en-AU"/>
        </w:rPr>
        <w:t xml:space="preserve"> may reduce the risk of victim</w:t>
      </w:r>
      <w:r w:rsidR="009F1B60">
        <w:rPr>
          <w:lang w:eastAsia="en-AU"/>
        </w:rPr>
        <w:t>-survivor</w:t>
      </w:r>
      <w:r w:rsidR="00D55B87" w:rsidRPr="00BB3C47">
        <w:rPr>
          <w:lang w:eastAsia="en-AU"/>
        </w:rPr>
        <w:t xml:space="preserve">s being </w:t>
      </w:r>
      <w:r w:rsidR="009F1B60">
        <w:rPr>
          <w:lang w:eastAsia="en-AU"/>
        </w:rPr>
        <w:t>mis</w:t>
      </w:r>
      <w:r w:rsidR="00D55B87" w:rsidRPr="00BB3C47">
        <w:rPr>
          <w:lang w:eastAsia="en-AU"/>
        </w:rPr>
        <w:t xml:space="preserve">identified as defendants because </w:t>
      </w:r>
      <w:r w:rsidR="009E7D5E">
        <w:rPr>
          <w:lang w:eastAsia="en-AU"/>
        </w:rPr>
        <w:t xml:space="preserve">victim-survivors </w:t>
      </w:r>
      <w:r w:rsidR="00D55B87" w:rsidRPr="00BB3C47">
        <w:rPr>
          <w:lang w:eastAsia="en-AU"/>
        </w:rPr>
        <w:t>typically do</w:t>
      </w:r>
      <w:r w:rsidR="0053680E">
        <w:rPr>
          <w:lang w:eastAsia="en-AU"/>
        </w:rPr>
        <w:t xml:space="preserve"> </w:t>
      </w:r>
      <w:r w:rsidR="00D55B87" w:rsidRPr="00BB3C47">
        <w:rPr>
          <w:lang w:eastAsia="en-AU"/>
        </w:rPr>
        <w:t>n</w:t>
      </w:r>
      <w:r w:rsidR="0053680E">
        <w:rPr>
          <w:lang w:eastAsia="en-AU"/>
        </w:rPr>
        <w:t>o</w:t>
      </w:r>
      <w:r w:rsidR="00D55B87" w:rsidRPr="00BB3C47">
        <w:rPr>
          <w:lang w:eastAsia="en-AU"/>
        </w:rPr>
        <w:t>t use coercive control, although they may sometimes retaliate or react with physical violence.</w:t>
      </w:r>
      <w:r w:rsidR="00AE1B98">
        <w:rPr>
          <w:rStyle w:val="FootnoteReference"/>
          <w:lang w:eastAsia="en-AU"/>
        </w:rPr>
        <w:footnoteReference w:id="132"/>
      </w:r>
    </w:p>
    <w:p w14:paraId="5F89555F" w14:textId="11EA6394" w:rsidR="00D7067E" w:rsidRPr="00D7067E" w:rsidRDefault="00D7067E" w:rsidP="0053680E">
      <w:pPr>
        <w:keepNext/>
        <w:rPr>
          <w:b/>
          <w:lang w:eastAsia="en-AU"/>
        </w:rPr>
      </w:pPr>
      <w:r w:rsidRPr="00D7067E">
        <w:rPr>
          <w:b/>
          <w:lang w:eastAsia="en-AU"/>
        </w:rPr>
        <w:t>The impact on Aboriginal people</w:t>
      </w:r>
    </w:p>
    <w:p w14:paraId="7A4115C2" w14:textId="77777777" w:rsidR="000D65EB" w:rsidRDefault="00914A65" w:rsidP="009E7D5E">
      <w:pPr>
        <w:rPr>
          <w:lang w:eastAsia="en-AU"/>
        </w:rPr>
      </w:pPr>
      <w:r>
        <w:rPr>
          <w:lang w:eastAsia="en-AU"/>
        </w:rPr>
        <w:t>A further argument raised by opponents of criminalisation is that the creation of a</w:t>
      </w:r>
      <w:r w:rsidR="00D04398">
        <w:rPr>
          <w:lang w:eastAsia="en-AU"/>
        </w:rPr>
        <w:t xml:space="preserve"> criminal </w:t>
      </w:r>
      <w:r>
        <w:rPr>
          <w:lang w:eastAsia="en-AU"/>
        </w:rPr>
        <w:t xml:space="preserve">offence </w:t>
      </w:r>
      <w:r w:rsidR="00D04398">
        <w:rPr>
          <w:lang w:eastAsia="en-AU"/>
        </w:rPr>
        <w:t>of</w:t>
      </w:r>
      <w:r w:rsidR="00D55B87" w:rsidRPr="00BB3C47">
        <w:rPr>
          <w:lang w:eastAsia="en-AU"/>
        </w:rPr>
        <w:t xml:space="preserve"> coercive control may </w:t>
      </w:r>
      <w:r w:rsidR="0068171F">
        <w:rPr>
          <w:lang w:eastAsia="en-AU"/>
        </w:rPr>
        <w:t xml:space="preserve">increase incarceration rates, particularly for </w:t>
      </w:r>
      <w:r w:rsidR="00D55B87" w:rsidRPr="00BB3C47">
        <w:rPr>
          <w:lang w:eastAsia="en-AU"/>
        </w:rPr>
        <w:t xml:space="preserve">Aboriginal people. </w:t>
      </w:r>
    </w:p>
    <w:p w14:paraId="0B54256A" w14:textId="77777777" w:rsidR="00672DE4" w:rsidRDefault="001C5B26" w:rsidP="009E7D5E">
      <w:pPr>
        <w:rPr>
          <w:lang w:eastAsia="en-AU"/>
        </w:rPr>
      </w:pPr>
      <w:r>
        <w:rPr>
          <w:lang w:eastAsia="en-AU"/>
        </w:rPr>
        <w:t>T</w:t>
      </w:r>
      <w:r w:rsidR="00D04398">
        <w:rPr>
          <w:lang w:eastAsia="en-AU"/>
        </w:rPr>
        <w:t>he NT</w:t>
      </w:r>
      <w:r w:rsidR="00E0507B">
        <w:rPr>
          <w:lang w:eastAsia="en-AU"/>
        </w:rPr>
        <w:t xml:space="preserve"> Government</w:t>
      </w:r>
      <w:r w:rsidR="009E7D5E">
        <w:rPr>
          <w:lang w:eastAsia="en-AU"/>
        </w:rPr>
        <w:t xml:space="preserve"> </w:t>
      </w:r>
      <w:r w:rsidR="00D04398">
        <w:rPr>
          <w:lang w:eastAsia="en-AU"/>
        </w:rPr>
        <w:t>and Aboriginal leaders and organisations are working in partnership</w:t>
      </w:r>
      <w:r w:rsidR="009F1B60">
        <w:rPr>
          <w:lang w:eastAsia="en-AU"/>
        </w:rPr>
        <w:t xml:space="preserve"> to reduce the incarceration rates o</w:t>
      </w:r>
      <w:r w:rsidR="00D7067E">
        <w:rPr>
          <w:lang w:eastAsia="en-AU"/>
        </w:rPr>
        <w:t>f Aboriginal people,</w:t>
      </w:r>
      <w:r w:rsidR="009F1B60">
        <w:rPr>
          <w:lang w:eastAsia="en-AU"/>
        </w:rPr>
        <w:t xml:space="preserve"> through the Aboriginal Justice Agreement. </w:t>
      </w:r>
      <w:r w:rsidR="00914A65">
        <w:rPr>
          <w:lang w:eastAsia="en-AU"/>
        </w:rPr>
        <w:t xml:space="preserve"> </w:t>
      </w:r>
    </w:p>
    <w:p w14:paraId="31963A65" w14:textId="6EE6122C" w:rsidR="005A1A0B" w:rsidRDefault="00914A65" w:rsidP="0053680E">
      <w:pPr>
        <w:spacing w:after="120"/>
        <w:rPr>
          <w:lang w:eastAsia="en-AU"/>
        </w:rPr>
      </w:pPr>
      <w:r>
        <w:rPr>
          <w:lang w:eastAsia="en-AU"/>
        </w:rPr>
        <w:t>Data shows that:</w:t>
      </w:r>
    </w:p>
    <w:p w14:paraId="6B4B0B4E" w14:textId="5D74E5E5" w:rsidR="005A1A0B" w:rsidRDefault="0056749D" w:rsidP="0067521E">
      <w:pPr>
        <w:pStyle w:val="ListParagraph"/>
        <w:numPr>
          <w:ilvl w:val="0"/>
          <w:numId w:val="50"/>
        </w:numPr>
        <w:ind w:left="993" w:hanging="425"/>
        <w:rPr>
          <w:lang w:eastAsia="en-AU"/>
        </w:rPr>
      </w:pPr>
      <w:r>
        <w:rPr>
          <w:lang w:eastAsia="en-AU"/>
        </w:rPr>
        <w:t>The NT has the highest imprisonment rate in any state or territory of Australia</w:t>
      </w:r>
      <w:r w:rsidR="004F1497">
        <w:rPr>
          <w:lang w:eastAsia="en-AU"/>
        </w:rPr>
        <w:t xml:space="preserve">, that is, </w:t>
      </w:r>
      <w:r w:rsidR="0053680E">
        <w:rPr>
          <w:lang w:eastAsia="en-AU"/>
        </w:rPr>
        <w:t>955 </w:t>
      </w:r>
      <w:r>
        <w:rPr>
          <w:lang w:eastAsia="en-AU"/>
        </w:rPr>
        <w:t>prisoners per 100,000 adult population, compared to a national average of 221</w:t>
      </w:r>
      <w:r w:rsidR="00914A65">
        <w:rPr>
          <w:lang w:eastAsia="en-AU"/>
        </w:rPr>
        <w:t>;</w:t>
      </w:r>
      <w:r>
        <w:rPr>
          <w:rStyle w:val="FootnoteReference"/>
          <w:lang w:eastAsia="en-AU"/>
        </w:rPr>
        <w:footnoteReference w:id="133"/>
      </w:r>
      <w:r>
        <w:rPr>
          <w:lang w:eastAsia="en-AU"/>
        </w:rPr>
        <w:t xml:space="preserve"> </w:t>
      </w:r>
    </w:p>
    <w:p w14:paraId="38FDAEA4" w14:textId="3F9FCDA0" w:rsidR="004F1497" w:rsidRDefault="0053680E" w:rsidP="0067521E">
      <w:pPr>
        <w:pStyle w:val="ListParagraph"/>
        <w:numPr>
          <w:ilvl w:val="1"/>
          <w:numId w:val="45"/>
        </w:numPr>
        <w:ind w:left="993" w:hanging="425"/>
        <w:rPr>
          <w:lang w:eastAsia="en-AU"/>
        </w:rPr>
      </w:pPr>
      <w:r>
        <w:rPr>
          <w:lang w:eastAsia="en-AU"/>
        </w:rPr>
        <w:t>63</w:t>
      </w:r>
      <w:r w:rsidR="00C638C7">
        <w:rPr>
          <w:lang w:eastAsia="en-AU"/>
        </w:rPr>
        <w:t xml:space="preserve"> per cent</w:t>
      </w:r>
      <w:r w:rsidR="004F1497">
        <w:rPr>
          <w:lang w:eastAsia="en-AU"/>
        </w:rPr>
        <w:t xml:space="preserve"> of prisoners in the NT are held for DFV</w:t>
      </w:r>
      <w:r w:rsidR="00C638C7">
        <w:rPr>
          <w:lang w:eastAsia="en-AU"/>
        </w:rPr>
        <w:t>-related offences</w:t>
      </w:r>
      <w:r w:rsidR="00914A65">
        <w:rPr>
          <w:lang w:eastAsia="en-AU"/>
        </w:rPr>
        <w:t>;</w:t>
      </w:r>
      <w:r w:rsidR="004F1497">
        <w:rPr>
          <w:rStyle w:val="FootnoteReference"/>
          <w:lang w:eastAsia="en-AU"/>
        </w:rPr>
        <w:footnoteReference w:id="134"/>
      </w:r>
    </w:p>
    <w:p w14:paraId="7721946E" w14:textId="50C9D509" w:rsidR="005A1A0B" w:rsidRDefault="00AD02CF" w:rsidP="0067521E">
      <w:pPr>
        <w:pStyle w:val="ListParagraph"/>
        <w:numPr>
          <w:ilvl w:val="1"/>
          <w:numId w:val="45"/>
        </w:numPr>
        <w:ind w:left="993" w:hanging="425"/>
        <w:rPr>
          <w:lang w:eastAsia="en-AU"/>
        </w:rPr>
      </w:pPr>
      <w:r>
        <w:rPr>
          <w:lang w:eastAsia="en-AU"/>
        </w:rPr>
        <w:t xml:space="preserve">Over </w:t>
      </w:r>
      <w:r w:rsidR="0053680E">
        <w:rPr>
          <w:lang w:eastAsia="en-AU"/>
        </w:rPr>
        <w:t>90 per cent</w:t>
      </w:r>
      <w:r w:rsidR="005A1A0B">
        <w:rPr>
          <w:lang w:eastAsia="en-AU"/>
        </w:rPr>
        <w:t xml:space="preserve"> of defendants in DFV related criminal matters are Aboriginal</w:t>
      </w:r>
      <w:r w:rsidR="00914A65">
        <w:rPr>
          <w:lang w:eastAsia="en-AU"/>
        </w:rPr>
        <w:t>;</w:t>
      </w:r>
      <w:r w:rsidR="005A1A0B">
        <w:rPr>
          <w:rStyle w:val="FootnoteReference"/>
          <w:lang w:eastAsia="en-AU"/>
        </w:rPr>
        <w:footnoteReference w:id="135"/>
      </w:r>
    </w:p>
    <w:p w14:paraId="620DF731" w14:textId="4EF6B1E9" w:rsidR="00611665" w:rsidRDefault="0056749D" w:rsidP="0067521E">
      <w:pPr>
        <w:pStyle w:val="ListParagraph"/>
        <w:numPr>
          <w:ilvl w:val="1"/>
          <w:numId w:val="45"/>
        </w:numPr>
        <w:spacing w:after="200"/>
        <w:ind w:left="992" w:hanging="425"/>
        <w:rPr>
          <w:lang w:eastAsia="en-AU"/>
        </w:rPr>
      </w:pPr>
      <w:r>
        <w:rPr>
          <w:lang w:eastAsia="en-AU"/>
        </w:rPr>
        <w:t>84</w:t>
      </w:r>
      <w:r w:rsidR="0053680E">
        <w:rPr>
          <w:lang w:eastAsia="en-AU"/>
        </w:rPr>
        <w:t xml:space="preserve"> per cent</w:t>
      </w:r>
      <w:r>
        <w:rPr>
          <w:lang w:eastAsia="en-AU"/>
        </w:rPr>
        <w:t xml:space="preserve"> of adult prisoners </w:t>
      </w:r>
      <w:r w:rsidR="00EB2BE9">
        <w:rPr>
          <w:lang w:eastAsia="en-AU"/>
        </w:rPr>
        <w:t xml:space="preserve">in the NT </w:t>
      </w:r>
      <w:r w:rsidR="00065BE1">
        <w:rPr>
          <w:lang w:eastAsia="en-AU"/>
        </w:rPr>
        <w:t>are</w:t>
      </w:r>
      <w:r>
        <w:rPr>
          <w:lang w:eastAsia="en-AU"/>
        </w:rPr>
        <w:t xml:space="preserve"> Aboriginal</w:t>
      </w:r>
      <w:r w:rsidR="00914A65">
        <w:rPr>
          <w:lang w:eastAsia="en-AU"/>
        </w:rPr>
        <w:t>.</w:t>
      </w:r>
      <w:r w:rsidR="00065BE1">
        <w:rPr>
          <w:rStyle w:val="FootnoteReference"/>
          <w:lang w:eastAsia="en-AU"/>
        </w:rPr>
        <w:footnoteReference w:id="136"/>
      </w:r>
      <w:r w:rsidR="004F45AA">
        <w:rPr>
          <w:lang w:eastAsia="en-AU"/>
        </w:rPr>
        <w:t xml:space="preserve"> </w:t>
      </w:r>
    </w:p>
    <w:p w14:paraId="2A46D154" w14:textId="2177F469" w:rsidR="008A5555" w:rsidRDefault="00611665" w:rsidP="008A5555">
      <w:pPr>
        <w:rPr>
          <w:lang w:eastAsia="en-AU"/>
        </w:rPr>
      </w:pPr>
      <w:r>
        <w:rPr>
          <w:lang w:eastAsia="en-AU"/>
        </w:rPr>
        <w:t xml:space="preserve">The Victorian Aboriginal Legal Service (VALS) has considered the question of </w:t>
      </w:r>
      <w:r w:rsidR="008A5555">
        <w:rPr>
          <w:lang w:eastAsia="en-AU"/>
        </w:rPr>
        <w:t xml:space="preserve">whether coercive control should be </w:t>
      </w:r>
      <w:r>
        <w:rPr>
          <w:lang w:eastAsia="en-AU"/>
        </w:rPr>
        <w:t>criminalis</w:t>
      </w:r>
      <w:r w:rsidR="008A5555">
        <w:rPr>
          <w:lang w:eastAsia="en-AU"/>
        </w:rPr>
        <w:t xml:space="preserve">ed </w:t>
      </w:r>
      <w:r w:rsidR="00D7067E">
        <w:rPr>
          <w:lang w:eastAsia="en-AU"/>
        </w:rPr>
        <w:t xml:space="preserve">in Victoria </w:t>
      </w:r>
      <w:r w:rsidR="008A5555">
        <w:rPr>
          <w:lang w:eastAsia="en-AU"/>
        </w:rPr>
        <w:t>and formed the view that:</w:t>
      </w:r>
    </w:p>
    <w:p w14:paraId="3A5C76B3" w14:textId="5DEB7537" w:rsidR="008A5555" w:rsidRPr="0053680E" w:rsidRDefault="008A5555" w:rsidP="008A5555">
      <w:pPr>
        <w:ind w:left="568"/>
        <w:rPr>
          <w:lang w:eastAsia="en-AU"/>
        </w:rPr>
      </w:pPr>
      <w:r w:rsidRPr="0053680E">
        <w:t>“VALS recognises the unique and pervasive harm caused by coercive control, and the need for an improved response to it. We do not, however, support criminalising coercive control as a necessary or appropriate step in Victoria. Like Aboriginal Community Controlled Organisations which have made submissions to reform processes in other states, VALS recognises the particular risks that a criminal offence of coercive control would pose to Aboriginal people.</w:t>
      </w:r>
      <w:r w:rsidR="001C5B26" w:rsidRPr="0053680E">
        <w:rPr>
          <w:rStyle w:val="A7"/>
          <w:sz w:val="22"/>
          <w:szCs w:val="22"/>
        </w:rPr>
        <w:t xml:space="preserve"> </w:t>
      </w:r>
      <w:r w:rsidRPr="0053680E">
        <w:t>Creating a new criminal offence is unlikely to protect women at risk of violence, particularly Aboriginal and Torres Strait Islander women, and risks becoming a new source of harm to victim-survivors of abuse and to the Aboriginal community in Victoria.”</w:t>
      </w:r>
      <w:r w:rsidRPr="0053680E">
        <w:rPr>
          <w:rStyle w:val="FootnoteReference"/>
        </w:rPr>
        <w:footnoteReference w:id="137"/>
      </w:r>
    </w:p>
    <w:p w14:paraId="5ACDCA0F" w14:textId="22A8AEE9" w:rsidR="001C5B26" w:rsidRDefault="008A5555" w:rsidP="0053680E">
      <w:pPr>
        <w:spacing w:after="120"/>
        <w:rPr>
          <w:lang w:eastAsia="en-AU"/>
        </w:rPr>
      </w:pPr>
      <w:r>
        <w:rPr>
          <w:lang w:eastAsia="en-AU"/>
        </w:rPr>
        <w:t>The VALS paper argues that a criminal offence of coercive control would make no difference to the ability of victim-survivors to call police and have someone removed from</w:t>
      </w:r>
      <w:r w:rsidR="001C5B26">
        <w:rPr>
          <w:lang w:eastAsia="en-AU"/>
        </w:rPr>
        <w:t xml:space="preserve"> a dangerous scene.  </w:t>
      </w:r>
      <w:r w:rsidR="00C03ED4">
        <w:rPr>
          <w:lang w:eastAsia="en-AU"/>
        </w:rPr>
        <w:t>However, it is likely to</w:t>
      </w:r>
      <w:r w:rsidR="001C5B26">
        <w:rPr>
          <w:lang w:eastAsia="en-AU"/>
        </w:rPr>
        <w:t xml:space="preserve"> have</w:t>
      </w:r>
      <w:r w:rsidR="00C03ED4">
        <w:rPr>
          <w:lang w:eastAsia="en-AU"/>
        </w:rPr>
        <w:t xml:space="preserve"> the following</w:t>
      </w:r>
      <w:r w:rsidR="001C5B26">
        <w:rPr>
          <w:lang w:eastAsia="en-AU"/>
        </w:rPr>
        <w:t xml:space="preserve"> harmful unintended consequences for Aboriginal people</w:t>
      </w:r>
      <w:r w:rsidR="00C03ED4">
        <w:rPr>
          <w:lang w:eastAsia="en-AU"/>
        </w:rPr>
        <w:t>:</w:t>
      </w:r>
    </w:p>
    <w:p w14:paraId="23CD75F8" w14:textId="0F07F4A8" w:rsidR="001C5B26" w:rsidRPr="0053680E" w:rsidRDefault="001C5B26" w:rsidP="0067521E">
      <w:pPr>
        <w:pStyle w:val="Default"/>
        <w:numPr>
          <w:ilvl w:val="0"/>
          <w:numId w:val="174"/>
        </w:numPr>
        <w:tabs>
          <w:tab w:val="clear" w:pos="1080"/>
        </w:tabs>
        <w:spacing w:after="120"/>
        <w:ind w:left="993"/>
        <w:rPr>
          <w:rFonts w:asciiTheme="minorHAnsi" w:hAnsiTheme="minorHAnsi"/>
          <w:color w:val="auto"/>
          <w:sz w:val="22"/>
          <w:szCs w:val="22"/>
        </w:rPr>
      </w:pPr>
      <w:r w:rsidRPr="0053680E">
        <w:rPr>
          <w:rFonts w:asciiTheme="minorHAnsi" w:hAnsiTheme="minorHAnsi"/>
          <w:color w:val="auto"/>
          <w:sz w:val="22"/>
          <w:szCs w:val="22"/>
        </w:rPr>
        <w:t>“A new offence would expand the ways in which people can become entangled in the criminal legal system, with disproportionate impacts on Aboriginal people in Victoria</w:t>
      </w:r>
      <w:r w:rsidR="00E97AB0">
        <w:rPr>
          <w:rFonts w:asciiTheme="minorHAnsi" w:hAnsiTheme="minorHAnsi"/>
          <w:color w:val="auto"/>
          <w:sz w:val="22"/>
          <w:szCs w:val="22"/>
        </w:rPr>
        <w:t>.</w:t>
      </w:r>
      <w:r w:rsidRPr="0053680E">
        <w:rPr>
          <w:rFonts w:asciiTheme="minorHAnsi" w:hAnsiTheme="minorHAnsi"/>
          <w:color w:val="auto"/>
          <w:sz w:val="22"/>
          <w:szCs w:val="22"/>
        </w:rPr>
        <w:t xml:space="preserve"> </w:t>
      </w:r>
    </w:p>
    <w:p w14:paraId="1C3380BD" w14:textId="0C268C17" w:rsidR="001C5B26" w:rsidRPr="0053680E" w:rsidRDefault="001C5B26" w:rsidP="0067521E">
      <w:pPr>
        <w:pStyle w:val="Default"/>
        <w:numPr>
          <w:ilvl w:val="0"/>
          <w:numId w:val="174"/>
        </w:numPr>
        <w:tabs>
          <w:tab w:val="clear" w:pos="1080"/>
        </w:tabs>
        <w:spacing w:after="120"/>
        <w:ind w:left="993"/>
        <w:rPr>
          <w:rFonts w:asciiTheme="minorHAnsi" w:hAnsiTheme="minorHAnsi"/>
          <w:color w:val="auto"/>
          <w:sz w:val="22"/>
          <w:szCs w:val="22"/>
        </w:rPr>
      </w:pPr>
      <w:r w:rsidRPr="0053680E">
        <w:rPr>
          <w:rFonts w:asciiTheme="minorHAnsi" w:hAnsiTheme="minorHAnsi"/>
          <w:color w:val="auto"/>
          <w:sz w:val="22"/>
          <w:szCs w:val="22"/>
        </w:rPr>
        <w:lastRenderedPageBreak/>
        <w:t>Expanded criminal sanctions may reduce reporting of domestic abuse, especially among Aboriginal people, for those who fear that trying to seek help will mean sending their partner to prison and exposing them to the dangers Aboriginal people face in custody</w:t>
      </w:r>
      <w:r w:rsidR="00E97AB0">
        <w:rPr>
          <w:rFonts w:asciiTheme="minorHAnsi" w:hAnsiTheme="minorHAnsi"/>
          <w:color w:val="auto"/>
          <w:sz w:val="22"/>
          <w:szCs w:val="22"/>
        </w:rPr>
        <w:t>.</w:t>
      </w:r>
      <w:r w:rsidRPr="0053680E">
        <w:rPr>
          <w:rFonts w:asciiTheme="minorHAnsi" w:hAnsiTheme="minorHAnsi"/>
          <w:color w:val="auto"/>
          <w:sz w:val="22"/>
          <w:szCs w:val="22"/>
        </w:rPr>
        <w:t xml:space="preserve"> </w:t>
      </w:r>
    </w:p>
    <w:p w14:paraId="7EDE9DBC" w14:textId="61C511F7" w:rsidR="001C5B26" w:rsidRPr="0053680E" w:rsidRDefault="001C5B26" w:rsidP="0067521E">
      <w:pPr>
        <w:pStyle w:val="Default"/>
        <w:numPr>
          <w:ilvl w:val="0"/>
          <w:numId w:val="174"/>
        </w:numPr>
        <w:tabs>
          <w:tab w:val="clear" w:pos="1080"/>
        </w:tabs>
        <w:spacing w:after="120"/>
        <w:ind w:left="993"/>
        <w:rPr>
          <w:rFonts w:asciiTheme="minorHAnsi" w:hAnsiTheme="minorHAnsi"/>
          <w:color w:val="auto"/>
          <w:sz w:val="22"/>
          <w:szCs w:val="22"/>
        </w:rPr>
      </w:pPr>
      <w:r w:rsidRPr="0053680E">
        <w:rPr>
          <w:rFonts w:asciiTheme="minorHAnsi" w:hAnsiTheme="minorHAnsi"/>
          <w:color w:val="auto"/>
          <w:sz w:val="22"/>
          <w:szCs w:val="22"/>
        </w:rPr>
        <w:t xml:space="preserve">Victim-survivors of domestic abuse are frequently misidentified as having committed abuse by police and courts – both unintentionally, and due to deliberate manipulation by the person who has actually offended. A coercive control offence expands opportunities for this to occur. </w:t>
      </w:r>
    </w:p>
    <w:p w14:paraId="73F4D22A" w14:textId="7D091E59" w:rsidR="001C5B26" w:rsidRPr="0053680E" w:rsidRDefault="001C5B26" w:rsidP="0067521E">
      <w:pPr>
        <w:pStyle w:val="Default"/>
        <w:numPr>
          <w:ilvl w:val="0"/>
          <w:numId w:val="174"/>
        </w:numPr>
        <w:tabs>
          <w:tab w:val="clear" w:pos="1080"/>
        </w:tabs>
        <w:spacing w:after="200"/>
        <w:ind w:left="992" w:hanging="357"/>
        <w:rPr>
          <w:rFonts w:asciiTheme="minorHAnsi" w:hAnsiTheme="minorHAnsi"/>
          <w:color w:val="auto"/>
          <w:sz w:val="22"/>
          <w:szCs w:val="22"/>
        </w:rPr>
      </w:pPr>
      <w:r w:rsidRPr="0053680E">
        <w:rPr>
          <w:rFonts w:asciiTheme="minorHAnsi" w:hAnsiTheme="minorHAnsi"/>
          <w:color w:val="auto"/>
          <w:sz w:val="22"/>
          <w:szCs w:val="22"/>
        </w:rPr>
        <w:t xml:space="preserve">A coercive control offence would have significant ambiguity and room for interpretation, likely to lead to disproportionate enforcement against Aboriginal people...” </w:t>
      </w:r>
      <w:r w:rsidR="00C03ED4" w:rsidRPr="0053680E">
        <w:rPr>
          <w:rStyle w:val="FootnoteReference"/>
          <w:rFonts w:asciiTheme="minorHAnsi" w:hAnsiTheme="minorHAnsi"/>
          <w:color w:val="auto"/>
          <w:sz w:val="22"/>
          <w:szCs w:val="22"/>
        </w:rPr>
        <w:footnoteReference w:id="138"/>
      </w:r>
    </w:p>
    <w:p w14:paraId="563BC44A" w14:textId="54122D17" w:rsidR="008A5555" w:rsidRDefault="001C5B26" w:rsidP="001C5B26">
      <w:r w:rsidRPr="001C5B26">
        <w:t xml:space="preserve">VALS’ recommends </w:t>
      </w:r>
      <w:r w:rsidR="008A5555" w:rsidRPr="001C5B26">
        <w:t>agains</w:t>
      </w:r>
      <w:r>
        <w:t>t criminalising</w:t>
      </w:r>
      <w:r w:rsidR="008A5555" w:rsidRPr="001C5B26">
        <w:t>, and in support of alternative approaches to deali</w:t>
      </w:r>
      <w:r w:rsidR="00C03ED4">
        <w:t>ng with coercive control, including strengthening of culturally safe support services to make it easier for victim-survivors to leave a dangerous situation.</w:t>
      </w:r>
    </w:p>
    <w:p w14:paraId="50E40C2A" w14:textId="6A467FD4" w:rsidR="00230638" w:rsidRPr="00672DE4" w:rsidRDefault="00230638" w:rsidP="00230638">
      <w:pPr>
        <w:rPr>
          <w:b/>
          <w:lang w:eastAsia="en-AU"/>
        </w:rPr>
      </w:pPr>
      <w:r>
        <w:rPr>
          <w:b/>
          <w:lang w:eastAsia="en-AU"/>
        </w:rPr>
        <w:t>Limited evidence about the impact of a new offence in</w:t>
      </w:r>
      <w:r w:rsidRPr="00672DE4">
        <w:rPr>
          <w:b/>
          <w:lang w:eastAsia="en-AU"/>
        </w:rPr>
        <w:t xml:space="preserve"> other jurisdictions</w:t>
      </w:r>
    </w:p>
    <w:p w14:paraId="1C22E929" w14:textId="18D91CF6" w:rsidR="00230638" w:rsidRPr="00D069D7" w:rsidRDefault="00230638" w:rsidP="00230638">
      <w:pPr>
        <w:rPr>
          <w:lang w:eastAsia="en-AU"/>
        </w:rPr>
      </w:pPr>
      <w:r>
        <w:rPr>
          <w:lang w:eastAsia="en-AU"/>
        </w:rPr>
        <w:t>There is not yet sufficient evidence from other jurisdictions about the positive or negative impact a new offence of coercive control may be having in the community.  It may be premature to introduce a coercive control offence in the NT until there is more evidence of how it is working in other jurisdictions, particularly given the impact of the Covid</w:t>
      </w:r>
      <w:r w:rsidR="00D069D7">
        <w:rPr>
          <w:lang w:eastAsia="en-AU"/>
        </w:rPr>
        <w:t>-19 pandemic from 2020 to 2022.</w:t>
      </w:r>
    </w:p>
    <w:p w14:paraId="454F5809" w14:textId="77777777" w:rsidR="00EB1E51" w:rsidRPr="00E9158B" w:rsidRDefault="00EB1E51" w:rsidP="00E97AB0">
      <w:pPr>
        <w:pStyle w:val="Heading2"/>
        <w:keepNext/>
        <w:ind w:left="1134" w:hanging="578"/>
        <w:rPr>
          <w:lang w:eastAsia="en-AU"/>
        </w:rPr>
      </w:pPr>
      <w:bookmarkStart w:id="32" w:name="_Toc112051822"/>
      <w:r w:rsidRPr="00E9158B">
        <w:rPr>
          <w:lang w:eastAsia="en-AU"/>
        </w:rPr>
        <w:t>Should coercive control be criminalised in the NT?</w:t>
      </w:r>
      <w:bookmarkEnd w:id="32"/>
    </w:p>
    <w:p w14:paraId="0F7B1B2D" w14:textId="566D277A" w:rsidR="00611665" w:rsidRDefault="00EB3D79" w:rsidP="00236745">
      <w:pPr>
        <w:rPr>
          <w:lang w:eastAsia="en-AU"/>
        </w:rPr>
      </w:pPr>
      <w:r>
        <w:rPr>
          <w:lang w:eastAsia="en-AU"/>
        </w:rPr>
        <w:t xml:space="preserve">There is </w:t>
      </w:r>
      <w:r w:rsidR="00E9158B">
        <w:rPr>
          <w:lang w:eastAsia="en-AU"/>
        </w:rPr>
        <w:t>a need for legislative and non-legislative reforms to improve responses t</w:t>
      </w:r>
      <w:r w:rsidR="002B2AC5">
        <w:rPr>
          <w:lang w:eastAsia="en-AU"/>
        </w:rPr>
        <w:t xml:space="preserve">o coercive control </w:t>
      </w:r>
      <w:r w:rsidR="00230638">
        <w:rPr>
          <w:lang w:eastAsia="en-AU"/>
        </w:rPr>
        <w:t xml:space="preserve">and DFV </w:t>
      </w:r>
      <w:r w:rsidR="002B2AC5">
        <w:rPr>
          <w:lang w:eastAsia="en-AU"/>
        </w:rPr>
        <w:t xml:space="preserve">in the NT.  </w:t>
      </w:r>
      <w:r w:rsidR="00E9158B">
        <w:rPr>
          <w:lang w:eastAsia="en-AU"/>
        </w:rPr>
        <w:t>However, t</w:t>
      </w:r>
      <w:r w:rsidR="002B2AC5">
        <w:rPr>
          <w:lang w:eastAsia="en-AU"/>
        </w:rPr>
        <w:t xml:space="preserve">here are good </w:t>
      </w:r>
      <w:r w:rsidR="003358A8">
        <w:rPr>
          <w:lang w:eastAsia="en-AU"/>
        </w:rPr>
        <w:t>reas</w:t>
      </w:r>
      <w:r w:rsidR="00611665">
        <w:rPr>
          <w:lang w:eastAsia="en-AU"/>
        </w:rPr>
        <w:t>ons to</w:t>
      </w:r>
      <w:r w:rsidR="003358A8">
        <w:rPr>
          <w:lang w:eastAsia="en-AU"/>
        </w:rPr>
        <w:t xml:space="preserve"> not criminalise coercive control prematurely</w:t>
      </w:r>
      <w:r w:rsidR="00611665">
        <w:rPr>
          <w:lang w:eastAsia="en-AU"/>
        </w:rPr>
        <w:t xml:space="preserve"> in the NT</w:t>
      </w:r>
      <w:r w:rsidR="003358A8">
        <w:rPr>
          <w:lang w:eastAsia="en-AU"/>
        </w:rPr>
        <w:t>.</w:t>
      </w:r>
    </w:p>
    <w:p w14:paraId="32857D8B" w14:textId="77777777" w:rsidR="000C366D" w:rsidRDefault="000C366D" w:rsidP="000C366D">
      <w:pPr>
        <w:pStyle w:val="Heading3"/>
        <w:rPr>
          <w:lang w:eastAsia="en-AU"/>
        </w:rPr>
      </w:pPr>
      <w:bookmarkStart w:id="33" w:name="_Toc112051823"/>
      <w:r>
        <w:rPr>
          <w:lang w:eastAsia="en-AU"/>
        </w:rPr>
        <w:t>Low awareness of coercive control</w:t>
      </w:r>
      <w:r w:rsidR="00DB285B">
        <w:rPr>
          <w:lang w:eastAsia="en-AU"/>
        </w:rPr>
        <w:t xml:space="preserve"> in the NT</w:t>
      </w:r>
      <w:bookmarkEnd w:id="33"/>
    </w:p>
    <w:p w14:paraId="462E0760" w14:textId="68E450A8" w:rsidR="000C366D" w:rsidRDefault="000C366D" w:rsidP="000C366D">
      <w:pPr>
        <w:rPr>
          <w:lang w:eastAsia="en-AU"/>
        </w:rPr>
      </w:pPr>
      <w:r>
        <w:rPr>
          <w:lang w:eastAsia="en-AU"/>
        </w:rPr>
        <w:t xml:space="preserve">While there is no survey evidence to draw on, </w:t>
      </w:r>
      <w:r w:rsidR="00DB285B">
        <w:rPr>
          <w:lang w:eastAsia="en-AU"/>
        </w:rPr>
        <w:t>anecdotal evidence suggests</w:t>
      </w:r>
      <w:r>
        <w:rPr>
          <w:lang w:eastAsia="en-AU"/>
        </w:rPr>
        <w:t xml:space="preserve"> that many Territorians do not know what coercive control is. </w:t>
      </w:r>
      <w:r w:rsidR="00E97AB0">
        <w:rPr>
          <w:lang w:eastAsia="en-AU"/>
        </w:rPr>
        <w:t xml:space="preserve"> </w:t>
      </w:r>
      <w:r>
        <w:rPr>
          <w:lang w:eastAsia="en-AU"/>
        </w:rPr>
        <w:t>Even in families where coercive control is occurring</w:t>
      </w:r>
      <w:r w:rsidR="002D7B73">
        <w:rPr>
          <w:lang w:eastAsia="en-AU"/>
        </w:rPr>
        <w:t>,</w:t>
      </w:r>
      <w:r>
        <w:rPr>
          <w:lang w:eastAsia="en-AU"/>
        </w:rPr>
        <w:t xml:space="preserve"> the victim</w:t>
      </w:r>
      <w:r w:rsidR="002D7B73">
        <w:rPr>
          <w:lang w:eastAsia="en-AU"/>
        </w:rPr>
        <w:t>-survivor</w:t>
      </w:r>
      <w:r w:rsidR="00DB285B">
        <w:rPr>
          <w:lang w:eastAsia="en-AU"/>
        </w:rPr>
        <w:t>, the</w:t>
      </w:r>
      <w:r>
        <w:rPr>
          <w:lang w:eastAsia="en-AU"/>
        </w:rPr>
        <w:t xml:space="preserve"> perpetrator</w:t>
      </w:r>
      <w:r w:rsidR="00DB285B">
        <w:rPr>
          <w:lang w:eastAsia="en-AU"/>
        </w:rPr>
        <w:t>,</w:t>
      </w:r>
      <w:r>
        <w:rPr>
          <w:lang w:eastAsia="en-AU"/>
        </w:rPr>
        <w:t xml:space="preserve"> or both</w:t>
      </w:r>
      <w:r w:rsidR="00DB285B">
        <w:rPr>
          <w:lang w:eastAsia="en-AU"/>
        </w:rPr>
        <w:t>,</w:t>
      </w:r>
      <w:r>
        <w:rPr>
          <w:lang w:eastAsia="en-AU"/>
        </w:rPr>
        <w:t xml:space="preserve"> may be unaware that it is a form of domestic violence.  E</w:t>
      </w:r>
      <w:r w:rsidR="00DB285B">
        <w:rPr>
          <w:lang w:eastAsia="en-AU"/>
        </w:rPr>
        <w:t>vidence from other jurisdictions shows that many</w:t>
      </w:r>
      <w:r>
        <w:rPr>
          <w:lang w:eastAsia="en-AU"/>
        </w:rPr>
        <w:t xml:space="preserve"> victim-survivors, in the absence of physical violence, have not recognised coercive control as a form of domestic violence</w:t>
      </w:r>
      <w:r w:rsidR="00DB285B">
        <w:rPr>
          <w:lang w:eastAsia="en-AU"/>
        </w:rPr>
        <w:t xml:space="preserve"> or sought assistance for it</w:t>
      </w:r>
      <w:r>
        <w:rPr>
          <w:lang w:eastAsia="en-AU"/>
        </w:rPr>
        <w:t>.</w:t>
      </w:r>
      <w:r w:rsidR="00DB285B">
        <w:rPr>
          <w:rStyle w:val="FootnoteReference"/>
          <w:lang w:eastAsia="en-AU"/>
        </w:rPr>
        <w:footnoteReference w:id="139"/>
      </w:r>
      <w:r>
        <w:rPr>
          <w:lang w:eastAsia="en-AU"/>
        </w:rPr>
        <w:t xml:space="preserve">  </w:t>
      </w:r>
    </w:p>
    <w:p w14:paraId="6EDDCB75" w14:textId="7509FF3C" w:rsidR="000C366D" w:rsidRDefault="000C366D" w:rsidP="000C366D">
      <w:pPr>
        <w:rPr>
          <w:lang w:eastAsia="en-AU"/>
        </w:rPr>
      </w:pPr>
      <w:r>
        <w:rPr>
          <w:lang w:eastAsia="en-AU"/>
        </w:rPr>
        <w:t xml:space="preserve">There is also insufficient understanding of how coercive controlling behaviour manifests in Aboriginal families and communities. </w:t>
      </w:r>
      <w:r w:rsidR="00E97AB0">
        <w:rPr>
          <w:lang w:eastAsia="en-AU"/>
        </w:rPr>
        <w:t xml:space="preserve"> </w:t>
      </w:r>
      <w:r>
        <w:rPr>
          <w:lang w:eastAsia="en-AU"/>
        </w:rPr>
        <w:t>Even if the conduct is similar in Indigenous and non-Indigenous families, there may be different terminology and</w:t>
      </w:r>
      <w:r w:rsidR="002D7B73">
        <w:rPr>
          <w:lang w:eastAsia="en-AU"/>
        </w:rPr>
        <w:t xml:space="preserve"> a different</w:t>
      </w:r>
      <w:r>
        <w:rPr>
          <w:lang w:eastAsia="en-AU"/>
        </w:rPr>
        <w:t xml:space="preserve"> context for the behaviour that ought to be taken into account.</w:t>
      </w:r>
    </w:p>
    <w:p w14:paraId="4DD342AF" w14:textId="77777777" w:rsidR="00EE1482" w:rsidRDefault="00EE1482" w:rsidP="000C366D">
      <w:pPr>
        <w:rPr>
          <w:lang w:eastAsia="en-AU"/>
        </w:rPr>
      </w:pPr>
      <w:r>
        <w:rPr>
          <w:lang w:eastAsia="en-AU"/>
        </w:rPr>
        <w:t xml:space="preserve">Similarly there is anecdotal evidence that professionals like police, doctors, nurses, psychologists have low understanding of coercive control and how to respond. </w:t>
      </w:r>
    </w:p>
    <w:p w14:paraId="3CB22517" w14:textId="77777777" w:rsidR="000C366D" w:rsidRDefault="000C366D" w:rsidP="00236745">
      <w:pPr>
        <w:rPr>
          <w:lang w:eastAsia="en-AU"/>
        </w:rPr>
      </w:pPr>
      <w:r>
        <w:rPr>
          <w:lang w:eastAsia="en-AU"/>
        </w:rPr>
        <w:t xml:space="preserve">Before </w:t>
      </w:r>
      <w:r w:rsidR="002D7B73">
        <w:rPr>
          <w:lang w:eastAsia="en-AU"/>
        </w:rPr>
        <w:t xml:space="preserve">coercive </w:t>
      </w:r>
      <w:r>
        <w:rPr>
          <w:lang w:eastAsia="en-AU"/>
        </w:rPr>
        <w:t xml:space="preserve">control is criminalised in the NT, </w:t>
      </w:r>
      <w:r w:rsidR="00EE1482">
        <w:rPr>
          <w:lang w:eastAsia="en-AU"/>
        </w:rPr>
        <w:t>there must be extensive efforts to raise community awareness about this conduct and to train professionals in how to respond.</w:t>
      </w:r>
    </w:p>
    <w:p w14:paraId="1945C451" w14:textId="77777777" w:rsidR="003D1141" w:rsidRDefault="00945EFA" w:rsidP="00E97AB0">
      <w:pPr>
        <w:pStyle w:val="Heading3"/>
        <w:keepNext/>
        <w:rPr>
          <w:lang w:eastAsia="en-AU"/>
        </w:rPr>
      </w:pPr>
      <w:bookmarkStart w:id="34" w:name="_Toc112051824"/>
      <w:r>
        <w:rPr>
          <w:lang w:eastAsia="en-AU"/>
        </w:rPr>
        <w:lastRenderedPageBreak/>
        <w:t xml:space="preserve">Comprehensive implementation </w:t>
      </w:r>
      <w:r w:rsidR="00C071DF">
        <w:rPr>
          <w:lang w:eastAsia="en-AU"/>
        </w:rPr>
        <w:t xml:space="preserve">needs to </w:t>
      </w:r>
      <w:r w:rsidR="000C366D">
        <w:rPr>
          <w:lang w:eastAsia="en-AU"/>
        </w:rPr>
        <w:t>precede criminalisation</w:t>
      </w:r>
      <w:bookmarkEnd w:id="34"/>
    </w:p>
    <w:p w14:paraId="24890C8D" w14:textId="2968E735" w:rsidR="00095D45" w:rsidRDefault="00EE1482" w:rsidP="00E97AB0">
      <w:pPr>
        <w:keepLines/>
        <w:rPr>
          <w:lang w:eastAsia="en-AU"/>
        </w:rPr>
      </w:pPr>
      <w:r>
        <w:rPr>
          <w:lang w:eastAsia="en-AU"/>
        </w:rPr>
        <w:t>The</w:t>
      </w:r>
      <w:r w:rsidR="00E9158B">
        <w:rPr>
          <w:lang w:eastAsia="en-AU"/>
        </w:rPr>
        <w:t xml:space="preserve"> Scot</w:t>
      </w:r>
      <w:r>
        <w:rPr>
          <w:lang w:eastAsia="en-AU"/>
        </w:rPr>
        <w:t>tish experiences suggests</w:t>
      </w:r>
      <w:r w:rsidR="00E9158B">
        <w:rPr>
          <w:lang w:eastAsia="en-AU"/>
        </w:rPr>
        <w:t xml:space="preserve"> that </w:t>
      </w:r>
      <w:r w:rsidR="002B2AC5">
        <w:rPr>
          <w:lang w:eastAsia="en-AU"/>
        </w:rPr>
        <w:t xml:space="preserve">legislative reform </w:t>
      </w:r>
      <w:r>
        <w:rPr>
          <w:lang w:eastAsia="en-AU"/>
        </w:rPr>
        <w:t xml:space="preserve">to criminalise coercive control </w:t>
      </w:r>
      <w:r w:rsidR="002B2AC5">
        <w:rPr>
          <w:lang w:eastAsia="en-AU"/>
        </w:rPr>
        <w:t>need</w:t>
      </w:r>
      <w:r>
        <w:rPr>
          <w:lang w:eastAsia="en-AU"/>
        </w:rPr>
        <w:t>s</w:t>
      </w:r>
      <w:r w:rsidR="002B2AC5">
        <w:rPr>
          <w:lang w:eastAsia="en-AU"/>
        </w:rPr>
        <w:t xml:space="preserve"> to be preceded by significant preparation and change management. </w:t>
      </w:r>
      <w:r w:rsidR="00E97AB0">
        <w:rPr>
          <w:lang w:eastAsia="en-AU"/>
        </w:rPr>
        <w:t xml:space="preserve"> </w:t>
      </w:r>
      <w:r w:rsidR="00F71C85">
        <w:rPr>
          <w:lang w:eastAsia="en-AU"/>
        </w:rPr>
        <w:t>There was a need to raise p</w:t>
      </w:r>
      <w:r w:rsidR="002B2AC5">
        <w:rPr>
          <w:lang w:eastAsia="en-AU"/>
        </w:rPr>
        <w:t>ublic awareness</w:t>
      </w:r>
      <w:r w:rsidR="00F71C85">
        <w:rPr>
          <w:lang w:eastAsia="en-AU"/>
        </w:rPr>
        <w:t xml:space="preserve"> of what coercive control is</w:t>
      </w:r>
      <w:r w:rsidR="002B2AC5">
        <w:rPr>
          <w:lang w:eastAsia="en-AU"/>
        </w:rPr>
        <w:t>,</w:t>
      </w:r>
      <w:r w:rsidR="00F71C85">
        <w:rPr>
          <w:lang w:eastAsia="en-AU"/>
        </w:rPr>
        <w:t xml:space="preserve"> </w:t>
      </w:r>
      <w:r>
        <w:rPr>
          <w:lang w:eastAsia="en-AU"/>
        </w:rPr>
        <w:t>co-design</w:t>
      </w:r>
      <w:r w:rsidR="00F71C85">
        <w:rPr>
          <w:lang w:eastAsia="en-AU"/>
        </w:rPr>
        <w:t xml:space="preserve"> legislation,</w:t>
      </w:r>
      <w:r w:rsidR="002B2AC5">
        <w:rPr>
          <w:lang w:eastAsia="en-AU"/>
        </w:rPr>
        <w:t xml:space="preserve"> </w:t>
      </w:r>
      <w:r w:rsidR="00F71C85">
        <w:rPr>
          <w:lang w:eastAsia="en-AU"/>
        </w:rPr>
        <w:t xml:space="preserve">train </w:t>
      </w:r>
      <w:r w:rsidR="002B2AC5">
        <w:rPr>
          <w:lang w:eastAsia="en-AU"/>
        </w:rPr>
        <w:t xml:space="preserve">police, prosecutors, </w:t>
      </w:r>
      <w:r w:rsidR="00F71C85">
        <w:rPr>
          <w:lang w:eastAsia="en-AU"/>
        </w:rPr>
        <w:t xml:space="preserve">lawyers, </w:t>
      </w:r>
      <w:r w:rsidR="002B2AC5">
        <w:rPr>
          <w:lang w:eastAsia="en-AU"/>
        </w:rPr>
        <w:t xml:space="preserve">judges and </w:t>
      </w:r>
      <w:r>
        <w:rPr>
          <w:lang w:eastAsia="en-AU"/>
        </w:rPr>
        <w:t xml:space="preserve">other </w:t>
      </w:r>
      <w:r w:rsidR="002B2AC5">
        <w:rPr>
          <w:lang w:eastAsia="en-AU"/>
        </w:rPr>
        <w:t>front</w:t>
      </w:r>
      <w:r w:rsidR="00F71C85">
        <w:rPr>
          <w:lang w:eastAsia="en-AU"/>
        </w:rPr>
        <w:t>-</w:t>
      </w:r>
      <w:r w:rsidR="002B2AC5">
        <w:rPr>
          <w:lang w:eastAsia="en-AU"/>
        </w:rPr>
        <w:t>line responder</w:t>
      </w:r>
      <w:r w:rsidR="00F71C85">
        <w:rPr>
          <w:lang w:eastAsia="en-AU"/>
        </w:rPr>
        <w:t>s</w:t>
      </w:r>
      <w:r w:rsidR="002B2AC5">
        <w:rPr>
          <w:lang w:eastAsia="en-AU"/>
        </w:rPr>
        <w:t xml:space="preserve">, </w:t>
      </w:r>
      <w:r w:rsidR="00F71C85">
        <w:rPr>
          <w:lang w:eastAsia="en-AU"/>
        </w:rPr>
        <w:t xml:space="preserve">develop </w:t>
      </w:r>
      <w:r w:rsidR="002B2AC5">
        <w:rPr>
          <w:lang w:eastAsia="en-AU"/>
        </w:rPr>
        <w:t xml:space="preserve">procedures </w:t>
      </w:r>
      <w:r w:rsidR="00F71C85">
        <w:rPr>
          <w:lang w:eastAsia="en-AU"/>
        </w:rPr>
        <w:t xml:space="preserve">and tools, </w:t>
      </w:r>
      <w:r>
        <w:rPr>
          <w:lang w:eastAsia="en-AU"/>
        </w:rPr>
        <w:t xml:space="preserve">and </w:t>
      </w:r>
      <w:r w:rsidR="00F71C85">
        <w:rPr>
          <w:lang w:eastAsia="en-AU"/>
        </w:rPr>
        <w:t>set up systems for good collaboration</w:t>
      </w:r>
      <w:r w:rsidR="002B2AC5">
        <w:rPr>
          <w:lang w:eastAsia="en-AU"/>
        </w:rPr>
        <w:t>.  This helped avoid the risks associated with criminalising coercive co</w:t>
      </w:r>
      <w:r w:rsidR="00815FD6">
        <w:rPr>
          <w:lang w:eastAsia="en-AU"/>
        </w:rPr>
        <w:t>ntrol and created</w:t>
      </w:r>
      <w:r w:rsidR="00F71C85">
        <w:rPr>
          <w:lang w:eastAsia="en-AU"/>
        </w:rPr>
        <w:t xml:space="preserve"> greater alignment between the justice system and specialist domestic violence services</w:t>
      </w:r>
      <w:r w:rsidR="000D65EB">
        <w:rPr>
          <w:lang w:eastAsia="en-AU"/>
        </w:rPr>
        <w:t xml:space="preserve"> in responding to coercive control</w:t>
      </w:r>
      <w:r w:rsidR="00F71C85">
        <w:rPr>
          <w:lang w:eastAsia="en-AU"/>
        </w:rPr>
        <w:t>.</w:t>
      </w:r>
      <w:r w:rsidR="0040172D">
        <w:rPr>
          <w:rStyle w:val="FootnoteReference"/>
          <w:lang w:eastAsia="en-AU"/>
        </w:rPr>
        <w:footnoteReference w:id="140"/>
      </w:r>
    </w:p>
    <w:p w14:paraId="38B34EBF" w14:textId="32009AB2" w:rsidR="003358A8" w:rsidRDefault="00F71C85" w:rsidP="00236745">
      <w:pPr>
        <w:rPr>
          <w:lang w:eastAsia="en-AU"/>
        </w:rPr>
      </w:pPr>
      <w:r>
        <w:rPr>
          <w:lang w:eastAsia="en-AU"/>
        </w:rPr>
        <w:t>T</w:t>
      </w:r>
      <w:r w:rsidR="002B2AC5">
        <w:rPr>
          <w:lang w:eastAsia="en-AU"/>
        </w:rPr>
        <w:t xml:space="preserve">he inquiries </w:t>
      </w:r>
      <w:r w:rsidR="00235F8D">
        <w:rPr>
          <w:lang w:eastAsia="en-AU"/>
        </w:rPr>
        <w:t xml:space="preserve">on coercive control </w:t>
      </w:r>
      <w:r w:rsidR="002B2AC5">
        <w:rPr>
          <w:lang w:eastAsia="en-AU"/>
        </w:rPr>
        <w:t xml:space="preserve">that have been conducted in Australia have </w:t>
      </w:r>
      <w:r w:rsidR="00235F8D">
        <w:rPr>
          <w:lang w:eastAsia="en-AU"/>
        </w:rPr>
        <w:t>also emphasised the importance of implementation</w:t>
      </w:r>
      <w:r w:rsidR="002B2AC5">
        <w:rPr>
          <w:lang w:eastAsia="en-AU"/>
        </w:rPr>
        <w:t>.</w:t>
      </w:r>
      <w:r w:rsidR="000D65EB">
        <w:rPr>
          <w:lang w:eastAsia="en-AU"/>
        </w:rPr>
        <w:t xml:space="preserve">  This is considered detail </w:t>
      </w:r>
      <w:r w:rsidR="000D65EB" w:rsidRPr="00E97AB0">
        <w:rPr>
          <w:lang w:eastAsia="en-AU"/>
        </w:rPr>
        <w:t>in Part 6</w:t>
      </w:r>
      <w:r w:rsidR="000D65EB">
        <w:rPr>
          <w:lang w:eastAsia="en-AU"/>
        </w:rPr>
        <w:t xml:space="preserve"> of this </w:t>
      </w:r>
      <w:r w:rsidR="000A786C">
        <w:rPr>
          <w:lang w:eastAsia="en-AU"/>
        </w:rPr>
        <w:t>paper</w:t>
      </w:r>
      <w:r w:rsidR="000D65EB">
        <w:rPr>
          <w:lang w:eastAsia="en-AU"/>
        </w:rPr>
        <w:t>.</w:t>
      </w:r>
    </w:p>
    <w:p w14:paraId="51E0C0D7" w14:textId="77777777" w:rsidR="002B2AC5" w:rsidRDefault="002B2AC5" w:rsidP="00236745">
      <w:pPr>
        <w:rPr>
          <w:lang w:eastAsia="en-AU"/>
        </w:rPr>
      </w:pPr>
      <w:r>
        <w:rPr>
          <w:lang w:eastAsia="en-AU"/>
        </w:rPr>
        <w:t>The Queensland Women’s Safety and Justice Taskforce recommended that:</w:t>
      </w:r>
    </w:p>
    <w:p w14:paraId="1B53028D" w14:textId="77777777" w:rsidR="00E97AB0" w:rsidRDefault="002B2AC5" w:rsidP="00E97AB0">
      <w:pPr>
        <w:ind w:left="567"/>
        <w:rPr>
          <w:lang w:eastAsia="en-AU"/>
        </w:rPr>
      </w:pPr>
      <w:r w:rsidRPr="00E97AB0">
        <w:rPr>
          <w:lang w:eastAsia="en-AU"/>
        </w:rPr>
        <w:t>“…</w:t>
      </w:r>
      <w:r w:rsidR="001C6C7B" w:rsidRPr="00E97AB0">
        <w:rPr>
          <w:lang w:eastAsia="en-AU"/>
        </w:rPr>
        <w:t xml:space="preserve"> no new offences to criminalise domestic and family violence commence until service and justice system responses are improved. The Taskforce is satisfied that to do so would involve an unacceptable risk of unintended consequences, which could cause more harm to those whom the reforms are intended to protect, particularly First Nations peoples.</w:t>
      </w:r>
    </w:p>
    <w:p w14:paraId="3652CE93" w14:textId="2DD060F9" w:rsidR="001C6C7B" w:rsidRPr="00E97AB0" w:rsidRDefault="00D37267" w:rsidP="00E97AB0">
      <w:pPr>
        <w:ind w:left="567"/>
        <w:rPr>
          <w:lang w:eastAsia="en-AU"/>
        </w:rPr>
      </w:pPr>
      <w:r w:rsidRPr="00E97AB0">
        <w:rPr>
          <w:lang w:eastAsia="en-AU"/>
        </w:rPr>
        <w:t>“</w:t>
      </w:r>
      <w:r w:rsidR="001C6C7B" w:rsidRPr="00E97AB0">
        <w:rPr>
          <w:lang w:eastAsia="en-AU"/>
        </w:rPr>
        <w:t>The Taskforce has mapped a four-phase plan for the implementation of its recommendations within the current term of the Queensland Government, which will allow the government to deliver its election commitment to the people of Queensland to introduce legislation criminalising coercive control.</w:t>
      </w:r>
      <w:r w:rsidRPr="00E97AB0">
        <w:rPr>
          <w:lang w:eastAsia="en-AU"/>
        </w:rPr>
        <w:t xml:space="preserve">” </w:t>
      </w:r>
      <w:r w:rsidR="001C6C7B" w:rsidRPr="00E97AB0">
        <w:rPr>
          <w:rStyle w:val="FootnoteReference"/>
          <w:lang w:eastAsia="en-AU"/>
        </w:rPr>
        <w:footnoteReference w:id="141"/>
      </w:r>
    </w:p>
    <w:p w14:paraId="21CBA868" w14:textId="77777777" w:rsidR="00EE472E" w:rsidRDefault="00EE472E" w:rsidP="00E97AB0">
      <w:pPr>
        <w:keepNext/>
        <w:rPr>
          <w:lang w:eastAsia="en-AU"/>
        </w:rPr>
      </w:pPr>
      <w:r>
        <w:rPr>
          <w:lang w:eastAsia="en-AU"/>
        </w:rPr>
        <w:t>The four</w:t>
      </w:r>
      <w:r w:rsidR="00AE57A2">
        <w:rPr>
          <w:lang w:eastAsia="en-AU"/>
        </w:rPr>
        <w:t>-</w:t>
      </w:r>
      <w:r>
        <w:rPr>
          <w:lang w:eastAsia="en-AU"/>
        </w:rPr>
        <w:t>phase implementation plan was set out in the report with immediate legislative reforms occurring in phase 2 and the criminalisation of coercive control in phase 4 as follows:</w:t>
      </w:r>
    </w:p>
    <w:p w14:paraId="1D0870CE" w14:textId="2485CAF9" w:rsidR="00EE472E" w:rsidRPr="00E97AB0" w:rsidRDefault="00EE472E" w:rsidP="00E97AB0">
      <w:pPr>
        <w:tabs>
          <w:tab w:val="left" w:pos="2977"/>
        </w:tabs>
        <w:ind w:left="567"/>
        <w:rPr>
          <w:lang w:eastAsia="en-AU"/>
        </w:rPr>
      </w:pPr>
      <w:r w:rsidRPr="00E97AB0">
        <w:rPr>
          <w:lang w:eastAsia="en-AU"/>
        </w:rPr>
        <w:t>Phase 1 (2021-2022)</w:t>
      </w:r>
      <w:r w:rsidRPr="00E97AB0">
        <w:rPr>
          <w:lang w:eastAsia="en-AU"/>
        </w:rPr>
        <w:tab/>
        <w:t>Setting the foundations for reform</w:t>
      </w:r>
    </w:p>
    <w:p w14:paraId="67DC4C33" w14:textId="000A0888" w:rsidR="00EE472E" w:rsidRPr="00E97AB0" w:rsidRDefault="00EE472E" w:rsidP="00E97AB0">
      <w:pPr>
        <w:tabs>
          <w:tab w:val="left" w:pos="2977"/>
        </w:tabs>
        <w:ind w:left="567"/>
        <w:rPr>
          <w:lang w:eastAsia="en-AU"/>
        </w:rPr>
      </w:pPr>
      <w:r w:rsidRPr="00E97AB0">
        <w:rPr>
          <w:lang w:eastAsia="en-AU"/>
        </w:rPr>
        <w:t>Phase 2 (2022-2023)</w:t>
      </w:r>
      <w:r w:rsidRPr="00E97AB0">
        <w:rPr>
          <w:lang w:eastAsia="en-AU"/>
        </w:rPr>
        <w:tab/>
        <w:t xml:space="preserve">First stage legislative and </w:t>
      </w:r>
      <w:r w:rsidR="00B86EE9" w:rsidRPr="00E97AB0">
        <w:rPr>
          <w:lang w:eastAsia="en-AU"/>
        </w:rPr>
        <w:t>systems</w:t>
      </w:r>
      <w:r w:rsidRPr="00E97AB0">
        <w:rPr>
          <w:lang w:eastAsia="en-AU"/>
        </w:rPr>
        <w:t xml:space="preserve"> reforms against coercive control</w:t>
      </w:r>
    </w:p>
    <w:p w14:paraId="096437AB" w14:textId="6C0BA880" w:rsidR="00EE472E" w:rsidRPr="00E97AB0" w:rsidRDefault="00EE472E" w:rsidP="00E97AB0">
      <w:pPr>
        <w:tabs>
          <w:tab w:val="left" w:pos="2977"/>
        </w:tabs>
        <w:ind w:left="567"/>
        <w:rPr>
          <w:lang w:eastAsia="en-AU"/>
        </w:rPr>
      </w:pPr>
      <w:r w:rsidRPr="00E97AB0">
        <w:rPr>
          <w:lang w:eastAsia="en-AU"/>
        </w:rPr>
        <w:t>Phase 3 (2023-2024)</w:t>
      </w:r>
      <w:r w:rsidRPr="00E97AB0">
        <w:rPr>
          <w:lang w:eastAsia="en-AU"/>
        </w:rPr>
        <w:tab/>
        <w:t>Preparing for the criminalisation of coercive control</w:t>
      </w:r>
    </w:p>
    <w:p w14:paraId="64B84740" w14:textId="77777777" w:rsidR="00EE472E" w:rsidRPr="00E97AB0" w:rsidRDefault="00EE472E" w:rsidP="00E97AB0">
      <w:pPr>
        <w:tabs>
          <w:tab w:val="left" w:pos="2977"/>
        </w:tabs>
        <w:ind w:left="567"/>
        <w:rPr>
          <w:lang w:eastAsia="en-AU"/>
        </w:rPr>
      </w:pPr>
      <w:r w:rsidRPr="00E97AB0">
        <w:rPr>
          <w:lang w:eastAsia="en-AU"/>
        </w:rPr>
        <w:t>Phase 4 (2024-beyond)</w:t>
      </w:r>
      <w:r w:rsidRPr="00E97AB0">
        <w:rPr>
          <w:lang w:eastAsia="en-AU"/>
        </w:rPr>
        <w:tab/>
        <w:t>Criminalising coercive control and monitoring impacts and outcomes</w:t>
      </w:r>
    </w:p>
    <w:p w14:paraId="0C9261EE" w14:textId="77777777" w:rsidR="002B2AC5" w:rsidRDefault="00EB3D79" w:rsidP="00E97AB0">
      <w:pPr>
        <w:keepNext/>
        <w:rPr>
          <w:lang w:eastAsia="en-AU"/>
        </w:rPr>
      </w:pPr>
      <w:r>
        <w:rPr>
          <w:lang w:eastAsia="en-AU"/>
        </w:rPr>
        <w:t>T</w:t>
      </w:r>
      <w:r w:rsidR="002B2AC5">
        <w:rPr>
          <w:lang w:eastAsia="en-AU"/>
        </w:rPr>
        <w:t xml:space="preserve">he NSW Parliament’s Joint Select Committee on </w:t>
      </w:r>
      <w:r w:rsidR="00D37267">
        <w:rPr>
          <w:lang w:eastAsia="en-AU"/>
        </w:rPr>
        <w:t>Coercive Control recommended that coercive control be criminalised:</w:t>
      </w:r>
    </w:p>
    <w:p w14:paraId="66C3AEB7" w14:textId="24978F80" w:rsidR="00D37267" w:rsidRPr="00E97AB0" w:rsidRDefault="00D37267" w:rsidP="00E97AB0">
      <w:pPr>
        <w:ind w:left="567"/>
        <w:rPr>
          <w:lang w:eastAsia="en-AU"/>
        </w:rPr>
      </w:pPr>
      <w:r w:rsidRPr="00E97AB0">
        <w:rPr>
          <w:lang w:eastAsia="en-AU"/>
        </w:rPr>
        <w:t>“However commencement of a criminal offence should not occur without a considerable prior program of education, training and consultation with police, stakeholders and the frontline sector. Following drafting and legislation of such an offence, and prior to commencement, implementation should be assisted through a multi- agency taskforce.</w:t>
      </w:r>
      <w:r w:rsidR="00CE10F8" w:rsidRPr="00E97AB0">
        <w:rPr>
          <w:lang w:eastAsia="en-AU"/>
        </w:rPr>
        <w:t>”</w:t>
      </w:r>
      <w:r w:rsidR="00A70A44" w:rsidRPr="00E97AB0">
        <w:rPr>
          <w:rStyle w:val="FootnoteReference"/>
          <w:lang w:eastAsia="en-AU"/>
        </w:rPr>
        <w:footnoteReference w:id="142"/>
      </w:r>
    </w:p>
    <w:p w14:paraId="7C1298B7" w14:textId="761F2EB2" w:rsidR="00D37267" w:rsidRDefault="00925C3E" w:rsidP="00E97AB0">
      <w:pPr>
        <w:keepLines/>
        <w:rPr>
          <w:lang w:eastAsia="en-AU"/>
        </w:rPr>
      </w:pPr>
      <w:r w:rsidRPr="007B54D1">
        <w:rPr>
          <w:lang w:eastAsia="en-AU"/>
        </w:rPr>
        <w:lastRenderedPageBreak/>
        <w:t>The NSW Gov</w:t>
      </w:r>
      <w:r w:rsidR="007B54D1" w:rsidRPr="007B54D1">
        <w:rPr>
          <w:lang w:eastAsia="en-AU"/>
        </w:rPr>
        <w:t>ernment</w:t>
      </w:r>
      <w:r w:rsidR="007B54D1">
        <w:rPr>
          <w:lang w:eastAsia="en-AU"/>
        </w:rPr>
        <w:t xml:space="preserve"> has </w:t>
      </w:r>
      <w:r w:rsidR="007C1297">
        <w:rPr>
          <w:lang w:eastAsia="en-AU"/>
        </w:rPr>
        <w:t>supported the Inquir</w:t>
      </w:r>
      <w:r w:rsidR="00A13212">
        <w:rPr>
          <w:lang w:eastAsia="en-AU"/>
        </w:rPr>
        <w:t>y’</w:t>
      </w:r>
      <w:r w:rsidR="007C1297">
        <w:rPr>
          <w:lang w:eastAsia="en-AU"/>
        </w:rPr>
        <w:t>s recommendation to</w:t>
      </w:r>
      <w:r w:rsidR="007B54D1">
        <w:rPr>
          <w:lang w:eastAsia="en-AU"/>
        </w:rPr>
        <w:t xml:space="preserve"> criminalise coercive control, </w:t>
      </w:r>
      <w:r w:rsidR="007C1297">
        <w:rPr>
          <w:lang w:eastAsia="en-AU"/>
        </w:rPr>
        <w:t>and</w:t>
      </w:r>
      <w:r w:rsidR="007B54D1">
        <w:rPr>
          <w:lang w:eastAsia="en-AU"/>
        </w:rPr>
        <w:t xml:space="preserve"> is giving further consideration to the </w:t>
      </w:r>
      <w:r w:rsidR="007C1297">
        <w:rPr>
          <w:lang w:eastAsia="en-AU"/>
        </w:rPr>
        <w:t>formation</w:t>
      </w:r>
      <w:r w:rsidR="007B54D1">
        <w:rPr>
          <w:lang w:eastAsia="en-AU"/>
        </w:rPr>
        <w:t xml:space="preserve"> of a </w:t>
      </w:r>
      <w:r w:rsidR="007C1297">
        <w:rPr>
          <w:lang w:eastAsia="en-AU"/>
        </w:rPr>
        <w:t xml:space="preserve">multi-agency </w:t>
      </w:r>
      <w:r w:rsidR="00CA7529">
        <w:rPr>
          <w:lang w:eastAsia="en-AU"/>
        </w:rPr>
        <w:t xml:space="preserve">implementation </w:t>
      </w:r>
      <w:r w:rsidR="007B54D1">
        <w:rPr>
          <w:lang w:eastAsia="en-AU"/>
        </w:rPr>
        <w:t>Taskforce.</w:t>
      </w:r>
      <w:r w:rsidR="005A641D">
        <w:rPr>
          <w:rStyle w:val="FootnoteReference"/>
          <w:lang w:eastAsia="en-AU"/>
        </w:rPr>
        <w:footnoteReference w:id="143"/>
      </w:r>
      <w:r w:rsidR="005A641D">
        <w:rPr>
          <w:lang w:eastAsia="en-AU"/>
        </w:rPr>
        <w:t xml:space="preserve"> </w:t>
      </w:r>
      <w:r w:rsidR="00E97AB0">
        <w:rPr>
          <w:lang w:eastAsia="en-AU"/>
        </w:rPr>
        <w:t xml:space="preserve"> </w:t>
      </w:r>
      <w:r w:rsidR="00CE10F8">
        <w:rPr>
          <w:lang w:eastAsia="en-AU"/>
        </w:rPr>
        <w:t xml:space="preserve">It has affirmed its commitment to a whole-of-government approach to addressing coercive control. </w:t>
      </w:r>
      <w:r w:rsidR="00E97AB0">
        <w:rPr>
          <w:lang w:eastAsia="en-AU"/>
        </w:rPr>
        <w:t xml:space="preserve"> </w:t>
      </w:r>
      <w:r w:rsidR="005A641D">
        <w:rPr>
          <w:lang w:eastAsia="en-AU"/>
        </w:rPr>
        <w:t>In October 2021</w:t>
      </w:r>
      <w:r w:rsidR="00E97AB0">
        <w:rPr>
          <w:lang w:eastAsia="en-AU"/>
        </w:rPr>
        <w:t>,</w:t>
      </w:r>
      <w:r w:rsidR="005A641D">
        <w:rPr>
          <w:lang w:eastAsia="en-AU"/>
        </w:rPr>
        <w:t xml:space="preserve"> it announced an additional $484.3 millio</w:t>
      </w:r>
      <w:r w:rsidR="00A13212">
        <w:rPr>
          <w:lang w:eastAsia="en-AU"/>
        </w:rPr>
        <w:t xml:space="preserve">n, </w:t>
      </w:r>
      <w:r w:rsidR="005A641D">
        <w:rPr>
          <w:lang w:eastAsia="en-AU"/>
        </w:rPr>
        <w:t>the single biggest investment in tackling domestic violence in the state’s history</w:t>
      </w:r>
      <w:r w:rsidR="00A13212">
        <w:rPr>
          <w:lang w:eastAsia="en-AU"/>
        </w:rPr>
        <w:t>.</w:t>
      </w:r>
    </w:p>
    <w:p w14:paraId="70799672" w14:textId="77777777" w:rsidR="00EB3D79" w:rsidRPr="005A641D" w:rsidRDefault="00EB3D79" w:rsidP="00236745">
      <w:pPr>
        <w:rPr>
          <w:i/>
          <w:iCs/>
          <w:lang w:eastAsia="en-AU"/>
        </w:rPr>
      </w:pPr>
      <w:r>
        <w:rPr>
          <w:lang w:eastAsia="en-AU"/>
        </w:rPr>
        <w:t>In recognition of the importance of implementation to the effectiveness of a coercive control offence, the SA Government has recently released a discussion paper</w:t>
      </w:r>
      <w:r w:rsidR="00A13212">
        <w:rPr>
          <w:lang w:eastAsia="en-AU"/>
        </w:rPr>
        <w:t xml:space="preserve"> titled</w:t>
      </w:r>
      <w:r>
        <w:rPr>
          <w:lang w:eastAsia="en-AU"/>
        </w:rPr>
        <w:t xml:space="preserve">: </w:t>
      </w:r>
      <w:r w:rsidRPr="005A641D">
        <w:rPr>
          <w:i/>
          <w:iCs/>
          <w:lang w:eastAsia="en-AU"/>
        </w:rPr>
        <w:t>Implementation considerations should coercive control be criminalised in South Australia.</w:t>
      </w:r>
    </w:p>
    <w:p w14:paraId="038D77E6" w14:textId="0C12D0B7" w:rsidR="007E79E8" w:rsidRDefault="00BA36F0" w:rsidP="00236745">
      <w:pPr>
        <w:rPr>
          <w:lang w:eastAsia="en-AU"/>
        </w:rPr>
      </w:pPr>
      <w:r>
        <w:rPr>
          <w:lang w:eastAsia="en-AU"/>
        </w:rPr>
        <w:t>I</w:t>
      </w:r>
      <w:r w:rsidR="00945EFA">
        <w:rPr>
          <w:lang w:eastAsia="en-AU"/>
        </w:rPr>
        <w:t xml:space="preserve">t is worth emphasising that many of </w:t>
      </w:r>
      <w:r w:rsidR="000D65EB">
        <w:rPr>
          <w:lang w:eastAsia="en-AU"/>
        </w:rPr>
        <w:t xml:space="preserve">the </w:t>
      </w:r>
      <w:r w:rsidR="00D30783">
        <w:rPr>
          <w:lang w:eastAsia="en-AU"/>
        </w:rPr>
        <w:t xml:space="preserve">implementation tasks in relation to coercive control </w:t>
      </w:r>
      <w:r w:rsidR="00945EFA">
        <w:rPr>
          <w:lang w:eastAsia="en-AU"/>
        </w:rPr>
        <w:t>need to occur whether it is criminalised or not</w:t>
      </w:r>
      <w:r w:rsidR="00D30783">
        <w:rPr>
          <w:lang w:eastAsia="en-AU"/>
        </w:rPr>
        <w:t xml:space="preserve">. </w:t>
      </w:r>
      <w:r w:rsidR="00E97AB0">
        <w:rPr>
          <w:lang w:eastAsia="en-AU"/>
        </w:rPr>
        <w:t xml:space="preserve"> </w:t>
      </w:r>
      <w:r w:rsidR="00D30783">
        <w:rPr>
          <w:lang w:eastAsia="en-AU"/>
        </w:rPr>
        <w:t>R</w:t>
      </w:r>
      <w:r w:rsidR="00945EFA">
        <w:rPr>
          <w:lang w:eastAsia="en-AU"/>
        </w:rPr>
        <w:t>aising public awareness, training police</w:t>
      </w:r>
      <w:r w:rsidR="00D30783">
        <w:rPr>
          <w:lang w:eastAsia="en-AU"/>
        </w:rPr>
        <w:t>, judges</w:t>
      </w:r>
      <w:r w:rsidR="00945EFA">
        <w:rPr>
          <w:lang w:eastAsia="en-AU"/>
        </w:rPr>
        <w:t xml:space="preserve"> and first responders about coercive control, imbedding coercive control in law, policy and risk assessment tools</w:t>
      </w:r>
      <w:r w:rsidR="00D30783">
        <w:rPr>
          <w:lang w:eastAsia="en-AU"/>
        </w:rPr>
        <w:t xml:space="preserve">, are all an important part of the response </w:t>
      </w:r>
      <w:r w:rsidR="000D65EB">
        <w:rPr>
          <w:lang w:eastAsia="en-AU"/>
        </w:rPr>
        <w:t xml:space="preserve">to coercive control </w:t>
      </w:r>
      <w:r w:rsidR="00943F7A">
        <w:rPr>
          <w:lang w:eastAsia="en-AU"/>
        </w:rPr>
        <w:t xml:space="preserve">(and DFV more generally) </w:t>
      </w:r>
      <w:r w:rsidR="00D30783">
        <w:rPr>
          <w:lang w:eastAsia="en-AU"/>
        </w:rPr>
        <w:t>irrespective of criminalisation.</w:t>
      </w:r>
    </w:p>
    <w:p w14:paraId="653D55FE" w14:textId="459D9F6D" w:rsidR="001F4BEC" w:rsidRDefault="00943F7A" w:rsidP="00E97AB0">
      <w:pPr>
        <w:pStyle w:val="Heading3"/>
        <w:keepNext/>
        <w:rPr>
          <w:lang w:eastAsia="en-AU"/>
        </w:rPr>
      </w:pPr>
      <w:bookmarkStart w:id="35" w:name="_Toc112051825"/>
      <w:r>
        <w:rPr>
          <w:lang w:eastAsia="en-AU"/>
        </w:rPr>
        <w:t xml:space="preserve">Criminalisation as a </w:t>
      </w:r>
      <w:r w:rsidR="00611665">
        <w:rPr>
          <w:lang w:eastAsia="en-AU"/>
        </w:rPr>
        <w:t>last resort</w:t>
      </w:r>
      <w:bookmarkEnd w:id="35"/>
    </w:p>
    <w:p w14:paraId="0F0B60A5" w14:textId="77777777" w:rsidR="007A3042" w:rsidRDefault="00E1609D" w:rsidP="00236745">
      <w:pPr>
        <w:rPr>
          <w:lang w:eastAsia="en-AU"/>
        </w:rPr>
      </w:pPr>
      <w:r>
        <w:rPr>
          <w:lang w:eastAsia="en-AU"/>
        </w:rPr>
        <w:t xml:space="preserve">Arguably </w:t>
      </w:r>
      <w:r w:rsidR="001B5376">
        <w:rPr>
          <w:lang w:eastAsia="en-AU"/>
        </w:rPr>
        <w:t xml:space="preserve">the </w:t>
      </w:r>
      <w:r>
        <w:rPr>
          <w:lang w:eastAsia="en-AU"/>
        </w:rPr>
        <w:t xml:space="preserve">criminalisation </w:t>
      </w:r>
      <w:r w:rsidR="005213FC">
        <w:rPr>
          <w:lang w:eastAsia="en-AU"/>
        </w:rPr>
        <w:t xml:space="preserve">of conduct </w:t>
      </w:r>
      <w:r>
        <w:rPr>
          <w:lang w:eastAsia="en-AU"/>
        </w:rPr>
        <w:t xml:space="preserve">should be </w:t>
      </w:r>
      <w:r w:rsidR="005213FC">
        <w:rPr>
          <w:lang w:eastAsia="en-AU"/>
        </w:rPr>
        <w:t>a</w:t>
      </w:r>
      <w:r>
        <w:rPr>
          <w:lang w:eastAsia="en-AU"/>
        </w:rPr>
        <w:t xml:space="preserve"> last resort</w:t>
      </w:r>
      <w:r w:rsidR="005213FC">
        <w:rPr>
          <w:lang w:eastAsia="en-AU"/>
        </w:rPr>
        <w:t>.</w:t>
      </w:r>
      <w:r w:rsidR="00344398">
        <w:rPr>
          <w:lang w:eastAsia="en-AU"/>
        </w:rPr>
        <w:t xml:space="preserve"> </w:t>
      </w:r>
    </w:p>
    <w:p w14:paraId="7D18EE40" w14:textId="1F46B396" w:rsidR="006D06E7" w:rsidRDefault="005213FC" w:rsidP="00236745">
      <w:pPr>
        <w:rPr>
          <w:lang w:eastAsia="en-AU"/>
        </w:rPr>
      </w:pPr>
      <w:r>
        <w:rPr>
          <w:lang w:eastAsia="en-AU"/>
        </w:rPr>
        <w:t>Calls to criminalise coercive control have been made because current responses to coercive contro</w:t>
      </w:r>
      <w:r w:rsidR="002B0249">
        <w:rPr>
          <w:lang w:eastAsia="en-AU"/>
        </w:rPr>
        <w:t>l</w:t>
      </w:r>
      <w:r>
        <w:rPr>
          <w:lang w:eastAsia="en-AU"/>
        </w:rPr>
        <w:t xml:space="preserve"> and DFV</w:t>
      </w:r>
      <w:r w:rsidR="002B0249">
        <w:rPr>
          <w:lang w:eastAsia="en-AU"/>
        </w:rPr>
        <w:t xml:space="preserve"> – in the NT and elsewhere – </w:t>
      </w:r>
      <w:r>
        <w:rPr>
          <w:lang w:eastAsia="en-AU"/>
        </w:rPr>
        <w:t xml:space="preserve">are </w:t>
      </w:r>
      <w:r w:rsidR="001B5376">
        <w:rPr>
          <w:lang w:eastAsia="en-AU"/>
        </w:rPr>
        <w:t>no</w:t>
      </w:r>
      <w:r w:rsidR="00AB1F1B">
        <w:rPr>
          <w:lang w:eastAsia="en-AU"/>
        </w:rPr>
        <w:t>t sufficient to prioritise the safety of victim-survivors and hold offenders to account</w:t>
      </w:r>
      <w:r>
        <w:rPr>
          <w:lang w:eastAsia="en-AU"/>
        </w:rPr>
        <w:t>.</w:t>
      </w:r>
      <w:r w:rsidR="007A3042">
        <w:rPr>
          <w:lang w:eastAsia="en-AU"/>
        </w:rPr>
        <w:t xml:space="preserve">  They are not sufficient to reduce the high levels of DFV and coercive control across all jurisdictions.  </w:t>
      </w:r>
    </w:p>
    <w:p w14:paraId="0C46D4EB" w14:textId="06C632A2" w:rsidR="00293B54" w:rsidRPr="00293B54" w:rsidRDefault="005213FC" w:rsidP="00293B54">
      <w:pPr>
        <w:rPr>
          <w:lang w:eastAsia="en-AU"/>
        </w:rPr>
      </w:pPr>
      <w:r>
        <w:rPr>
          <w:lang w:eastAsia="en-AU"/>
        </w:rPr>
        <w:t>However, the</w:t>
      </w:r>
      <w:r w:rsidR="0095127C">
        <w:rPr>
          <w:lang w:eastAsia="en-AU"/>
        </w:rPr>
        <w:t>re are many</w:t>
      </w:r>
      <w:r w:rsidR="002631F8">
        <w:rPr>
          <w:lang w:eastAsia="en-AU"/>
        </w:rPr>
        <w:t xml:space="preserve"> changes to law, policy and procedure that could be made </w:t>
      </w:r>
      <w:r w:rsidR="006F1790">
        <w:rPr>
          <w:lang w:eastAsia="en-AU"/>
        </w:rPr>
        <w:t xml:space="preserve">in the NT </w:t>
      </w:r>
      <w:r w:rsidR="002631F8">
        <w:rPr>
          <w:lang w:eastAsia="en-AU"/>
        </w:rPr>
        <w:t xml:space="preserve">to improve responses to coercive </w:t>
      </w:r>
      <w:r w:rsidR="00943F7A">
        <w:rPr>
          <w:lang w:eastAsia="en-AU"/>
        </w:rPr>
        <w:t>control short of creating a new criminal offence</w:t>
      </w:r>
      <w:r w:rsidR="002631F8">
        <w:rPr>
          <w:lang w:eastAsia="en-AU"/>
        </w:rPr>
        <w:t>.</w:t>
      </w:r>
      <w:r w:rsidR="002B0249">
        <w:rPr>
          <w:lang w:eastAsia="en-AU"/>
        </w:rPr>
        <w:t xml:space="preserve"> </w:t>
      </w:r>
      <w:r w:rsidR="00E97AB0">
        <w:rPr>
          <w:lang w:eastAsia="en-AU"/>
        </w:rPr>
        <w:t xml:space="preserve"> </w:t>
      </w:r>
      <w:r w:rsidR="002B0249">
        <w:rPr>
          <w:lang w:eastAsia="en-AU"/>
        </w:rPr>
        <w:t xml:space="preserve">These have been identified as part of the present </w:t>
      </w:r>
      <w:r w:rsidR="00E97AB0">
        <w:rPr>
          <w:lang w:eastAsia="en-AU"/>
        </w:rPr>
        <w:t>review</w:t>
      </w:r>
      <w:r w:rsidR="00293B54">
        <w:rPr>
          <w:lang w:eastAsia="en-AU"/>
        </w:rPr>
        <w:t>.</w:t>
      </w:r>
    </w:p>
    <w:p w14:paraId="36B4E7A1" w14:textId="4D09CE94" w:rsidR="00293B54" w:rsidRDefault="00293B54" w:rsidP="00293B54">
      <w:pPr>
        <w:tabs>
          <w:tab w:val="left" w:pos="1134"/>
        </w:tabs>
        <w:autoSpaceDE w:val="0"/>
        <w:autoSpaceDN w:val="0"/>
        <w:adjustRightInd w:val="0"/>
        <w:spacing w:after="120"/>
        <w:jc w:val="both"/>
        <w:rPr>
          <w:rFonts w:cs="Arial"/>
          <w:color w:val="000000"/>
        </w:rPr>
      </w:pPr>
      <w:r>
        <w:rPr>
          <w:rFonts w:cs="Arial"/>
          <w:color w:val="000000"/>
        </w:rPr>
        <w:t xml:space="preserve">Jane Wangmann has emphasised that reforms in relation to coercive control must extend beyond the creation of a single new offence of coercive control. </w:t>
      </w:r>
      <w:r>
        <w:rPr>
          <w:rStyle w:val="FootnoteReference"/>
          <w:rFonts w:cs="Arial"/>
          <w:color w:val="000000"/>
        </w:rPr>
        <w:footnoteReference w:id="144"/>
      </w:r>
      <w:r>
        <w:rPr>
          <w:rFonts w:cs="Arial"/>
          <w:color w:val="000000"/>
        </w:rPr>
        <w:t xml:space="preserve">  She suggests:</w:t>
      </w:r>
    </w:p>
    <w:p w14:paraId="5526DC1C" w14:textId="77777777" w:rsidR="00293B54" w:rsidRPr="00E97AB0" w:rsidRDefault="00293B54" w:rsidP="00293B54">
      <w:pPr>
        <w:tabs>
          <w:tab w:val="left" w:pos="1134"/>
        </w:tabs>
        <w:autoSpaceDE w:val="0"/>
        <w:autoSpaceDN w:val="0"/>
        <w:adjustRightInd w:val="0"/>
        <w:spacing w:after="120"/>
        <w:ind w:left="568"/>
        <w:jc w:val="both"/>
        <w:rPr>
          <w:rFonts w:cs="Arial"/>
          <w:color w:val="000000"/>
        </w:rPr>
      </w:pPr>
      <w:r w:rsidRPr="00E97AB0">
        <w:rPr>
          <w:rFonts w:cs="Arial"/>
          <w:color w:val="000000"/>
        </w:rPr>
        <w:t>“…simply legislating a new offence will not achieve a great dealt if it is done in the absence of changing the practice of law in addressing IPV (intimate partner violence).</w:t>
      </w:r>
    </w:p>
    <w:p w14:paraId="2ABDB119" w14:textId="79752376" w:rsidR="00293B54" w:rsidRPr="00E97AB0" w:rsidRDefault="00293B54" w:rsidP="00E97AB0">
      <w:pPr>
        <w:tabs>
          <w:tab w:val="left" w:pos="1134"/>
        </w:tabs>
        <w:autoSpaceDE w:val="0"/>
        <w:autoSpaceDN w:val="0"/>
        <w:adjustRightInd w:val="0"/>
        <w:ind w:left="567"/>
        <w:jc w:val="both"/>
        <w:rPr>
          <w:rFonts w:cs="Arial"/>
          <w:color w:val="000000"/>
        </w:rPr>
      </w:pPr>
      <w:r w:rsidRPr="00E97AB0">
        <w:rPr>
          <w:rFonts w:cs="Arial"/>
          <w:color w:val="000000"/>
        </w:rPr>
        <w:t xml:space="preserve">While Stark does seek to criminalise coercive control how this might be achieved is multi-pronged – it should not be merely seen in terms of whether there is a ‘law on the books’ but </w:t>
      </w:r>
      <w:r w:rsidRPr="00E97AB0">
        <w:rPr>
          <w:rFonts w:cs="Arial"/>
          <w:b/>
          <w:i/>
          <w:color w:val="000000"/>
        </w:rPr>
        <w:t>rather how all the laws that respond to IPV understand and recognise coercive control in implementation and practice</w:t>
      </w:r>
      <w:r w:rsidRPr="00E97AB0">
        <w:rPr>
          <w:rFonts w:cs="Arial"/>
          <w:color w:val="000000"/>
        </w:rPr>
        <w:t>.</w:t>
      </w:r>
      <w:r w:rsidR="00FF3F63" w:rsidRPr="00E97AB0">
        <w:rPr>
          <w:rFonts w:cs="Arial"/>
          <w:color w:val="000000"/>
        </w:rPr>
        <w:t>”</w:t>
      </w:r>
      <w:r w:rsidR="00E560F7" w:rsidRPr="00E97AB0">
        <w:rPr>
          <w:rFonts w:cs="Arial"/>
          <w:color w:val="000000"/>
        </w:rPr>
        <w:t xml:space="preserve"> (emphasis added)</w:t>
      </w:r>
    </w:p>
    <w:p w14:paraId="3D77B4B3" w14:textId="086AF038" w:rsidR="00611665" w:rsidRDefault="00230638" w:rsidP="00D069D7">
      <w:pPr>
        <w:rPr>
          <w:lang w:eastAsia="en-AU"/>
        </w:rPr>
      </w:pPr>
      <w:r>
        <w:rPr>
          <w:lang w:eastAsia="en-AU"/>
        </w:rPr>
        <w:t xml:space="preserve">This suggests that in the NT it may be </w:t>
      </w:r>
      <w:r w:rsidR="006F1790">
        <w:rPr>
          <w:lang w:eastAsia="en-AU"/>
        </w:rPr>
        <w:t>important to consid</w:t>
      </w:r>
      <w:r>
        <w:rPr>
          <w:lang w:eastAsia="en-AU"/>
        </w:rPr>
        <w:t>er other ways to imbed coercive control into law and procedure prior to creating</w:t>
      </w:r>
      <w:r w:rsidR="006F1790">
        <w:rPr>
          <w:lang w:eastAsia="en-AU"/>
        </w:rPr>
        <w:t xml:space="preserve"> a criminal offence</w:t>
      </w:r>
      <w:r w:rsidR="007A3042">
        <w:rPr>
          <w:lang w:eastAsia="en-AU"/>
        </w:rPr>
        <w:t>.</w:t>
      </w:r>
      <w:r w:rsidR="00293B54">
        <w:rPr>
          <w:lang w:eastAsia="en-AU"/>
        </w:rPr>
        <w:t xml:space="preserve"> </w:t>
      </w:r>
    </w:p>
    <w:p w14:paraId="29B276D4" w14:textId="77777777" w:rsidR="00E97AB0" w:rsidRDefault="00E97AB0">
      <w:pPr>
        <w:rPr>
          <w:rFonts w:asciiTheme="majorHAnsi" w:eastAsiaTheme="majorEastAsia" w:hAnsiTheme="majorHAnsi" w:cstheme="majorBidi"/>
          <w:bCs/>
          <w:iCs/>
          <w:color w:val="454347"/>
          <w:sz w:val="32"/>
          <w:szCs w:val="32"/>
          <w:lang w:eastAsia="en-AU"/>
        </w:rPr>
      </w:pPr>
      <w:r>
        <w:rPr>
          <w:lang w:eastAsia="en-AU"/>
        </w:rPr>
        <w:br w:type="page"/>
      </w:r>
    </w:p>
    <w:p w14:paraId="73D9EDFD" w14:textId="088321C0" w:rsidR="00C666FD" w:rsidRDefault="00615E7B" w:rsidP="00E97AB0">
      <w:pPr>
        <w:pStyle w:val="Heading2"/>
        <w:keepNext/>
        <w:ind w:left="1134" w:hanging="567"/>
        <w:rPr>
          <w:lang w:eastAsia="en-AU"/>
        </w:rPr>
      </w:pPr>
      <w:bookmarkStart w:id="36" w:name="_Toc112051826"/>
      <w:r>
        <w:rPr>
          <w:lang w:eastAsia="en-AU"/>
        </w:rPr>
        <w:lastRenderedPageBreak/>
        <w:t>NT p</w:t>
      </w:r>
      <w:r w:rsidR="00C477D0">
        <w:rPr>
          <w:lang w:eastAsia="en-AU"/>
        </w:rPr>
        <w:t>roposals to improve</w:t>
      </w:r>
      <w:r w:rsidR="00347549">
        <w:rPr>
          <w:lang w:eastAsia="en-AU"/>
        </w:rPr>
        <w:t xml:space="preserve"> responses to coercive control</w:t>
      </w:r>
      <w:bookmarkEnd w:id="36"/>
    </w:p>
    <w:p w14:paraId="3C3AC40B" w14:textId="7EA7D5DF" w:rsidR="00615E7B" w:rsidRDefault="00615E7B" w:rsidP="00E97AB0">
      <w:pPr>
        <w:pStyle w:val="Heading3"/>
        <w:keepNext/>
        <w:rPr>
          <w:lang w:eastAsia="en-AU"/>
        </w:rPr>
      </w:pPr>
      <w:bookmarkStart w:id="37" w:name="_Toc112051827"/>
      <w:r>
        <w:rPr>
          <w:lang w:eastAsia="en-AU"/>
        </w:rPr>
        <w:t xml:space="preserve">Options in relation to </w:t>
      </w:r>
      <w:r w:rsidR="00274B9F">
        <w:rPr>
          <w:lang w:eastAsia="en-AU"/>
        </w:rPr>
        <w:t>criminalisation</w:t>
      </w:r>
      <w:bookmarkEnd w:id="37"/>
    </w:p>
    <w:p w14:paraId="357F9F75" w14:textId="11EE9D8C" w:rsidR="00615E7B" w:rsidRDefault="00615E7B" w:rsidP="00615E7B">
      <w:pPr>
        <w:rPr>
          <w:lang w:eastAsia="en-AU"/>
        </w:rPr>
      </w:pPr>
      <w:r>
        <w:rPr>
          <w:lang w:eastAsia="en-AU"/>
        </w:rPr>
        <w:t xml:space="preserve">Coercive control is </w:t>
      </w:r>
      <w:r w:rsidR="00F57E63">
        <w:rPr>
          <w:lang w:eastAsia="en-AU"/>
        </w:rPr>
        <w:t>egregious conduct</w:t>
      </w:r>
      <w:r>
        <w:rPr>
          <w:lang w:eastAsia="en-AU"/>
        </w:rPr>
        <w:t>, as discussed a</w:t>
      </w:r>
      <w:r w:rsidR="00AF0704">
        <w:rPr>
          <w:lang w:eastAsia="en-AU"/>
        </w:rPr>
        <w:t xml:space="preserve">bove.  However, there are </w:t>
      </w:r>
      <w:r>
        <w:rPr>
          <w:lang w:eastAsia="en-AU"/>
        </w:rPr>
        <w:t>steps that can be taken</w:t>
      </w:r>
      <w:r w:rsidR="00F57E63">
        <w:rPr>
          <w:lang w:eastAsia="en-AU"/>
        </w:rPr>
        <w:t xml:space="preserve"> to incorporate coercive control into law and procedure </w:t>
      </w:r>
      <w:r>
        <w:rPr>
          <w:lang w:eastAsia="en-AU"/>
        </w:rPr>
        <w:t xml:space="preserve">short of the creation of a </w:t>
      </w:r>
      <w:r w:rsidR="00F57E63">
        <w:rPr>
          <w:lang w:eastAsia="en-AU"/>
        </w:rPr>
        <w:t xml:space="preserve">new </w:t>
      </w:r>
      <w:r>
        <w:rPr>
          <w:lang w:eastAsia="en-AU"/>
        </w:rPr>
        <w:t>criminal offence</w:t>
      </w:r>
      <w:r w:rsidR="00F57E63">
        <w:rPr>
          <w:lang w:eastAsia="en-AU"/>
        </w:rPr>
        <w:t xml:space="preserve">. </w:t>
      </w:r>
    </w:p>
    <w:p w14:paraId="57C030A1" w14:textId="084C80C4" w:rsidR="00AF0704" w:rsidRPr="00D54478" w:rsidRDefault="00615E7B" w:rsidP="00615E7B">
      <w:pPr>
        <w:rPr>
          <w:b/>
          <w:lang w:eastAsia="en-AU"/>
        </w:rPr>
      </w:pPr>
      <w:r w:rsidRPr="00844A07">
        <w:rPr>
          <w:b/>
          <w:lang w:eastAsia="en-AU"/>
        </w:rPr>
        <w:t xml:space="preserve">The legislative reforms listed </w:t>
      </w:r>
      <w:r w:rsidR="0070722C" w:rsidRPr="00844A07">
        <w:rPr>
          <w:b/>
          <w:lang w:eastAsia="en-AU"/>
        </w:rPr>
        <w:t xml:space="preserve">below </w:t>
      </w:r>
      <w:r w:rsidRPr="00844A07">
        <w:rPr>
          <w:b/>
          <w:lang w:eastAsia="en-AU"/>
        </w:rPr>
        <w:t xml:space="preserve">in </w:t>
      </w:r>
      <w:r w:rsidR="00032AB5">
        <w:rPr>
          <w:b/>
          <w:lang w:eastAsia="en-AU"/>
        </w:rPr>
        <w:t>part 3</w:t>
      </w:r>
      <w:r w:rsidR="00366B7D" w:rsidRPr="00844A07">
        <w:rPr>
          <w:b/>
          <w:lang w:eastAsia="en-AU"/>
        </w:rPr>
        <w:t>.7.2 and the systemic</w:t>
      </w:r>
      <w:r w:rsidRPr="00844A07">
        <w:rPr>
          <w:b/>
          <w:lang w:eastAsia="en-AU"/>
        </w:rPr>
        <w:t xml:space="preserve"> reforms listed in </w:t>
      </w:r>
      <w:r w:rsidR="00032AB5">
        <w:rPr>
          <w:b/>
          <w:lang w:eastAsia="en-AU"/>
        </w:rPr>
        <w:t>part 3</w:t>
      </w:r>
      <w:r w:rsidR="00366B7D" w:rsidRPr="00844A07">
        <w:rPr>
          <w:b/>
          <w:lang w:eastAsia="en-AU"/>
        </w:rPr>
        <w:t>.7.3</w:t>
      </w:r>
      <w:r w:rsidRPr="00844A07">
        <w:rPr>
          <w:b/>
          <w:lang w:eastAsia="en-AU"/>
        </w:rPr>
        <w:t xml:space="preserve"> </w:t>
      </w:r>
      <w:r w:rsidR="00D54478" w:rsidRPr="00844A07">
        <w:rPr>
          <w:b/>
          <w:lang w:eastAsia="en-AU"/>
        </w:rPr>
        <w:t>are necessary</w:t>
      </w:r>
      <w:r w:rsidR="00F57E63" w:rsidRPr="00844A07">
        <w:rPr>
          <w:b/>
          <w:lang w:eastAsia="en-AU"/>
        </w:rPr>
        <w:t xml:space="preserve"> to improve responses to DFV and coercive control</w:t>
      </w:r>
      <w:r w:rsidRPr="00844A07">
        <w:rPr>
          <w:b/>
          <w:lang w:eastAsia="en-AU"/>
        </w:rPr>
        <w:t xml:space="preserve"> regardless of whether coerciv</w:t>
      </w:r>
      <w:r w:rsidR="00AF0704" w:rsidRPr="00844A07">
        <w:rPr>
          <w:b/>
          <w:lang w:eastAsia="en-AU"/>
        </w:rPr>
        <w:t>e</w:t>
      </w:r>
      <w:r w:rsidR="00AF0704" w:rsidRPr="00D54478">
        <w:rPr>
          <w:b/>
          <w:lang w:eastAsia="en-AU"/>
        </w:rPr>
        <w:t xml:space="preserve"> control is criminalised</w:t>
      </w:r>
      <w:r w:rsidR="00D54478" w:rsidRPr="00D54478">
        <w:rPr>
          <w:b/>
          <w:lang w:eastAsia="en-AU"/>
        </w:rPr>
        <w:t xml:space="preserve"> or not.</w:t>
      </w:r>
    </w:p>
    <w:p w14:paraId="7C150D96" w14:textId="1141DC71" w:rsidR="00615E7B" w:rsidRDefault="002A7521" w:rsidP="00615E7B">
      <w:pPr>
        <w:rPr>
          <w:lang w:eastAsia="en-AU"/>
        </w:rPr>
      </w:pPr>
      <w:r>
        <w:rPr>
          <w:lang w:eastAsia="en-AU"/>
        </w:rPr>
        <w:t>There are therefore</w:t>
      </w:r>
      <w:r w:rsidR="00AF0704">
        <w:rPr>
          <w:lang w:eastAsia="en-AU"/>
        </w:rPr>
        <w:t xml:space="preserve"> two main options in relation to addressing coercive control in the NT.</w:t>
      </w:r>
      <w:r w:rsidR="00615E7B">
        <w:rPr>
          <w:lang w:eastAsia="en-AU"/>
        </w:rPr>
        <w:t xml:space="preserve">  </w:t>
      </w:r>
    </w:p>
    <w:p w14:paraId="6A38CB1D" w14:textId="77777777" w:rsidR="00D701D3" w:rsidRPr="00844A07" w:rsidRDefault="00D701D3" w:rsidP="00D701D3">
      <w:pPr>
        <w:spacing w:after="0"/>
        <w:jc w:val="both"/>
        <w:rPr>
          <w:b/>
          <w:lang w:eastAsia="en-AU"/>
        </w:rPr>
      </w:pPr>
      <w:r w:rsidRPr="00844A07">
        <w:rPr>
          <w:b/>
          <w:lang w:eastAsia="en-AU"/>
        </w:rPr>
        <w:t>Option 1</w:t>
      </w:r>
    </w:p>
    <w:p w14:paraId="1B6507AE" w14:textId="67E0B3FE" w:rsidR="00857AF8" w:rsidRDefault="00857AF8" w:rsidP="00844A07">
      <w:pPr>
        <w:jc w:val="both"/>
        <w:rPr>
          <w:lang w:eastAsia="en-AU"/>
        </w:rPr>
      </w:pPr>
      <w:r>
        <w:rPr>
          <w:lang w:eastAsia="en-AU"/>
        </w:rPr>
        <w:t>N</w:t>
      </w:r>
      <w:r w:rsidRPr="00844A07">
        <w:rPr>
          <w:lang w:eastAsia="en-AU"/>
        </w:rPr>
        <w:t xml:space="preserve">ot </w:t>
      </w:r>
      <w:r w:rsidR="000E1BEC">
        <w:rPr>
          <w:lang w:eastAsia="en-AU"/>
        </w:rPr>
        <w:t>criminalise</w:t>
      </w:r>
      <w:r w:rsidRPr="00844A07">
        <w:rPr>
          <w:lang w:eastAsia="en-AU"/>
        </w:rPr>
        <w:t xml:space="preserve"> coercive control but immediately prioritise a raft of other legislative and systemic reforms (over four years) to improve the justice response to DFV and coercive control.  This option provides an opportunity to evaluate how effective these reforms have been, and for any future decisions about whether coercive control should be criminalised in the NT to be informed by that evaluation, along with the experience in other jurisdictions.</w:t>
      </w:r>
    </w:p>
    <w:p w14:paraId="1D6A1F34" w14:textId="77777777" w:rsidR="00D701D3" w:rsidRPr="00844A07" w:rsidRDefault="00D701D3" w:rsidP="00D701D3">
      <w:pPr>
        <w:spacing w:after="0"/>
        <w:jc w:val="both"/>
        <w:rPr>
          <w:b/>
          <w:lang w:eastAsia="en-AU"/>
        </w:rPr>
      </w:pPr>
      <w:r w:rsidRPr="00844A07">
        <w:rPr>
          <w:b/>
          <w:lang w:eastAsia="en-AU"/>
        </w:rPr>
        <w:t>Option 2</w:t>
      </w:r>
    </w:p>
    <w:p w14:paraId="3F5416BC" w14:textId="49294606" w:rsidR="00857AF8" w:rsidRDefault="00857AF8" w:rsidP="00844A07">
      <w:pPr>
        <w:jc w:val="both"/>
        <w:rPr>
          <w:lang w:eastAsia="en-AU"/>
        </w:rPr>
      </w:pPr>
      <w:r>
        <w:rPr>
          <w:lang w:eastAsia="en-AU"/>
        </w:rPr>
        <w:t>Alternatively, c</w:t>
      </w:r>
      <w:r w:rsidRPr="00844A07">
        <w:rPr>
          <w:lang w:eastAsia="en-AU"/>
        </w:rPr>
        <w:t>ommit to criminalising coercive control in the NT but ensure a long (four year) implementation phase prior to commencement, to enable the implementation of a raft of legislative and systemic improvements to the justice response to DFV and coercive control.</w:t>
      </w:r>
    </w:p>
    <w:p w14:paraId="548F3E17" w14:textId="212A2B49" w:rsidR="00D701D3" w:rsidRPr="00844A07" w:rsidRDefault="00D701D3" w:rsidP="00D701D3">
      <w:pPr>
        <w:jc w:val="both"/>
        <w:rPr>
          <w:lang w:eastAsia="en-AU"/>
        </w:rPr>
      </w:pPr>
      <w:r w:rsidRPr="00844A07">
        <w:rPr>
          <w:lang w:eastAsia="en-AU"/>
        </w:rPr>
        <w:t>Both Options 1 a</w:t>
      </w:r>
      <w:r w:rsidR="00844A07" w:rsidRPr="00844A07">
        <w:rPr>
          <w:lang w:eastAsia="en-AU"/>
        </w:rPr>
        <w:t>nd 2 require a long lead time (four</w:t>
      </w:r>
      <w:r w:rsidRPr="00844A07">
        <w:rPr>
          <w:lang w:eastAsia="en-AU"/>
        </w:rPr>
        <w:t xml:space="preserve"> years) for preparation and implementation to occur, before either a coercive control offence is commenced or an evaluation of the initial reforms takes place. </w:t>
      </w:r>
      <w:r w:rsidR="00844A07">
        <w:rPr>
          <w:lang w:eastAsia="en-AU"/>
        </w:rPr>
        <w:t xml:space="preserve"> </w:t>
      </w:r>
      <w:r w:rsidRPr="00844A07">
        <w:rPr>
          <w:lang w:eastAsia="en-AU"/>
        </w:rPr>
        <w:t>There is agreement across jurisdictions that implementation is critical to improve responses to DFV and coercive control, regardless of whether coercive control is criminalised.</w:t>
      </w:r>
    </w:p>
    <w:p w14:paraId="164DCBC1" w14:textId="7C84D7E5" w:rsidR="00D701D3" w:rsidRPr="00844A07" w:rsidRDefault="00D54478" w:rsidP="00D701D3">
      <w:pPr>
        <w:jc w:val="both"/>
        <w:rPr>
          <w:lang w:eastAsia="en-AU"/>
        </w:rPr>
      </w:pPr>
      <w:r w:rsidRPr="00844A07">
        <w:rPr>
          <w:lang w:eastAsia="en-AU"/>
        </w:rPr>
        <w:t>This</w:t>
      </w:r>
      <w:r w:rsidR="00D701D3" w:rsidRPr="00844A07">
        <w:rPr>
          <w:lang w:eastAsia="en-AU"/>
        </w:rPr>
        <w:t xml:space="preserve"> paper invites input about whether Option 1 or Option 2 is preferred in the NT. </w:t>
      </w:r>
    </w:p>
    <w:p w14:paraId="0A8C019E" w14:textId="7956D60E" w:rsidR="002472A9" w:rsidRDefault="002472A9" w:rsidP="00844A07">
      <w:pPr>
        <w:pStyle w:val="Heading3"/>
        <w:keepNext/>
        <w:rPr>
          <w:lang w:eastAsia="en-AU"/>
        </w:rPr>
      </w:pPr>
      <w:bookmarkStart w:id="38" w:name="_Toc112051828"/>
      <w:r>
        <w:rPr>
          <w:lang w:eastAsia="en-AU"/>
        </w:rPr>
        <w:t xml:space="preserve">Legislative </w:t>
      </w:r>
      <w:r w:rsidR="0023723D">
        <w:rPr>
          <w:lang w:eastAsia="en-AU"/>
        </w:rPr>
        <w:t>proposals</w:t>
      </w:r>
      <w:r>
        <w:rPr>
          <w:lang w:eastAsia="en-AU"/>
        </w:rPr>
        <w:t xml:space="preserve"> in relation to coercive control</w:t>
      </w:r>
      <w:bookmarkEnd w:id="38"/>
      <w:r w:rsidR="00615E7B">
        <w:rPr>
          <w:lang w:eastAsia="en-AU"/>
        </w:rPr>
        <w:t xml:space="preserve"> </w:t>
      </w:r>
    </w:p>
    <w:p w14:paraId="7639C00C" w14:textId="50EC7290" w:rsidR="00546013" w:rsidRPr="00844A07" w:rsidRDefault="00546013" w:rsidP="00844A07">
      <w:pPr>
        <w:keepNext/>
        <w:rPr>
          <w:lang w:eastAsia="en-AU"/>
        </w:rPr>
      </w:pPr>
      <w:r w:rsidRPr="00844A07">
        <w:rPr>
          <w:lang w:eastAsia="en-AU"/>
        </w:rPr>
        <w:t xml:space="preserve">The following legislative amendments are proposed to improve responses to coercive control. These are integrated into the legislative </w:t>
      </w:r>
      <w:r w:rsidR="00844A07">
        <w:rPr>
          <w:lang w:eastAsia="en-AU"/>
        </w:rPr>
        <w:t xml:space="preserve">reform (LR) </w:t>
      </w:r>
      <w:r w:rsidRPr="00844A07">
        <w:rPr>
          <w:lang w:eastAsia="en-AU"/>
        </w:rPr>
        <w:t xml:space="preserve">proposals </w:t>
      </w:r>
      <w:r w:rsidR="00E560F7" w:rsidRPr="00844A07">
        <w:rPr>
          <w:lang w:eastAsia="en-AU"/>
        </w:rPr>
        <w:t xml:space="preserve">set out </w:t>
      </w:r>
      <w:r w:rsidR="0083126A" w:rsidRPr="00844A07">
        <w:rPr>
          <w:lang w:eastAsia="en-AU"/>
        </w:rPr>
        <w:t>in Part 5</w:t>
      </w:r>
      <w:r w:rsidR="00DD27A8" w:rsidRPr="00844A07">
        <w:rPr>
          <w:lang w:eastAsia="en-AU"/>
        </w:rPr>
        <w:t xml:space="preserve"> of this paper</w:t>
      </w:r>
      <w:r w:rsidRPr="00844A07">
        <w:rPr>
          <w:lang w:eastAsia="en-AU"/>
        </w:rPr>
        <w:t xml:space="preserve">.  </w:t>
      </w:r>
      <w:r w:rsidR="002E5AD9" w:rsidRPr="00844A07">
        <w:rPr>
          <w:lang w:eastAsia="en-AU"/>
        </w:rPr>
        <w:t xml:space="preserve">It is proposed that these reforms are </w:t>
      </w:r>
      <w:r w:rsidR="005F1088" w:rsidRPr="00844A07">
        <w:rPr>
          <w:lang w:eastAsia="en-AU"/>
        </w:rPr>
        <w:t xml:space="preserve">important </w:t>
      </w:r>
      <w:r w:rsidR="002E5AD9" w:rsidRPr="00844A07">
        <w:rPr>
          <w:lang w:eastAsia="en-AU"/>
        </w:rPr>
        <w:t>regardless of whether coercive control is criminalised or not.</w:t>
      </w:r>
    </w:p>
    <w:p w14:paraId="20897A95" w14:textId="5D7EEA36" w:rsidR="00546013" w:rsidRPr="00844A07" w:rsidRDefault="00546013" w:rsidP="0067521E">
      <w:pPr>
        <w:pStyle w:val="ListParagraph"/>
        <w:numPr>
          <w:ilvl w:val="1"/>
          <w:numId w:val="53"/>
        </w:numPr>
        <w:ind w:left="993" w:hanging="425"/>
        <w:rPr>
          <w:lang w:eastAsia="en-AU"/>
        </w:rPr>
      </w:pPr>
      <w:r w:rsidRPr="00844A07">
        <w:rPr>
          <w:lang w:eastAsia="en-AU"/>
        </w:rPr>
        <w:t xml:space="preserve">Modernise the definition of domestic violence in the </w:t>
      </w:r>
      <w:r w:rsidRPr="00844A07">
        <w:rPr>
          <w:i/>
          <w:lang w:eastAsia="en-AU"/>
        </w:rPr>
        <w:t>Domestic and Family Violence Act 2007</w:t>
      </w:r>
      <w:r w:rsidRPr="00844A07">
        <w:rPr>
          <w:lang w:eastAsia="en-AU"/>
        </w:rPr>
        <w:t xml:space="preserve"> (DFV</w:t>
      </w:r>
      <w:r w:rsidR="00844A07">
        <w:rPr>
          <w:lang w:eastAsia="en-AU"/>
        </w:rPr>
        <w:t> </w:t>
      </w:r>
      <w:r w:rsidRPr="00844A07">
        <w:rPr>
          <w:lang w:eastAsia="en-AU"/>
        </w:rPr>
        <w:t>A</w:t>
      </w:r>
      <w:r w:rsidR="00844A07">
        <w:rPr>
          <w:lang w:eastAsia="en-AU"/>
        </w:rPr>
        <w:t>ct</w:t>
      </w:r>
      <w:r w:rsidRPr="00844A07">
        <w:rPr>
          <w:lang w:eastAsia="en-AU"/>
        </w:rPr>
        <w:t>) to include behaviour that is emotionally or psychologically abusive, coercive, or in any other way controls or dominates a family member</w:t>
      </w:r>
      <w:r w:rsidR="00C762FD" w:rsidRPr="00844A07">
        <w:rPr>
          <w:lang w:eastAsia="en-AU"/>
        </w:rPr>
        <w:t xml:space="preserve"> (see </w:t>
      </w:r>
      <w:r w:rsidR="00844A07" w:rsidRPr="00844A07">
        <w:rPr>
          <w:lang w:eastAsia="en-AU"/>
        </w:rPr>
        <w:t xml:space="preserve">proposal </w:t>
      </w:r>
      <w:r w:rsidR="00C762FD" w:rsidRPr="00844A07">
        <w:rPr>
          <w:lang w:eastAsia="en-AU"/>
        </w:rPr>
        <w:t>LR 4).</w:t>
      </w:r>
    </w:p>
    <w:p w14:paraId="55306119" w14:textId="7F7C67A3" w:rsidR="00546013" w:rsidRPr="00844A07" w:rsidRDefault="00546013" w:rsidP="0067521E">
      <w:pPr>
        <w:pStyle w:val="ListParagraph"/>
        <w:numPr>
          <w:ilvl w:val="1"/>
          <w:numId w:val="53"/>
        </w:numPr>
        <w:ind w:left="993" w:hanging="425"/>
        <w:rPr>
          <w:lang w:eastAsia="en-AU"/>
        </w:rPr>
      </w:pPr>
      <w:r w:rsidRPr="00844A07">
        <w:rPr>
          <w:lang w:eastAsia="en-AU"/>
        </w:rPr>
        <w:t>Incorporate a definition of coercive control into the DFV</w:t>
      </w:r>
      <w:r w:rsidR="00844A07">
        <w:rPr>
          <w:lang w:eastAsia="en-AU"/>
        </w:rPr>
        <w:t> </w:t>
      </w:r>
      <w:r w:rsidRPr="00844A07">
        <w:rPr>
          <w:lang w:eastAsia="en-AU"/>
        </w:rPr>
        <w:t>A</w:t>
      </w:r>
      <w:r w:rsidR="00844A07">
        <w:rPr>
          <w:lang w:eastAsia="en-AU"/>
        </w:rPr>
        <w:t>ct</w:t>
      </w:r>
      <w:r w:rsidR="00C762FD" w:rsidRPr="00844A07">
        <w:rPr>
          <w:lang w:eastAsia="en-AU"/>
        </w:rPr>
        <w:t xml:space="preserve"> (see </w:t>
      </w:r>
      <w:r w:rsidR="00844A07" w:rsidRPr="00844A07">
        <w:rPr>
          <w:lang w:eastAsia="en-AU"/>
        </w:rPr>
        <w:t xml:space="preserve">proposal </w:t>
      </w:r>
      <w:r w:rsidR="00C762FD" w:rsidRPr="00844A07">
        <w:rPr>
          <w:lang w:eastAsia="en-AU"/>
        </w:rPr>
        <w:t>LR</w:t>
      </w:r>
      <w:r w:rsidR="002F1075" w:rsidRPr="00844A07">
        <w:rPr>
          <w:lang w:eastAsia="en-AU"/>
        </w:rPr>
        <w:t xml:space="preserve"> 6).</w:t>
      </w:r>
    </w:p>
    <w:p w14:paraId="3C09D40C" w14:textId="73703477" w:rsidR="00546013" w:rsidRPr="00844A07" w:rsidRDefault="00546013" w:rsidP="0067521E">
      <w:pPr>
        <w:pStyle w:val="ListParagraph"/>
        <w:numPr>
          <w:ilvl w:val="1"/>
          <w:numId w:val="53"/>
        </w:numPr>
        <w:ind w:left="993" w:hanging="425"/>
        <w:rPr>
          <w:lang w:eastAsia="en-AU"/>
        </w:rPr>
      </w:pPr>
      <w:r w:rsidRPr="00844A07">
        <w:rPr>
          <w:lang w:eastAsia="en-AU"/>
        </w:rPr>
        <w:t>Develop a statutory guidance framework on DFV and coercive control to provide more detailed guidance on applying the DFV</w:t>
      </w:r>
      <w:r w:rsidR="00844A07">
        <w:rPr>
          <w:lang w:eastAsia="en-AU"/>
        </w:rPr>
        <w:t> </w:t>
      </w:r>
      <w:r w:rsidRPr="00844A07">
        <w:rPr>
          <w:lang w:eastAsia="en-AU"/>
        </w:rPr>
        <w:t>A</w:t>
      </w:r>
      <w:r w:rsidR="00844A07">
        <w:rPr>
          <w:lang w:eastAsia="en-AU"/>
        </w:rPr>
        <w:t>ct</w:t>
      </w:r>
      <w:r w:rsidR="00C06A51" w:rsidRPr="00844A07">
        <w:rPr>
          <w:lang w:eastAsia="en-AU"/>
        </w:rPr>
        <w:t xml:space="preserve"> (see </w:t>
      </w:r>
      <w:r w:rsidR="00844A07" w:rsidRPr="00844A07">
        <w:rPr>
          <w:lang w:eastAsia="en-AU"/>
        </w:rPr>
        <w:t xml:space="preserve">proposal </w:t>
      </w:r>
      <w:r w:rsidR="00C06A51" w:rsidRPr="00844A07">
        <w:rPr>
          <w:lang w:eastAsia="en-AU"/>
        </w:rPr>
        <w:t>LR 7).</w:t>
      </w:r>
    </w:p>
    <w:p w14:paraId="1E130741" w14:textId="2F937220" w:rsidR="00B140CA" w:rsidRPr="00844A07" w:rsidRDefault="00B140CA" w:rsidP="0067521E">
      <w:pPr>
        <w:pStyle w:val="ListParagraph"/>
        <w:numPr>
          <w:ilvl w:val="1"/>
          <w:numId w:val="53"/>
        </w:numPr>
        <w:ind w:left="993" w:hanging="425"/>
        <w:rPr>
          <w:lang w:eastAsia="en-AU"/>
        </w:rPr>
      </w:pPr>
      <w:r w:rsidRPr="00844A07">
        <w:rPr>
          <w:lang w:eastAsia="en-AU"/>
        </w:rPr>
        <w:t>Amend the principles in the preamble of the DFV</w:t>
      </w:r>
      <w:r w:rsidR="00844A07">
        <w:rPr>
          <w:lang w:eastAsia="en-AU"/>
        </w:rPr>
        <w:t> </w:t>
      </w:r>
      <w:r w:rsidRPr="00844A07">
        <w:rPr>
          <w:lang w:eastAsia="en-AU"/>
        </w:rPr>
        <w:t>A</w:t>
      </w:r>
      <w:r w:rsidR="00844A07">
        <w:rPr>
          <w:lang w:eastAsia="en-AU"/>
        </w:rPr>
        <w:t>ct</w:t>
      </w:r>
      <w:r w:rsidRPr="00844A07">
        <w:rPr>
          <w:lang w:eastAsia="en-AU"/>
        </w:rPr>
        <w:t xml:space="preserve"> to include coercive control and misidentification of the person most in need of protection (see </w:t>
      </w:r>
      <w:r w:rsidR="00844A07" w:rsidRPr="00844A07">
        <w:rPr>
          <w:lang w:eastAsia="en-AU"/>
        </w:rPr>
        <w:t xml:space="preserve">proposal </w:t>
      </w:r>
      <w:r w:rsidRPr="00844A07">
        <w:rPr>
          <w:lang w:eastAsia="en-AU"/>
        </w:rPr>
        <w:t>LR 1).</w:t>
      </w:r>
    </w:p>
    <w:p w14:paraId="2EB067E8" w14:textId="74FF3F7E" w:rsidR="00546013" w:rsidRPr="00844A07" w:rsidRDefault="00546013" w:rsidP="0067521E">
      <w:pPr>
        <w:numPr>
          <w:ilvl w:val="1"/>
          <w:numId w:val="53"/>
        </w:numPr>
        <w:ind w:left="993" w:hanging="425"/>
        <w:rPr>
          <w:lang w:eastAsia="en-AU"/>
        </w:rPr>
      </w:pPr>
      <w:r w:rsidRPr="00844A07">
        <w:rPr>
          <w:lang w:eastAsia="en-AU"/>
        </w:rPr>
        <w:t>Amend section 19 of DFV</w:t>
      </w:r>
      <w:r w:rsidR="00844A07">
        <w:rPr>
          <w:lang w:eastAsia="en-AU"/>
        </w:rPr>
        <w:t> </w:t>
      </w:r>
      <w:r w:rsidRPr="00844A07">
        <w:rPr>
          <w:lang w:eastAsia="en-AU"/>
        </w:rPr>
        <w:t>A</w:t>
      </w:r>
      <w:r w:rsidR="00844A07">
        <w:rPr>
          <w:lang w:eastAsia="en-AU"/>
        </w:rPr>
        <w:t>ct</w:t>
      </w:r>
      <w:r w:rsidRPr="00844A07">
        <w:rPr>
          <w:lang w:eastAsia="en-AU"/>
        </w:rPr>
        <w:t xml:space="preserve"> so that where there are cross allegations of violence the concepts of coercive control and a pattern of abuse can be used to assist police and courts to correctly identify ‘the person most in need of protection’ </w:t>
      </w:r>
      <w:r w:rsidR="00C06A51" w:rsidRPr="00844A07">
        <w:rPr>
          <w:lang w:eastAsia="en-AU"/>
        </w:rPr>
        <w:t xml:space="preserve">(see </w:t>
      </w:r>
      <w:r w:rsidR="00844A07" w:rsidRPr="00844A07">
        <w:rPr>
          <w:lang w:eastAsia="en-AU"/>
        </w:rPr>
        <w:t xml:space="preserve">proposal </w:t>
      </w:r>
      <w:r w:rsidR="00C06A51" w:rsidRPr="00844A07">
        <w:rPr>
          <w:lang w:eastAsia="en-AU"/>
        </w:rPr>
        <w:t>LR 6).</w:t>
      </w:r>
    </w:p>
    <w:p w14:paraId="408EF424" w14:textId="3BC4EEED" w:rsidR="00546013" w:rsidRPr="00844A07" w:rsidRDefault="00546013" w:rsidP="0067521E">
      <w:pPr>
        <w:numPr>
          <w:ilvl w:val="1"/>
          <w:numId w:val="53"/>
        </w:numPr>
        <w:ind w:left="993" w:hanging="425"/>
        <w:rPr>
          <w:lang w:eastAsia="en-AU"/>
        </w:rPr>
      </w:pPr>
      <w:r>
        <w:rPr>
          <w:lang w:eastAsia="en-AU"/>
        </w:rPr>
        <w:t>Amend the DFV</w:t>
      </w:r>
      <w:r w:rsidR="00844A07">
        <w:rPr>
          <w:lang w:eastAsia="en-AU"/>
        </w:rPr>
        <w:t> </w:t>
      </w:r>
      <w:r>
        <w:rPr>
          <w:lang w:eastAsia="en-AU"/>
        </w:rPr>
        <w:t>A</w:t>
      </w:r>
      <w:r w:rsidR="00844A07">
        <w:rPr>
          <w:lang w:eastAsia="en-AU"/>
        </w:rPr>
        <w:t>ct</w:t>
      </w:r>
      <w:r>
        <w:rPr>
          <w:lang w:eastAsia="en-AU"/>
        </w:rPr>
        <w:t xml:space="preserve"> to require police to provide criminal history and a list of current and prior </w:t>
      </w:r>
      <w:r w:rsidRPr="00844A07">
        <w:rPr>
          <w:lang w:eastAsia="en-AU"/>
        </w:rPr>
        <w:t xml:space="preserve">DVOs against a defendant at the first mention in all applications for DVOs, so that </w:t>
      </w:r>
      <w:r w:rsidRPr="00844A07">
        <w:rPr>
          <w:lang w:eastAsia="en-AU"/>
        </w:rPr>
        <w:lastRenderedPageBreak/>
        <w:t xml:space="preserve">patterns of abuse can be more readily detected early in the proceedings </w:t>
      </w:r>
      <w:r w:rsidR="00C06A51" w:rsidRPr="00844A07">
        <w:rPr>
          <w:lang w:eastAsia="en-AU"/>
        </w:rPr>
        <w:t xml:space="preserve">(see </w:t>
      </w:r>
      <w:r w:rsidR="00844A07" w:rsidRPr="00844A07">
        <w:rPr>
          <w:lang w:eastAsia="en-AU"/>
        </w:rPr>
        <w:t xml:space="preserve">proposal </w:t>
      </w:r>
      <w:r w:rsidR="00C06A51" w:rsidRPr="00844A07">
        <w:rPr>
          <w:lang w:eastAsia="en-AU"/>
        </w:rPr>
        <w:t>LR</w:t>
      </w:r>
      <w:r w:rsidR="00844A07">
        <w:rPr>
          <w:lang w:eastAsia="en-AU"/>
        </w:rPr>
        <w:t> </w:t>
      </w:r>
      <w:r w:rsidR="00C06A51" w:rsidRPr="00844A07">
        <w:rPr>
          <w:lang w:eastAsia="en-AU"/>
        </w:rPr>
        <w:t>12).</w:t>
      </w:r>
    </w:p>
    <w:p w14:paraId="4738E025" w14:textId="4B32945C" w:rsidR="00546013" w:rsidRPr="00844A07" w:rsidRDefault="00546013" w:rsidP="0067521E">
      <w:pPr>
        <w:numPr>
          <w:ilvl w:val="1"/>
          <w:numId w:val="53"/>
        </w:numPr>
        <w:ind w:left="993" w:hanging="425"/>
        <w:rPr>
          <w:lang w:eastAsia="en-AU"/>
        </w:rPr>
      </w:pPr>
      <w:r w:rsidRPr="00844A07">
        <w:t>Amend the DFV</w:t>
      </w:r>
      <w:r w:rsidR="00844A07">
        <w:t> </w:t>
      </w:r>
      <w:r w:rsidRPr="00844A07">
        <w:t>A</w:t>
      </w:r>
      <w:r w:rsidR="00844A07">
        <w:t>ct</w:t>
      </w:r>
      <w:r w:rsidRPr="00844A07">
        <w:t xml:space="preserve"> to mandate attendance at behaviour change programs along the lines of counselling orders provided for in Part 5 of the </w:t>
      </w:r>
      <w:r w:rsidRPr="00844A07">
        <w:rPr>
          <w:i/>
          <w:iCs/>
        </w:rPr>
        <w:t>Family Violence Protection Act 2008 (Vic)</w:t>
      </w:r>
      <w:r w:rsidRPr="00844A07">
        <w:t xml:space="preserve"> to provide greater impetus and opportunity for DFV offenders to address coercive controlling behaviour</w:t>
      </w:r>
      <w:r w:rsidR="00C06A51" w:rsidRPr="00844A07">
        <w:t xml:space="preserve"> </w:t>
      </w:r>
      <w:r w:rsidR="00C06A51" w:rsidRPr="00844A07">
        <w:rPr>
          <w:lang w:eastAsia="en-AU"/>
        </w:rPr>
        <w:t xml:space="preserve">(see </w:t>
      </w:r>
      <w:r w:rsidR="00844A07" w:rsidRPr="00844A07">
        <w:rPr>
          <w:lang w:eastAsia="en-AU"/>
        </w:rPr>
        <w:t xml:space="preserve">proposal </w:t>
      </w:r>
      <w:r w:rsidR="00C06A51" w:rsidRPr="00844A07">
        <w:rPr>
          <w:lang w:eastAsia="en-AU"/>
        </w:rPr>
        <w:t>LR 18).</w:t>
      </w:r>
    </w:p>
    <w:p w14:paraId="6BFBC7D3" w14:textId="1FAB35AA" w:rsidR="00546013" w:rsidRPr="00844A07" w:rsidRDefault="00546013" w:rsidP="0067521E">
      <w:pPr>
        <w:numPr>
          <w:ilvl w:val="1"/>
          <w:numId w:val="53"/>
        </w:numPr>
        <w:ind w:left="993" w:hanging="425"/>
        <w:rPr>
          <w:lang w:eastAsia="en-AU"/>
        </w:rPr>
      </w:pPr>
      <w:r w:rsidRPr="00844A07">
        <w:rPr>
          <w:lang w:eastAsia="en-AU"/>
        </w:rPr>
        <w:t xml:space="preserve">Amend section 6A of the </w:t>
      </w:r>
      <w:r w:rsidRPr="00844A07">
        <w:rPr>
          <w:i/>
          <w:lang w:eastAsia="en-AU"/>
        </w:rPr>
        <w:t>Sentencing Act 1995</w:t>
      </w:r>
      <w:r w:rsidRPr="00844A07">
        <w:rPr>
          <w:lang w:eastAsia="en-AU"/>
        </w:rPr>
        <w:t xml:space="preserve"> so that it is an aggravating factor for the purposes of sentencing if the offence was committed as part of a pattern of coercive controlling behaviour</w:t>
      </w:r>
      <w:r w:rsidR="00C06A51" w:rsidRPr="00844A07">
        <w:rPr>
          <w:lang w:eastAsia="en-AU"/>
        </w:rPr>
        <w:t xml:space="preserve"> (see </w:t>
      </w:r>
      <w:r w:rsidR="00844A07" w:rsidRPr="00844A07">
        <w:rPr>
          <w:lang w:eastAsia="en-AU"/>
        </w:rPr>
        <w:t xml:space="preserve">proposal </w:t>
      </w:r>
      <w:r w:rsidR="00C06A51" w:rsidRPr="00844A07">
        <w:rPr>
          <w:lang w:eastAsia="en-AU"/>
        </w:rPr>
        <w:t>LR 47).</w:t>
      </w:r>
    </w:p>
    <w:p w14:paraId="352DE86F" w14:textId="4DD433CF" w:rsidR="00546013" w:rsidRPr="00844A07" w:rsidRDefault="00546013" w:rsidP="0067521E">
      <w:pPr>
        <w:numPr>
          <w:ilvl w:val="1"/>
          <w:numId w:val="53"/>
        </w:numPr>
        <w:ind w:left="993" w:hanging="425"/>
        <w:rPr>
          <w:lang w:eastAsia="en-AU"/>
        </w:rPr>
      </w:pPr>
      <w:r w:rsidRPr="00844A07">
        <w:rPr>
          <w:lang w:eastAsia="en-AU"/>
        </w:rPr>
        <w:t xml:space="preserve">Conduct further research into whether coercive control should be a mitigating factor in sentencing (see section 5(2)(f) of the </w:t>
      </w:r>
      <w:r w:rsidRPr="00844A07">
        <w:rPr>
          <w:i/>
          <w:lang w:eastAsia="en-AU"/>
        </w:rPr>
        <w:t>Sentencing Act 1995</w:t>
      </w:r>
      <w:r w:rsidR="00C06A51" w:rsidRPr="00844A07">
        <w:rPr>
          <w:lang w:eastAsia="en-AU"/>
        </w:rPr>
        <w:t xml:space="preserve">) (see </w:t>
      </w:r>
      <w:r w:rsidR="00844A07" w:rsidRPr="00844A07">
        <w:rPr>
          <w:lang w:eastAsia="en-AU"/>
        </w:rPr>
        <w:t xml:space="preserve">proposal </w:t>
      </w:r>
      <w:r w:rsidR="00C06A51" w:rsidRPr="00844A07">
        <w:rPr>
          <w:lang w:eastAsia="en-AU"/>
        </w:rPr>
        <w:t>LR 48).</w:t>
      </w:r>
    </w:p>
    <w:p w14:paraId="3D3AAAB0" w14:textId="1BDF9192" w:rsidR="00546013" w:rsidRPr="00844A07" w:rsidRDefault="00546013" w:rsidP="0067521E">
      <w:pPr>
        <w:pStyle w:val="ListParagraph"/>
        <w:numPr>
          <w:ilvl w:val="1"/>
          <w:numId w:val="53"/>
        </w:numPr>
        <w:ind w:left="993" w:hanging="425"/>
        <w:rPr>
          <w:lang w:eastAsia="en-AU"/>
        </w:rPr>
      </w:pPr>
      <w:r w:rsidRPr="00844A07">
        <w:rPr>
          <w:lang w:eastAsia="en-AU"/>
        </w:rPr>
        <w:t>Amend the definition of harm in the Criminal Code to avoid any doubt that coercive control may result in</w:t>
      </w:r>
      <w:r w:rsidR="00DA17A4" w:rsidRPr="00844A07">
        <w:rPr>
          <w:lang w:eastAsia="en-AU"/>
        </w:rPr>
        <w:t xml:space="preserve"> significant psychological harm (see </w:t>
      </w:r>
      <w:r w:rsidR="00844A07" w:rsidRPr="00844A07">
        <w:rPr>
          <w:lang w:eastAsia="en-AU"/>
        </w:rPr>
        <w:t xml:space="preserve">proposal </w:t>
      </w:r>
      <w:r w:rsidR="00DA17A4" w:rsidRPr="00844A07">
        <w:rPr>
          <w:lang w:eastAsia="en-AU"/>
        </w:rPr>
        <w:t>LR 51).</w:t>
      </w:r>
    </w:p>
    <w:p w14:paraId="33BEFF12" w14:textId="5289F688" w:rsidR="002E5AD9" w:rsidRPr="00844A07" w:rsidRDefault="002E5AD9" w:rsidP="0067521E">
      <w:pPr>
        <w:pStyle w:val="ListParagraph"/>
        <w:numPr>
          <w:ilvl w:val="1"/>
          <w:numId w:val="53"/>
        </w:numPr>
        <w:ind w:left="993" w:hanging="425"/>
        <w:rPr>
          <w:lang w:eastAsia="en-AU"/>
        </w:rPr>
      </w:pPr>
      <w:r w:rsidRPr="00844A07">
        <w:t xml:space="preserve">Amend the </w:t>
      </w:r>
      <w:r w:rsidRPr="00844A07">
        <w:rPr>
          <w:i/>
        </w:rPr>
        <w:t>Evidence Act 1939</w:t>
      </w:r>
      <w:r w:rsidRPr="00844A07">
        <w:t xml:space="preserve"> along the lines of section 39 of the </w:t>
      </w:r>
      <w:r w:rsidRPr="00844A07">
        <w:rPr>
          <w:i/>
        </w:rPr>
        <w:t>Evidence Act 1906 (WA)</w:t>
      </w:r>
      <w:r w:rsidRPr="00844A07">
        <w:t xml:space="preserve"> to allow expert evidence of family violence to be admissible where evidence of family violence is relevant to a fact in issue </w:t>
      </w:r>
      <w:r w:rsidRPr="00844A07">
        <w:rPr>
          <w:lang w:eastAsia="en-AU"/>
        </w:rPr>
        <w:t xml:space="preserve">(see </w:t>
      </w:r>
      <w:r w:rsidR="00844A07" w:rsidRPr="00844A07">
        <w:rPr>
          <w:lang w:eastAsia="en-AU"/>
        </w:rPr>
        <w:t xml:space="preserve">proposal </w:t>
      </w:r>
      <w:r w:rsidRPr="00844A07">
        <w:rPr>
          <w:lang w:eastAsia="en-AU"/>
        </w:rPr>
        <w:t>LR 54).</w:t>
      </w:r>
    </w:p>
    <w:p w14:paraId="658FD9C3" w14:textId="7C013AAE" w:rsidR="00B140CA" w:rsidRPr="00844A07" w:rsidRDefault="00B140CA" w:rsidP="0067521E">
      <w:pPr>
        <w:pStyle w:val="ListParagraph"/>
        <w:numPr>
          <w:ilvl w:val="1"/>
          <w:numId w:val="53"/>
        </w:numPr>
        <w:ind w:left="993" w:hanging="425"/>
        <w:rPr>
          <w:lang w:eastAsia="en-AU"/>
        </w:rPr>
      </w:pPr>
      <w:r w:rsidRPr="00844A07">
        <w:t xml:space="preserve">Amend the </w:t>
      </w:r>
      <w:r w:rsidRPr="00844A07">
        <w:rPr>
          <w:i/>
        </w:rPr>
        <w:t>Evidence Act 1939</w:t>
      </w:r>
      <w:r w:rsidRPr="00844A07">
        <w:t xml:space="preserve"> to adopt mandatory jury directions in relation to DFV, and establish a working group to advise on the content of the directions for the NT </w:t>
      </w:r>
      <w:r w:rsidRPr="00844A07">
        <w:rPr>
          <w:lang w:eastAsia="en-AU"/>
        </w:rPr>
        <w:t xml:space="preserve">(see </w:t>
      </w:r>
      <w:r w:rsidR="00844A07" w:rsidRPr="00844A07">
        <w:rPr>
          <w:lang w:eastAsia="en-AU"/>
        </w:rPr>
        <w:t xml:space="preserve">proposal </w:t>
      </w:r>
      <w:r w:rsidRPr="00844A07">
        <w:rPr>
          <w:lang w:eastAsia="en-AU"/>
        </w:rPr>
        <w:t>LR 55)</w:t>
      </w:r>
      <w:r w:rsidR="00844A07" w:rsidRPr="00844A07">
        <w:rPr>
          <w:lang w:eastAsia="en-AU"/>
        </w:rPr>
        <w:t>.</w:t>
      </w:r>
    </w:p>
    <w:p w14:paraId="5569F028" w14:textId="615935E7" w:rsidR="002472A9" w:rsidRDefault="00B86EE9" w:rsidP="00844A07">
      <w:pPr>
        <w:pStyle w:val="Heading3"/>
        <w:keepNext/>
        <w:rPr>
          <w:lang w:eastAsia="en-AU"/>
        </w:rPr>
      </w:pPr>
      <w:bookmarkStart w:id="39" w:name="_Toc112051829"/>
      <w:r>
        <w:rPr>
          <w:lang w:eastAsia="en-AU"/>
        </w:rPr>
        <w:t>S</w:t>
      </w:r>
      <w:r w:rsidR="002E5AD9">
        <w:rPr>
          <w:lang w:eastAsia="en-AU"/>
        </w:rPr>
        <w:t>ystemic</w:t>
      </w:r>
      <w:r w:rsidR="008B2398">
        <w:rPr>
          <w:lang w:eastAsia="en-AU"/>
        </w:rPr>
        <w:t xml:space="preserve"> reforms</w:t>
      </w:r>
      <w:r w:rsidR="0023723D">
        <w:rPr>
          <w:lang w:eastAsia="en-AU"/>
        </w:rPr>
        <w:t xml:space="preserve"> in relation to coercive control</w:t>
      </w:r>
      <w:bookmarkEnd w:id="39"/>
    </w:p>
    <w:p w14:paraId="25E1C1A9" w14:textId="6802FA4C" w:rsidR="008E605E" w:rsidRPr="00844A07" w:rsidRDefault="008E605E" w:rsidP="00844A07">
      <w:pPr>
        <w:keepNext/>
        <w:rPr>
          <w:lang w:eastAsia="en-AU"/>
        </w:rPr>
      </w:pPr>
      <w:r>
        <w:rPr>
          <w:lang w:eastAsia="en-AU"/>
        </w:rPr>
        <w:t xml:space="preserve">The following systemic reforms are proposed to improve responses to coercive control.  </w:t>
      </w:r>
      <w:r w:rsidRPr="00756DFC">
        <w:rPr>
          <w:lang w:eastAsia="en-AU"/>
        </w:rPr>
        <w:t xml:space="preserve">These are </w:t>
      </w:r>
      <w:r w:rsidRPr="00844A07">
        <w:rPr>
          <w:lang w:eastAsia="en-AU"/>
        </w:rPr>
        <w:t xml:space="preserve">integrated into the systemic reform (SR) proposals </w:t>
      </w:r>
      <w:r w:rsidR="00E560F7" w:rsidRPr="00844A07">
        <w:rPr>
          <w:lang w:eastAsia="en-AU"/>
        </w:rPr>
        <w:t xml:space="preserve">set out </w:t>
      </w:r>
      <w:r w:rsidR="00032AB5">
        <w:rPr>
          <w:lang w:eastAsia="en-AU"/>
        </w:rPr>
        <w:t>in Part 5</w:t>
      </w:r>
      <w:r w:rsidRPr="00844A07">
        <w:rPr>
          <w:lang w:eastAsia="en-AU"/>
        </w:rPr>
        <w:t xml:space="preserve">. </w:t>
      </w:r>
      <w:r w:rsidR="00844A07">
        <w:rPr>
          <w:lang w:eastAsia="en-AU"/>
        </w:rPr>
        <w:t xml:space="preserve"> </w:t>
      </w:r>
      <w:r w:rsidR="005F1088" w:rsidRPr="00844A07">
        <w:rPr>
          <w:lang w:eastAsia="en-AU"/>
        </w:rPr>
        <w:t>It is proposed that these are important regardless of whether coercive control is criminalised or not.</w:t>
      </w:r>
    </w:p>
    <w:p w14:paraId="60CF33C1" w14:textId="422AB09A" w:rsidR="008E605E" w:rsidRPr="00844A07" w:rsidRDefault="008E605E" w:rsidP="0067521E">
      <w:pPr>
        <w:pStyle w:val="ListParagraph"/>
        <w:numPr>
          <w:ilvl w:val="0"/>
          <w:numId w:val="142"/>
        </w:numPr>
        <w:ind w:left="993" w:hanging="426"/>
      </w:pPr>
      <w:r w:rsidRPr="00844A07">
        <w:t xml:space="preserve">Implement an extensive Territory-wide program of community awareness raising about coercive control and DFV, with a particular focus on education in Aboriginal communities to build a shared understanding of what coercive control is (see </w:t>
      </w:r>
      <w:r w:rsidR="00844A07" w:rsidRPr="00844A07">
        <w:t xml:space="preserve">proposal </w:t>
      </w:r>
      <w:r w:rsidRPr="00844A07">
        <w:t>SR 7).</w:t>
      </w:r>
    </w:p>
    <w:p w14:paraId="08015845" w14:textId="6D08861B" w:rsidR="008E605E" w:rsidRPr="00844A07" w:rsidRDefault="008E605E" w:rsidP="0067521E">
      <w:pPr>
        <w:pStyle w:val="ListParagraph"/>
        <w:numPr>
          <w:ilvl w:val="0"/>
          <w:numId w:val="142"/>
        </w:numPr>
        <w:ind w:left="993" w:hanging="426"/>
        <w:rPr>
          <w:lang w:eastAsia="en-AU"/>
        </w:rPr>
      </w:pPr>
      <w:r w:rsidRPr="00844A07">
        <w:rPr>
          <w:lang w:eastAsia="en-AU"/>
        </w:rPr>
        <w:t xml:space="preserve">Incorporate coercive control into the training of police, prosecutors, judges, lawyers and front-line workers to assist in identifying and responding to coercive control as a form of DFV (see </w:t>
      </w:r>
      <w:r w:rsidR="00844A07" w:rsidRPr="00844A07">
        <w:rPr>
          <w:lang w:eastAsia="en-AU"/>
        </w:rPr>
        <w:t xml:space="preserve">proposal </w:t>
      </w:r>
      <w:r w:rsidRPr="00844A07">
        <w:rPr>
          <w:lang w:eastAsia="en-AU"/>
        </w:rPr>
        <w:t>SR 8)</w:t>
      </w:r>
      <w:r w:rsidR="008F5423">
        <w:rPr>
          <w:lang w:eastAsia="en-AU"/>
        </w:rPr>
        <w:t>.</w:t>
      </w:r>
    </w:p>
    <w:p w14:paraId="36A40AC9" w14:textId="05049F06" w:rsidR="008E605E" w:rsidRPr="00844A07" w:rsidRDefault="008E605E" w:rsidP="0067521E">
      <w:pPr>
        <w:pStyle w:val="ListParagraph"/>
        <w:numPr>
          <w:ilvl w:val="0"/>
          <w:numId w:val="142"/>
        </w:numPr>
        <w:ind w:left="993" w:hanging="426"/>
        <w:rPr>
          <w:lang w:eastAsia="en-AU"/>
        </w:rPr>
      </w:pPr>
      <w:r w:rsidRPr="00844A07">
        <w:rPr>
          <w:lang w:eastAsia="en-AU"/>
        </w:rPr>
        <w:t xml:space="preserve">Implement a major NT-wide public health campaign about healthy and safe relationships, to make people aware that coercive control is a form of DFV and how to address it (see </w:t>
      </w:r>
      <w:r w:rsidR="00844A07" w:rsidRPr="00844A07">
        <w:rPr>
          <w:lang w:eastAsia="en-AU"/>
        </w:rPr>
        <w:t xml:space="preserve">proposal </w:t>
      </w:r>
      <w:r w:rsidRPr="00844A07">
        <w:rPr>
          <w:lang w:eastAsia="en-AU"/>
        </w:rPr>
        <w:t>SR 9).</w:t>
      </w:r>
    </w:p>
    <w:p w14:paraId="4E3E91F1" w14:textId="0F310697" w:rsidR="008E605E" w:rsidRPr="00844A07" w:rsidRDefault="008E605E" w:rsidP="0067521E">
      <w:pPr>
        <w:pStyle w:val="ListParagraph"/>
        <w:numPr>
          <w:ilvl w:val="0"/>
          <w:numId w:val="142"/>
        </w:numPr>
        <w:ind w:left="993" w:hanging="426"/>
        <w:rPr>
          <w:lang w:eastAsia="en-AU"/>
        </w:rPr>
      </w:pPr>
      <w:r w:rsidRPr="00844A07">
        <w:t xml:space="preserve">Revise the </w:t>
      </w:r>
      <w:r w:rsidR="008F5423" w:rsidRPr="00844A07">
        <w:t xml:space="preserve">Police </w:t>
      </w:r>
      <w:r w:rsidRPr="00844A07">
        <w:t xml:space="preserve">General Order on DFV and other relevant policy and procedures to assist police to identify ‘red flags’ for coercive control and respond to coercive control as a high risk factor for serious harm and death </w:t>
      </w:r>
      <w:r w:rsidRPr="00844A07">
        <w:rPr>
          <w:lang w:eastAsia="en-AU"/>
        </w:rPr>
        <w:t xml:space="preserve">(see </w:t>
      </w:r>
      <w:r w:rsidR="00844A07" w:rsidRPr="00844A07">
        <w:rPr>
          <w:lang w:eastAsia="en-AU"/>
        </w:rPr>
        <w:t xml:space="preserve">proposal </w:t>
      </w:r>
      <w:r w:rsidRPr="00844A07">
        <w:rPr>
          <w:lang w:eastAsia="en-AU"/>
        </w:rPr>
        <w:t>SR 11)</w:t>
      </w:r>
      <w:r w:rsidRPr="00844A07">
        <w:t>.</w:t>
      </w:r>
    </w:p>
    <w:p w14:paraId="5171AAFC" w14:textId="78CCDAC9" w:rsidR="008E605E" w:rsidRPr="00844A07" w:rsidRDefault="008E605E" w:rsidP="0067521E">
      <w:pPr>
        <w:pStyle w:val="ListParagraph"/>
        <w:numPr>
          <w:ilvl w:val="0"/>
          <w:numId w:val="142"/>
        </w:numPr>
        <w:ind w:left="993" w:hanging="426"/>
        <w:rPr>
          <w:b/>
        </w:rPr>
      </w:pPr>
      <w:r w:rsidRPr="00844A07">
        <w:t xml:space="preserve">Review police training on DFV to assist police in identifying and responding to coercive control in line with the revised </w:t>
      </w:r>
      <w:r w:rsidR="008F5423">
        <w:t xml:space="preserve">Police </w:t>
      </w:r>
      <w:r w:rsidRPr="00844A07">
        <w:t xml:space="preserve">General Order on DFV </w:t>
      </w:r>
      <w:r w:rsidRPr="00844A07">
        <w:rPr>
          <w:lang w:eastAsia="en-AU"/>
        </w:rPr>
        <w:t xml:space="preserve">(see </w:t>
      </w:r>
      <w:r w:rsidR="00844A07" w:rsidRPr="00844A07">
        <w:rPr>
          <w:lang w:eastAsia="en-AU"/>
        </w:rPr>
        <w:t xml:space="preserve">proposal </w:t>
      </w:r>
      <w:r w:rsidRPr="00844A07">
        <w:rPr>
          <w:lang w:eastAsia="en-AU"/>
        </w:rPr>
        <w:t>SR 12).</w:t>
      </w:r>
    </w:p>
    <w:p w14:paraId="10B9569F" w14:textId="1FDAC8D0" w:rsidR="008E605E" w:rsidRPr="00844A07" w:rsidRDefault="008E605E" w:rsidP="0067521E">
      <w:pPr>
        <w:pStyle w:val="ListParagraph"/>
        <w:numPr>
          <w:ilvl w:val="0"/>
          <w:numId w:val="142"/>
        </w:numPr>
        <w:ind w:left="993" w:hanging="426"/>
      </w:pPr>
      <w:r w:rsidRPr="00844A07">
        <w:t xml:space="preserve">Develop a police-specific tool and practices to assess and manage risk associated with DFV and coercive </w:t>
      </w:r>
      <w:r w:rsidR="003A59D4" w:rsidRPr="00844A07">
        <w:t xml:space="preserve">control </w:t>
      </w:r>
      <w:r w:rsidRPr="00844A07">
        <w:t xml:space="preserve">that is aligned with the RAMF </w:t>
      </w:r>
      <w:r w:rsidRPr="00844A07">
        <w:rPr>
          <w:lang w:eastAsia="en-AU"/>
        </w:rPr>
        <w:t xml:space="preserve">(see </w:t>
      </w:r>
      <w:r w:rsidR="00844A07" w:rsidRPr="00844A07">
        <w:rPr>
          <w:lang w:eastAsia="en-AU"/>
        </w:rPr>
        <w:t xml:space="preserve">proposal </w:t>
      </w:r>
      <w:r w:rsidRPr="00844A07">
        <w:rPr>
          <w:lang w:eastAsia="en-AU"/>
        </w:rPr>
        <w:t>SR 13).</w:t>
      </w:r>
    </w:p>
    <w:p w14:paraId="313CD9C5" w14:textId="19628C16" w:rsidR="008E605E" w:rsidRPr="00844A07" w:rsidRDefault="008E605E" w:rsidP="0067521E">
      <w:pPr>
        <w:pStyle w:val="ListParagraph"/>
        <w:numPr>
          <w:ilvl w:val="0"/>
          <w:numId w:val="142"/>
        </w:numPr>
        <w:spacing w:after="240"/>
        <w:ind w:left="992" w:hanging="425"/>
      </w:pPr>
      <w:r w:rsidRPr="00844A07">
        <w:t xml:space="preserve">Expand and strengthen DFV perpetrator programs in the NT so that people who </w:t>
      </w:r>
      <w:r w:rsidR="008F5423">
        <w:t xml:space="preserve">use coercive </w:t>
      </w:r>
      <w:r w:rsidRPr="00844A07">
        <w:t xml:space="preserve">controlling behaviour have support to change their behaviour </w:t>
      </w:r>
      <w:r w:rsidRPr="00844A07">
        <w:rPr>
          <w:lang w:eastAsia="en-AU"/>
        </w:rPr>
        <w:t xml:space="preserve">(see </w:t>
      </w:r>
      <w:r w:rsidR="00844A07" w:rsidRPr="00844A07">
        <w:rPr>
          <w:lang w:eastAsia="en-AU"/>
        </w:rPr>
        <w:t xml:space="preserve">proposals </w:t>
      </w:r>
      <w:r w:rsidR="00844A07">
        <w:rPr>
          <w:lang w:eastAsia="en-AU"/>
        </w:rPr>
        <w:t>SR </w:t>
      </w:r>
      <w:r w:rsidRPr="00844A07">
        <w:rPr>
          <w:lang w:eastAsia="en-AU"/>
        </w:rPr>
        <w:t>21 and 22)</w:t>
      </w:r>
      <w:r w:rsidRPr="00844A07">
        <w:t xml:space="preserve">.  </w:t>
      </w:r>
    </w:p>
    <w:p w14:paraId="067B2367" w14:textId="75148802" w:rsidR="008E605E" w:rsidRDefault="008E605E" w:rsidP="008E605E">
      <w:pPr>
        <w:rPr>
          <w:lang w:eastAsia="en-AU"/>
        </w:rPr>
      </w:pPr>
      <w:r>
        <w:rPr>
          <w:lang w:eastAsia="en-AU"/>
        </w:rPr>
        <w:lastRenderedPageBreak/>
        <w:t xml:space="preserve">It is noted that some of the proposals can be implemented within the existing resources of agencies and some require further investment and will be considered </w:t>
      </w:r>
      <w:r w:rsidR="008F5423">
        <w:rPr>
          <w:lang w:eastAsia="en-AU"/>
        </w:rPr>
        <w:t>by the DFSV-ICRO in the next 12 </w:t>
      </w:r>
      <w:r>
        <w:rPr>
          <w:lang w:eastAsia="en-AU"/>
        </w:rPr>
        <w:t>months as part of the DFV reform agenda.</w:t>
      </w:r>
      <w:r w:rsidR="003A59D4">
        <w:rPr>
          <w:lang w:eastAsia="en-AU"/>
        </w:rPr>
        <w:t xml:space="preserve"> </w:t>
      </w:r>
      <w:r w:rsidR="008F5423">
        <w:rPr>
          <w:lang w:eastAsia="en-AU"/>
        </w:rPr>
        <w:t xml:space="preserve"> </w:t>
      </w:r>
      <w:r w:rsidR="003A59D4">
        <w:rPr>
          <w:lang w:eastAsia="en-AU"/>
        </w:rPr>
        <w:t>All of them wi</w:t>
      </w:r>
      <w:r w:rsidR="008F5423">
        <w:rPr>
          <w:lang w:eastAsia="en-AU"/>
        </w:rPr>
        <w:t>ll benefit from inter-agency co</w:t>
      </w:r>
      <w:r w:rsidR="008F5423">
        <w:rPr>
          <w:lang w:eastAsia="en-AU"/>
        </w:rPr>
        <w:noBreakHyphen/>
      </w:r>
      <w:r w:rsidR="003A59D4">
        <w:rPr>
          <w:lang w:eastAsia="en-AU"/>
        </w:rPr>
        <w:t>ordination and alignment.</w:t>
      </w:r>
    </w:p>
    <w:p w14:paraId="3675BBFB" w14:textId="372A3B85" w:rsidR="008E605E" w:rsidRPr="008E605E" w:rsidRDefault="008E605E" w:rsidP="008E605E">
      <w:r w:rsidRPr="003617A8">
        <w:t xml:space="preserve">It is proposed that the </w:t>
      </w:r>
      <w:r w:rsidR="008F5423">
        <w:t xml:space="preserve">government’s </w:t>
      </w:r>
      <w:r w:rsidR="0099705D">
        <w:t>DFSV-</w:t>
      </w:r>
      <w:r w:rsidRPr="003617A8">
        <w:t xml:space="preserve">ICRO be tasked with driving the implementation of reforms to combat coercive control in the context of strengthening the inter-agency response to DFV. </w:t>
      </w:r>
      <w:r w:rsidR="008F5423">
        <w:t xml:space="preserve"> </w:t>
      </w:r>
      <w:r>
        <w:t>This will include greater alignment between police, justice, health, education</w:t>
      </w:r>
      <w:r w:rsidRPr="003617A8">
        <w:t xml:space="preserve"> </w:t>
      </w:r>
      <w:r>
        <w:t>and territory families</w:t>
      </w:r>
      <w:r w:rsidR="008F5423">
        <w:t>’</w:t>
      </w:r>
      <w:r>
        <w:t xml:space="preserve"> approaches to DFV and coercive control and consideration of priorities for future investment.</w:t>
      </w:r>
    </w:p>
    <w:p w14:paraId="0D354224" w14:textId="22DAFC2A" w:rsidR="00514213" w:rsidRDefault="001F4BEC" w:rsidP="00615E7B">
      <w:pPr>
        <w:pStyle w:val="Heading3"/>
        <w:rPr>
          <w:lang w:eastAsia="en-AU"/>
        </w:rPr>
      </w:pPr>
      <w:bookmarkStart w:id="40" w:name="_Toc112051830"/>
      <w:r>
        <w:rPr>
          <w:lang w:eastAsia="en-AU"/>
        </w:rPr>
        <w:t>Question</w:t>
      </w:r>
      <w:r w:rsidR="00E63B8C">
        <w:rPr>
          <w:lang w:eastAsia="en-AU"/>
        </w:rPr>
        <w:t>s</w:t>
      </w:r>
      <w:r w:rsidR="007E4428">
        <w:rPr>
          <w:lang w:eastAsia="en-AU"/>
        </w:rPr>
        <w:t xml:space="preserve"> – Coercive control</w:t>
      </w:r>
      <w:bookmarkEnd w:id="40"/>
    </w:p>
    <w:p w14:paraId="0C19FADF" w14:textId="79562284" w:rsidR="00615E7B" w:rsidRDefault="00615E7B" w:rsidP="008F5423">
      <w:pPr>
        <w:keepNext/>
        <w:rPr>
          <w:lang w:eastAsia="en-AU"/>
        </w:rPr>
      </w:pPr>
      <w:r>
        <w:rPr>
          <w:lang w:eastAsia="en-AU"/>
        </w:rPr>
        <w:t xml:space="preserve">The NT Government is seeking </w:t>
      </w:r>
      <w:r w:rsidR="00F22031">
        <w:rPr>
          <w:lang w:eastAsia="en-AU"/>
        </w:rPr>
        <w:t>feedback from the community on how to improve responses to coercive control in the NT</w:t>
      </w:r>
      <w:r>
        <w:rPr>
          <w:lang w:eastAsia="en-AU"/>
        </w:rPr>
        <w:t>:</w:t>
      </w:r>
    </w:p>
    <w:p w14:paraId="0A8D5795" w14:textId="6B2E4E72" w:rsidR="00615E7B" w:rsidRPr="008F5423" w:rsidRDefault="00A37BC8" w:rsidP="0067521E">
      <w:pPr>
        <w:pStyle w:val="ListParagraph"/>
        <w:numPr>
          <w:ilvl w:val="0"/>
          <w:numId w:val="58"/>
        </w:numPr>
        <w:ind w:left="567" w:hanging="567"/>
        <w:rPr>
          <w:rFonts w:asciiTheme="minorHAnsi" w:hAnsiTheme="minorHAnsi"/>
          <w:lang w:eastAsia="en-AU"/>
        </w:rPr>
      </w:pPr>
      <w:r w:rsidRPr="008F5423">
        <w:rPr>
          <w:rFonts w:asciiTheme="minorHAnsi" w:hAnsiTheme="minorHAnsi"/>
          <w:lang w:eastAsia="en-AU"/>
        </w:rPr>
        <w:t>W</w:t>
      </w:r>
      <w:r w:rsidR="00615E7B" w:rsidRPr="008F5423">
        <w:rPr>
          <w:rFonts w:asciiTheme="minorHAnsi" w:hAnsiTheme="minorHAnsi"/>
          <w:lang w:eastAsia="en-AU"/>
        </w:rPr>
        <w:t>hich of following options do you prefer in NT:</w:t>
      </w:r>
    </w:p>
    <w:p w14:paraId="3FB23EC1" w14:textId="3A9ADA8F" w:rsidR="00857AF8" w:rsidRDefault="0075111B" w:rsidP="008F5423">
      <w:pPr>
        <w:spacing w:after="120"/>
        <w:ind w:left="567"/>
        <w:jc w:val="both"/>
        <w:rPr>
          <w:rFonts w:asciiTheme="minorHAnsi" w:hAnsiTheme="minorHAnsi" w:cs="Arial"/>
          <w:b/>
        </w:rPr>
      </w:pPr>
      <w:r w:rsidRPr="008F5423">
        <w:rPr>
          <w:rFonts w:asciiTheme="minorHAnsi" w:hAnsiTheme="minorHAnsi" w:cs="Arial"/>
          <w:b/>
        </w:rPr>
        <w:t xml:space="preserve">Option 1:  </w:t>
      </w:r>
      <w:r w:rsidR="00857AF8">
        <w:rPr>
          <w:rFonts w:asciiTheme="minorHAnsi" w:hAnsiTheme="minorHAnsi" w:cs="Arial"/>
        </w:rPr>
        <w:t>N</w:t>
      </w:r>
      <w:r w:rsidR="00857AF8" w:rsidRPr="008F5423">
        <w:rPr>
          <w:rFonts w:asciiTheme="minorHAnsi" w:hAnsiTheme="minorHAnsi" w:cs="Arial"/>
        </w:rPr>
        <w:t xml:space="preserve">ot </w:t>
      </w:r>
      <w:r w:rsidR="004F2850">
        <w:rPr>
          <w:rFonts w:asciiTheme="minorHAnsi" w:hAnsiTheme="minorHAnsi" w:cs="Arial"/>
        </w:rPr>
        <w:t>criminalise</w:t>
      </w:r>
      <w:r w:rsidR="00857AF8" w:rsidRPr="008F5423">
        <w:rPr>
          <w:rFonts w:asciiTheme="minorHAnsi" w:hAnsiTheme="minorHAnsi" w:cs="Arial"/>
        </w:rPr>
        <w:t xml:space="preserve"> coercive control but immediately prioritise a raft of other legislative and systemic reforms (over </w:t>
      </w:r>
      <w:r w:rsidR="00857AF8">
        <w:rPr>
          <w:rFonts w:asciiTheme="minorHAnsi" w:hAnsiTheme="minorHAnsi" w:cs="Arial"/>
        </w:rPr>
        <w:t>four</w:t>
      </w:r>
      <w:r w:rsidR="00857AF8" w:rsidRPr="008F5423">
        <w:rPr>
          <w:rFonts w:asciiTheme="minorHAnsi" w:hAnsiTheme="minorHAnsi" w:cs="Arial"/>
        </w:rPr>
        <w:t xml:space="preserve"> years) to improve the justice response to DFV and coercive control (as set out above). </w:t>
      </w:r>
      <w:r w:rsidR="00857AF8">
        <w:rPr>
          <w:rFonts w:asciiTheme="minorHAnsi" w:hAnsiTheme="minorHAnsi" w:cs="Arial"/>
        </w:rPr>
        <w:t xml:space="preserve"> </w:t>
      </w:r>
      <w:r w:rsidR="00857AF8" w:rsidRPr="008F5423">
        <w:rPr>
          <w:rFonts w:asciiTheme="minorHAnsi" w:hAnsiTheme="minorHAnsi" w:cs="Arial"/>
        </w:rPr>
        <w:t>This option provides an opportunity to evaluate how effective these reforms have been, and for any future decisions about whether coercive control should be criminalised in the NT to be informed by that evaluation, along with the experience in other jurisdictions</w:t>
      </w:r>
      <w:r w:rsidR="00857AF8" w:rsidRPr="008F5423">
        <w:rPr>
          <w:rFonts w:asciiTheme="minorHAnsi" w:hAnsiTheme="minorHAnsi" w:cs="Arial"/>
          <w:b/>
        </w:rPr>
        <w:t>.</w:t>
      </w:r>
    </w:p>
    <w:p w14:paraId="113E5F83" w14:textId="26F1B513" w:rsidR="0075111B" w:rsidRPr="008F5423" w:rsidRDefault="00857AF8" w:rsidP="008F5423">
      <w:pPr>
        <w:spacing w:after="120"/>
        <w:ind w:left="567"/>
        <w:jc w:val="both"/>
        <w:rPr>
          <w:rFonts w:asciiTheme="minorHAnsi" w:hAnsiTheme="minorHAnsi" w:cs="Arial"/>
          <w:b/>
        </w:rPr>
      </w:pPr>
      <w:r w:rsidRPr="008F5423">
        <w:rPr>
          <w:rFonts w:asciiTheme="minorHAnsi" w:hAnsiTheme="minorHAnsi" w:cs="Arial"/>
          <w:b/>
        </w:rPr>
        <w:t xml:space="preserve">Option 2: </w:t>
      </w:r>
      <w:r w:rsidR="0075111B" w:rsidRPr="008F5423">
        <w:rPr>
          <w:rFonts w:asciiTheme="minorHAnsi" w:hAnsiTheme="minorHAnsi" w:cs="Arial"/>
        </w:rPr>
        <w:t>Commit to criminalising coercive contro</w:t>
      </w:r>
      <w:r w:rsidR="008F5423">
        <w:rPr>
          <w:rFonts w:asciiTheme="minorHAnsi" w:hAnsiTheme="minorHAnsi" w:cs="Arial"/>
        </w:rPr>
        <w:t>l in the NT but ensure a long (four </w:t>
      </w:r>
      <w:r w:rsidR="0075111B" w:rsidRPr="008F5423">
        <w:rPr>
          <w:rFonts w:asciiTheme="minorHAnsi" w:hAnsiTheme="minorHAnsi" w:cs="Arial"/>
        </w:rPr>
        <w:t>year) implementation phase prior to commencement, to enable the implementation of a raft of legislative and systemic improvements to the justice response to DFV and coercive control (as set out above).</w:t>
      </w:r>
    </w:p>
    <w:p w14:paraId="5B37E8E8" w14:textId="4C0E3DF7" w:rsidR="00615E7B" w:rsidRPr="008F5423" w:rsidRDefault="00A37BC8" w:rsidP="00BD26A4">
      <w:pPr>
        <w:ind w:left="567"/>
        <w:jc w:val="both"/>
        <w:rPr>
          <w:lang w:eastAsia="en-AU"/>
        </w:rPr>
      </w:pPr>
      <w:r w:rsidRPr="008F5423">
        <w:rPr>
          <w:rFonts w:asciiTheme="minorHAnsi" w:hAnsiTheme="minorHAnsi"/>
          <w:lang w:eastAsia="en-AU"/>
        </w:rPr>
        <w:t xml:space="preserve">Aside from the question of criminalisation, which of the law reform </w:t>
      </w:r>
      <w:r w:rsidR="00615E7B" w:rsidRPr="008F5423">
        <w:rPr>
          <w:rFonts w:asciiTheme="minorHAnsi" w:hAnsiTheme="minorHAnsi"/>
          <w:lang w:eastAsia="en-AU"/>
        </w:rPr>
        <w:t xml:space="preserve">proposals </w:t>
      </w:r>
      <w:r w:rsidRPr="008F5423">
        <w:rPr>
          <w:rFonts w:asciiTheme="minorHAnsi" w:hAnsiTheme="minorHAnsi"/>
          <w:lang w:eastAsia="en-AU"/>
        </w:rPr>
        <w:t xml:space="preserve">outlined in </w:t>
      </w:r>
      <w:r w:rsidR="008F5423" w:rsidRPr="008F5423">
        <w:rPr>
          <w:rFonts w:asciiTheme="minorHAnsi" w:hAnsiTheme="minorHAnsi"/>
          <w:lang w:eastAsia="en-AU"/>
        </w:rPr>
        <w:t>Part</w:t>
      </w:r>
      <w:r w:rsidR="008F5423" w:rsidRPr="008F5423">
        <w:rPr>
          <w:lang w:eastAsia="en-AU"/>
        </w:rPr>
        <w:t> </w:t>
      </w:r>
      <w:r w:rsidR="00032AB5">
        <w:rPr>
          <w:lang w:eastAsia="en-AU"/>
        </w:rPr>
        <w:t>3</w:t>
      </w:r>
      <w:r w:rsidRPr="008F5423">
        <w:rPr>
          <w:lang w:eastAsia="en-AU"/>
        </w:rPr>
        <w:t xml:space="preserve">.7.2 above </w:t>
      </w:r>
      <w:r w:rsidR="00615E7B" w:rsidRPr="008F5423">
        <w:rPr>
          <w:lang w:eastAsia="en-AU"/>
        </w:rPr>
        <w:t>do you support?  Which do you not support?</w:t>
      </w:r>
    </w:p>
    <w:p w14:paraId="0454054C" w14:textId="212662CE" w:rsidR="00615E7B" w:rsidRDefault="00F22031" w:rsidP="0067521E">
      <w:pPr>
        <w:pStyle w:val="ListParagraph"/>
        <w:numPr>
          <w:ilvl w:val="0"/>
          <w:numId w:val="58"/>
        </w:numPr>
        <w:spacing w:after="200"/>
        <w:ind w:left="567" w:hanging="567"/>
        <w:rPr>
          <w:lang w:eastAsia="en-AU"/>
        </w:rPr>
      </w:pPr>
      <w:r w:rsidRPr="008F5423">
        <w:rPr>
          <w:lang w:eastAsia="en-AU"/>
        </w:rPr>
        <w:t xml:space="preserve">Which </w:t>
      </w:r>
      <w:r w:rsidR="00B86EE9" w:rsidRPr="008F5423">
        <w:rPr>
          <w:lang w:eastAsia="en-AU"/>
        </w:rPr>
        <w:t>system</w:t>
      </w:r>
      <w:r w:rsidR="0075111B" w:rsidRPr="008F5423">
        <w:rPr>
          <w:lang w:eastAsia="en-AU"/>
        </w:rPr>
        <w:t>ic</w:t>
      </w:r>
      <w:r w:rsidRPr="008F5423">
        <w:rPr>
          <w:lang w:eastAsia="en-AU"/>
        </w:rPr>
        <w:t xml:space="preserve"> reforms</w:t>
      </w:r>
      <w:r w:rsidR="00615E7B" w:rsidRPr="008F5423">
        <w:rPr>
          <w:lang w:eastAsia="en-AU"/>
        </w:rPr>
        <w:t xml:space="preserve"> </w:t>
      </w:r>
      <w:r w:rsidR="00A37BC8" w:rsidRPr="008F5423">
        <w:rPr>
          <w:lang w:eastAsia="en-AU"/>
        </w:rPr>
        <w:t xml:space="preserve">outlined in </w:t>
      </w:r>
      <w:r w:rsidR="008F5423" w:rsidRPr="008F5423">
        <w:rPr>
          <w:lang w:eastAsia="en-AU"/>
        </w:rPr>
        <w:t xml:space="preserve">Part </w:t>
      </w:r>
      <w:r w:rsidR="00032AB5">
        <w:rPr>
          <w:lang w:eastAsia="en-AU"/>
        </w:rPr>
        <w:t>3</w:t>
      </w:r>
      <w:r w:rsidR="00A37BC8" w:rsidRPr="008F5423">
        <w:rPr>
          <w:lang w:eastAsia="en-AU"/>
        </w:rPr>
        <w:t xml:space="preserve">.7.3 above </w:t>
      </w:r>
      <w:r w:rsidRPr="008F5423">
        <w:rPr>
          <w:lang w:eastAsia="en-AU"/>
        </w:rPr>
        <w:t>do you think are</w:t>
      </w:r>
      <w:r w:rsidR="00615E7B" w:rsidRPr="008F5423">
        <w:rPr>
          <w:lang w:eastAsia="en-AU"/>
        </w:rPr>
        <w:t xml:space="preserve"> most important in the</w:t>
      </w:r>
      <w:r w:rsidR="00615E7B">
        <w:rPr>
          <w:lang w:eastAsia="en-AU"/>
        </w:rPr>
        <w:t xml:space="preserve"> NT?</w:t>
      </w:r>
    </w:p>
    <w:p w14:paraId="1ECECC09" w14:textId="1806E43F" w:rsidR="001F4BEC" w:rsidRDefault="008F5423">
      <w:pPr>
        <w:rPr>
          <w:lang w:eastAsia="en-AU"/>
        </w:rPr>
      </w:pPr>
      <w:r>
        <w:rPr>
          <w:lang w:eastAsia="en-AU"/>
        </w:rPr>
        <w:t>AGD</w:t>
      </w:r>
      <w:r w:rsidR="007B5A7D">
        <w:rPr>
          <w:lang w:eastAsia="en-AU"/>
        </w:rPr>
        <w:t xml:space="preserve"> </w:t>
      </w:r>
      <w:r w:rsidR="00275814">
        <w:rPr>
          <w:lang w:eastAsia="en-AU"/>
        </w:rPr>
        <w:t>provides these questions for guidance only</w:t>
      </w:r>
      <w:r w:rsidR="007B5A7D">
        <w:rPr>
          <w:lang w:eastAsia="en-AU"/>
        </w:rPr>
        <w:t xml:space="preserve">. </w:t>
      </w:r>
      <w:r>
        <w:rPr>
          <w:lang w:eastAsia="en-AU"/>
        </w:rPr>
        <w:t xml:space="preserve"> </w:t>
      </w:r>
      <w:r w:rsidR="007B5A7D">
        <w:rPr>
          <w:lang w:eastAsia="en-AU"/>
        </w:rPr>
        <w:t>S</w:t>
      </w:r>
      <w:r w:rsidR="00A55891">
        <w:rPr>
          <w:lang w:eastAsia="en-AU"/>
        </w:rPr>
        <w:t>ubmissions are not required to address all, or any, of</w:t>
      </w:r>
      <w:r w:rsidR="007B5A7D">
        <w:rPr>
          <w:lang w:eastAsia="en-AU"/>
        </w:rPr>
        <w:t xml:space="preserve"> these ques</w:t>
      </w:r>
      <w:r w:rsidR="00A55891">
        <w:rPr>
          <w:lang w:eastAsia="en-AU"/>
        </w:rPr>
        <w:t>tions.  S</w:t>
      </w:r>
      <w:r w:rsidR="00615E7B">
        <w:rPr>
          <w:lang w:eastAsia="en-AU"/>
        </w:rPr>
        <w:t xml:space="preserve">takeholders </w:t>
      </w:r>
      <w:r w:rsidR="007B5A7D">
        <w:rPr>
          <w:lang w:eastAsia="en-AU"/>
        </w:rPr>
        <w:t>are welcome to provide</w:t>
      </w:r>
      <w:r w:rsidR="00275814">
        <w:rPr>
          <w:lang w:eastAsia="en-AU"/>
        </w:rPr>
        <w:t xml:space="preserve"> </w:t>
      </w:r>
      <w:r w:rsidR="00F22031">
        <w:rPr>
          <w:lang w:eastAsia="en-AU"/>
        </w:rPr>
        <w:t xml:space="preserve">any views about how to improve responses to DFV and coercive control </w:t>
      </w:r>
      <w:r w:rsidR="0099705D">
        <w:rPr>
          <w:lang w:eastAsia="en-AU"/>
        </w:rPr>
        <w:t>in the NT</w:t>
      </w:r>
      <w:r w:rsidR="00D07D59">
        <w:rPr>
          <w:lang w:eastAsia="en-AU"/>
        </w:rPr>
        <w:t>.</w:t>
      </w:r>
    </w:p>
    <w:p w14:paraId="7E7627B1" w14:textId="77777777" w:rsidR="00FF5F9E" w:rsidRDefault="00FF5F9E">
      <w:pPr>
        <w:rPr>
          <w:lang w:eastAsia="en-AU"/>
        </w:rPr>
      </w:pPr>
      <w:r w:rsidRPr="00C93FA4">
        <w:rPr>
          <w:lang w:eastAsia="en-AU"/>
        </w:rPr>
        <w:br w:type="page"/>
      </w:r>
    </w:p>
    <w:p w14:paraId="15DDBADF" w14:textId="4DF933B4" w:rsidR="000C3DD0" w:rsidRDefault="000C3DD0" w:rsidP="006F02C6">
      <w:pPr>
        <w:pStyle w:val="Heading1"/>
        <w:rPr>
          <w:lang w:eastAsia="en-AU"/>
        </w:rPr>
      </w:pPr>
      <w:bookmarkStart w:id="41" w:name="_Toc112051831"/>
      <w:r>
        <w:rPr>
          <w:lang w:eastAsia="en-AU"/>
        </w:rPr>
        <w:lastRenderedPageBreak/>
        <w:t>Legislative propo</w:t>
      </w:r>
      <w:r w:rsidR="000143F8">
        <w:rPr>
          <w:lang w:eastAsia="en-AU"/>
        </w:rPr>
        <w:t>s</w:t>
      </w:r>
      <w:r>
        <w:rPr>
          <w:lang w:eastAsia="en-AU"/>
        </w:rPr>
        <w:t>als</w:t>
      </w:r>
      <w:r w:rsidR="006F02C6">
        <w:rPr>
          <w:lang w:eastAsia="en-AU"/>
        </w:rPr>
        <w:t xml:space="preserve"> to address DFV</w:t>
      </w:r>
      <w:bookmarkEnd w:id="41"/>
    </w:p>
    <w:p w14:paraId="4B1B8B77" w14:textId="77777777" w:rsidR="007861AD" w:rsidRDefault="00A72FEE" w:rsidP="00C07FAF">
      <w:pPr>
        <w:rPr>
          <w:lang w:eastAsia="en-AU"/>
        </w:rPr>
      </w:pPr>
      <w:r>
        <w:rPr>
          <w:lang w:eastAsia="en-AU"/>
        </w:rPr>
        <w:t xml:space="preserve">This section </w:t>
      </w:r>
      <w:r w:rsidR="00726B16">
        <w:rPr>
          <w:lang w:eastAsia="en-AU"/>
        </w:rPr>
        <w:t>sets out</w:t>
      </w:r>
      <w:r>
        <w:rPr>
          <w:lang w:eastAsia="en-AU"/>
        </w:rPr>
        <w:t xml:space="preserve"> </w:t>
      </w:r>
      <w:r w:rsidR="00EA0280">
        <w:rPr>
          <w:lang w:eastAsia="en-AU"/>
        </w:rPr>
        <w:t xml:space="preserve">proposed </w:t>
      </w:r>
      <w:r>
        <w:rPr>
          <w:lang w:eastAsia="en-AU"/>
        </w:rPr>
        <w:t xml:space="preserve">legislative </w:t>
      </w:r>
      <w:r w:rsidR="00EA0280">
        <w:rPr>
          <w:lang w:eastAsia="en-AU"/>
        </w:rPr>
        <w:t>amendments</w:t>
      </w:r>
      <w:r>
        <w:rPr>
          <w:lang w:eastAsia="en-AU"/>
        </w:rPr>
        <w:t xml:space="preserve"> to improve responses to DFV in the NT.  </w:t>
      </w:r>
      <w:r w:rsidR="00C07FAF">
        <w:rPr>
          <w:lang w:eastAsia="en-AU"/>
        </w:rPr>
        <w:t xml:space="preserve"> </w:t>
      </w:r>
    </w:p>
    <w:p w14:paraId="7656C35E" w14:textId="26421502" w:rsidR="00726B16" w:rsidRDefault="00A72FEE" w:rsidP="00C07FAF">
      <w:pPr>
        <w:rPr>
          <w:lang w:eastAsia="en-AU"/>
        </w:rPr>
      </w:pPr>
      <w:r>
        <w:rPr>
          <w:lang w:eastAsia="en-AU"/>
        </w:rPr>
        <w:t>It includes</w:t>
      </w:r>
      <w:r w:rsidR="00A956A9">
        <w:rPr>
          <w:lang w:eastAsia="en-AU"/>
        </w:rPr>
        <w:t xml:space="preserve"> </w:t>
      </w:r>
      <w:r w:rsidR="007861AD">
        <w:rPr>
          <w:lang w:eastAsia="en-AU"/>
        </w:rPr>
        <w:t xml:space="preserve">proposals </w:t>
      </w:r>
      <w:r w:rsidR="00910ADC">
        <w:rPr>
          <w:lang w:eastAsia="en-AU"/>
        </w:rPr>
        <w:t xml:space="preserve">to </w:t>
      </w:r>
      <w:r w:rsidR="007861AD">
        <w:rPr>
          <w:lang w:eastAsia="en-AU"/>
        </w:rPr>
        <w:t xml:space="preserve">incorporate </w:t>
      </w:r>
      <w:r w:rsidR="00910ADC">
        <w:rPr>
          <w:lang w:eastAsia="en-AU"/>
        </w:rPr>
        <w:t xml:space="preserve">coercive control </w:t>
      </w:r>
      <w:r w:rsidR="00824790">
        <w:rPr>
          <w:lang w:eastAsia="en-AU"/>
        </w:rPr>
        <w:t xml:space="preserve">into </w:t>
      </w:r>
      <w:r w:rsidR="007861AD">
        <w:rPr>
          <w:lang w:eastAsia="en-AU"/>
        </w:rPr>
        <w:t>legislation (</w:t>
      </w:r>
      <w:r w:rsidR="00A956A9">
        <w:rPr>
          <w:lang w:eastAsia="en-AU"/>
        </w:rPr>
        <w:t>as listed above</w:t>
      </w:r>
      <w:r w:rsidR="00824790">
        <w:rPr>
          <w:lang w:eastAsia="en-AU"/>
        </w:rPr>
        <w:t xml:space="preserve"> </w:t>
      </w:r>
      <w:r w:rsidR="00824790" w:rsidRPr="008F5423">
        <w:rPr>
          <w:lang w:eastAsia="en-AU"/>
        </w:rPr>
        <w:t xml:space="preserve">in </w:t>
      </w:r>
      <w:r w:rsidR="008F5423" w:rsidRPr="008F5423">
        <w:rPr>
          <w:lang w:eastAsia="en-AU"/>
        </w:rPr>
        <w:t xml:space="preserve">Part </w:t>
      </w:r>
      <w:r w:rsidR="003607D6">
        <w:rPr>
          <w:lang w:eastAsia="en-AU"/>
        </w:rPr>
        <w:t>3</w:t>
      </w:r>
      <w:r w:rsidR="00824790" w:rsidRPr="008F5423">
        <w:rPr>
          <w:lang w:eastAsia="en-AU"/>
        </w:rPr>
        <w:t>.7.2</w:t>
      </w:r>
      <w:r w:rsidR="007861AD" w:rsidRPr="008F5423">
        <w:rPr>
          <w:lang w:eastAsia="en-AU"/>
        </w:rPr>
        <w:t>)</w:t>
      </w:r>
      <w:r w:rsidR="002973FC" w:rsidRPr="008F5423">
        <w:rPr>
          <w:lang w:eastAsia="en-AU"/>
        </w:rPr>
        <w:t xml:space="preserve"> along with</w:t>
      </w:r>
      <w:r w:rsidR="000264D1" w:rsidRPr="008F5423">
        <w:rPr>
          <w:lang w:eastAsia="en-AU"/>
        </w:rPr>
        <w:t xml:space="preserve"> other proposals that have been identified to improve responses to DFV.  I</w:t>
      </w:r>
      <w:r w:rsidR="003E2DF3" w:rsidRPr="008F5423">
        <w:rPr>
          <w:lang w:eastAsia="en-AU"/>
        </w:rPr>
        <w:t>t does not include a proposal to create a new criminal offence of coe</w:t>
      </w:r>
      <w:r w:rsidR="00E62AFD" w:rsidRPr="008F5423">
        <w:rPr>
          <w:lang w:eastAsia="en-AU"/>
        </w:rPr>
        <w:t xml:space="preserve">rcive control </w:t>
      </w:r>
      <w:r w:rsidR="00E962C6" w:rsidRPr="008F5423">
        <w:rPr>
          <w:lang w:eastAsia="en-AU"/>
        </w:rPr>
        <w:t xml:space="preserve">at this stage </w:t>
      </w:r>
      <w:r w:rsidR="00E62AFD" w:rsidRPr="008F5423">
        <w:rPr>
          <w:lang w:eastAsia="en-AU"/>
        </w:rPr>
        <w:t xml:space="preserve">for the reasons outlined in </w:t>
      </w:r>
      <w:r w:rsidR="008F5423" w:rsidRPr="008F5423">
        <w:rPr>
          <w:lang w:eastAsia="en-AU"/>
        </w:rPr>
        <w:t xml:space="preserve">Part </w:t>
      </w:r>
      <w:r w:rsidR="003607D6">
        <w:rPr>
          <w:lang w:eastAsia="en-AU"/>
        </w:rPr>
        <w:t>3</w:t>
      </w:r>
      <w:r w:rsidR="00E62AFD" w:rsidRPr="008F5423">
        <w:rPr>
          <w:lang w:eastAsia="en-AU"/>
        </w:rPr>
        <w:t xml:space="preserve"> of this </w:t>
      </w:r>
      <w:r w:rsidR="008F5423">
        <w:rPr>
          <w:lang w:eastAsia="en-AU"/>
        </w:rPr>
        <w:t>paper</w:t>
      </w:r>
      <w:r w:rsidR="00E62AFD" w:rsidRPr="008F5423">
        <w:rPr>
          <w:lang w:eastAsia="en-AU"/>
        </w:rPr>
        <w:t>.</w:t>
      </w:r>
      <w:r w:rsidR="003E2DF3">
        <w:rPr>
          <w:lang w:eastAsia="en-AU"/>
        </w:rPr>
        <w:t xml:space="preserve"> </w:t>
      </w:r>
    </w:p>
    <w:p w14:paraId="41DD6661" w14:textId="221B4A7B" w:rsidR="00EA0280" w:rsidRDefault="008A4912" w:rsidP="008A4912">
      <w:pPr>
        <w:rPr>
          <w:lang w:eastAsia="en-AU"/>
        </w:rPr>
      </w:pPr>
      <w:r>
        <w:rPr>
          <w:lang w:eastAsia="en-AU"/>
        </w:rPr>
        <w:t>Questions to guide responses are set out at the end of this section. However</w:t>
      </w:r>
      <w:r w:rsidR="0082204D">
        <w:rPr>
          <w:lang w:eastAsia="en-AU"/>
        </w:rPr>
        <w:t xml:space="preserve">, </w:t>
      </w:r>
      <w:r w:rsidR="006E2F02">
        <w:rPr>
          <w:lang w:eastAsia="en-AU"/>
        </w:rPr>
        <w:t xml:space="preserve">the Department welcomes </w:t>
      </w:r>
      <w:r w:rsidR="0082204D">
        <w:rPr>
          <w:lang w:eastAsia="en-AU"/>
        </w:rPr>
        <w:t>submissions on any aspects of the proposed reforms.</w:t>
      </w:r>
    </w:p>
    <w:p w14:paraId="65AD71F9" w14:textId="77777777" w:rsidR="00FA4FCF" w:rsidRDefault="00FA4FCF" w:rsidP="008F5423">
      <w:pPr>
        <w:pStyle w:val="Heading2"/>
        <w:keepNext/>
        <w:ind w:left="1134" w:hanging="578"/>
        <w:rPr>
          <w:lang w:eastAsia="en-AU"/>
        </w:rPr>
      </w:pPr>
      <w:bookmarkStart w:id="42" w:name="_Toc112051832"/>
      <w:r>
        <w:rPr>
          <w:lang w:eastAsia="en-AU"/>
        </w:rPr>
        <w:t xml:space="preserve">Proposed amendments to the </w:t>
      </w:r>
      <w:r w:rsidRPr="00395CE2">
        <w:rPr>
          <w:i/>
          <w:lang w:eastAsia="en-AU"/>
        </w:rPr>
        <w:t>Domestic and Family Violence Act 2007</w:t>
      </w:r>
      <w:bookmarkEnd w:id="42"/>
    </w:p>
    <w:p w14:paraId="24B71044" w14:textId="6B67CED7" w:rsidR="00FA4FCF" w:rsidRDefault="00FA4FCF" w:rsidP="00FA4FCF">
      <w:pPr>
        <w:rPr>
          <w:lang w:eastAsia="en-AU"/>
        </w:rPr>
      </w:pPr>
      <w:r>
        <w:rPr>
          <w:lang w:eastAsia="en-AU"/>
        </w:rPr>
        <w:t>The DFV</w:t>
      </w:r>
      <w:r w:rsidR="008F5423">
        <w:rPr>
          <w:lang w:eastAsia="en-AU"/>
        </w:rPr>
        <w:t> </w:t>
      </w:r>
      <w:r>
        <w:rPr>
          <w:lang w:eastAsia="en-AU"/>
        </w:rPr>
        <w:t>A</w:t>
      </w:r>
      <w:r w:rsidR="008F5423">
        <w:rPr>
          <w:lang w:eastAsia="en-AU"/>
        </w:rPr>
        <w:t>ct</w:t>
      </w:r>
      <w:r>
        <w:rPr>
          <w:lang w:eastAsia="en-AU"/>
        </w:rPr>
        <w:t xml:space="preserve"> provides for the making of DVOs. </w:t>
      </w:r>
      <w:r w:rsidR="00CE5998">
        <w:rPr>
          <w:lang w:eastAsia="en-AU"/>
        </w:rPr>
        <w:t xml:space="preserve"> </w:t>
      </w:r>
      <w:r>
        <w:rPr>
          <w:lang w:eastAsia="en-AU"/>
        </w:rPr>
        <w:t>DVOs are civil orders that impose restraints on the defendant to prevent the commission of domestic violence against the protected person.  For example, the defendant might be restrained from having contact with the protected person, drinking alcohol in the presence of the protected person or harming the protected person.  If a DVO in force is contravened</w:t>
      </w:r>
      <w:r w:rsidR="00CE5998">
        <w:rPr>
          <w:lang w:eastAsia="en-AU"/>
        </w:rPr>
        <w:t>,</w:t>
      </w:r>
      <w:r>
        <w:rPr>
          <w:lang w:eastAsia="en-AU"/>
        </w:rPr>
        <w:t xml:space="preserve"> it is a criminal offence (s</w:t>
      </w:r>
      <w:r w:rsidR="00CE5998">
        <w:rPr>
          <w:lang w:eastAsia="en-AU"/>
        </w:rPr>
        <w:t>ection </w:t>
      </w:r>
      <w:r>
        <w:rPr>
          <w:lang w:eastAsia="en-AU"/>
        </w:rPr>
        <w:t>120).</w:t>
      </w:r>
    </w:p>
    <w:p w14:paraId="1DF7D36D" w14:textId="678C4643" w:rsidR="00FA4FCF" w:rsidRDefault="00FA4FCF" w:rsidP="00FA4FCF">
      <w:pPr>
        <w:rPr>
          <w:lang w:eastAsia="en-AU"/>
        </w:rPr>
      </w:pPr>
      <w:r>
        <w:rPr>
          <w:lang w:eastAsia="en-AU"/>
        </w:rPr>
        <w:t>The DFV</w:t>
      </w:r>
      <w:r w:rsidR="008F5423">
        <w:rPr>
          <w:lang w:eastAsia="en-AU"/>
        </w:rPr>
        <w:t> </w:t>
      </w:r>
      <w:r>
        <w:rPr>
          <w:lang w:eastAsia="en-AU"/>
        </w:rPr>
        <w:t>A</w:t>
      </w:r>
      <w:r w:rsidR="008F5423">
        <w:rPr>
          <w:lang w:eastAsia="en-AU"/>
        </w:rPr>
        <w:t>ct</w:t>
      </w:r>
      <w:r>
        <w:rPr>
          <w:lang w:eastAsia="en-AU"/>
        </w:rPr>
        <w:t xml:space="preserve"> has been amended since its introduction to establish (in conjunction with corresponding laws in other states and territories) a national recognition scheme for DVOs made in other jurisdictions. </w:t>
      </w:r>
      <w:r w:rsidR="00CE5998">
        <w:rPr>
          <w:lang w:eastAsia="en-AU"/>
        </w:rPr>
        <w:t xml:space="preserve"> </w:t>
      </w:r>
      <w:r>
        <w:rPr>
          <w:lang w:eastAsia="en-AU"/>
        </w:rPr>
        <w:t xml:space="preserve">This enables DVOs made in other states and territories and New Zealand to be recognised or enforced in the NT.  </w:t>
      </w:r>
    </w:p>
    <w:p w14:paraId="4776C474" w14:textId="403C5468" w:rsidR="006F625F" w:rsidRDefault="00FA4FCF" w:rsidP="00FA4FCF">
      <w:pPr>
        <w:rPr>
          <w:lang w:eastAsia="en-AU"/>
        </w:rPr>
      </w:pPr>
      <w:r>
        <w:rPr>
          <w:lang w:eastAsia="en-AU"/>
        </w:rPr>
        <w:t>The DFV</w:t>
      </w:r>
      <w:r w:rsidR="00CE5998">
        <w:rPr>
          <w:lang w:eastAsia="en-AU"/>
        </w:rPr>
        <w:t> </w:t>
      </w:r>
      <w:r>
        <w:rPr>
          <w:lang w:eastAsia="en-AU"/>
        </w:rPr>
        <w:t>A</w:t>
      </w:r>
      <w:r w:rsidR="00CE5998">
        <w:rPr>
          <w:lang w:eastAsia="en-AU"/>
        </w:rPr>
        <w:t>ct</w:t>
      </w:r>
      <w:r>
        <w:rPr>
          <w:lang w:eastAsia="en-AU"/>
        </w:rPr>
        <w:t xml:space="preserve"> has also been amended to introduce a domestic violence information sharing scheme that enables certain entities to share information to assess, lessen or prevent a serious threat to a person’s life, health, safety or welfare because of domestic violence</w:t>
      </w:r>
      <w:r w:rsidR="006F625F">
        <w:rPr>
          <w:lang w:eastAsia="en-AU"/>
        </w:rPr>
        <w:t>.</w:t>
      </w:r>
    </w:p>
    <w:p w14:paraId="325B7766" w14:textId="16493A52" w:rsidR="00FA4FCF" w:rsidRDefault="00FA4FCF" w:rsidP="00FA4FCF">
      <w:pPr>
        <w:rPr>
          <w:lang w:eastAsia="en-AU"/>
        </w:rPr>
      </w:pPr>
      <w:r>
        <w:rPr>
          <w:lang w:eastAsia="en-AU"/>
        </w:rPr>
        <w:t>In the past 15 years since the</w:t>
      </w:r>
      <w:r w:rsidRPr="00437564">
        <w:rPr>
          <w:i/>
          <w:lang w:eastAsia="en-AU"/>
        </w:rPr>
        <w:t xml:space="preserve"> </w:t>
      </w:r>
      <w:r>
        <w:rPr>
          <w:lang w:eastAsia="en-AU"/>
        </w:rPr>
        <w:t>DFV</w:t>
      </w:r>
      <w:r w:rsidR="00CE5998">
        <w:rPr>
          <w:lang w:eastAsia="en-AU"/>
        </w:rPr>
        <w:t> </w:t>
      </w:r>
      <w:r>
        <w:rPr>
          <w:lang w:eastAsia="en-AU"/>
        </w:rPr>
        <w:t>A</w:t>
      </w:r>
      <w:r w:rsidR="00CE5998">
        <w:rPr>
          <w:lang w:eastAsia="en-AU"/>
        </w:rPr>
        <w:t>ct</w:t>
      </w:r>
      <w:r>
        <w:rPr>
          <w:lang w:eastAsia="en-AU"/>
        </w:rPr>
        <w:t xml:space="preserve"> commenced, significant inquiries</w:t>
      </w:r>
      <w:r>
        <w:rPr>
          <w:rStyle w:val="FootnoteReference"/>
          <w:lang w:eastAsia="en-AU"/>
        </w:rPr>
        <w:footnoteReference w:id="145"/>
      </w:r>
      <w:r>
        <w:rPr>
          <w:lang w:eastAsia="en-AU"/>
        </w:rPr>
        <w:t xml:space="preserve"> and legislative reforms have occurred in other Australian states and territories and internationally. </w:t>
      </w:r>
      <w:r w:rsidR="00CE5998">
        <w:rPr>
          <w:lang w:eastAsia="en-AU"/>
        </w:rPr>
        <w:t xml:space="preserve"> </w:t>
      </w:r>
      <w:r w:rsidR="00C07FAF">
        <w:rPr>
          <w:lang w:eastAsia="en-AU"/>
        </w:rPr>
        <w:t>Knowledge</w:t>
      </w:r>
      <w:r>
        <w:rPr>
          <w:lang w:eastAsia="en-AU"/>
        </w:rPr>
        <w:t xml:space="preserve"> about DFV and how to address it has substantially increased.</w:t>
      </w:r>
      <w:r>
        <w:rPr>
          <w:rStyle w:val="FootnoteReference"/>
          <w:lang w:eastAsia="en-AU"/>
        </w:rPr>
        <w:footnoteReference w:id="146"/>
      </w:r>
      <w:r>
        <w:rPr>
          <w:lang w:eastAsia="en-AU"/>
        </w:rPr>
        <w:t xml:space="preserve">  </w:t>
      </w:r>
    </w:p>
    <w:p w14:paraId="7A00550D" w14:textId="04A62EC0" w:rsidR="00FA4FCF" w:rsidRDefault="00FA4FCF" w:rsidP="00FA4FCF">
      <w:pPr>
        <w:rPr>
          <w:lang w:eastAsia="en-AU"/>
        </w:rPr>
      </w:pPr>
      <w:r>
        <w:rPr>
          <w:lang w:eastAsia="en-AU"/>
        </w:rPr>
        <w:t>There is now a body of work about</w:t>
      </w:r>
      <w:r w:rsidR="006F625F">
        <w:rPr>
          <w:lang w:eastAsia="en-AU"/>
        </w:rPr>
        <w:t xml:space="preserve"> how</w:t>
      </w:r>
      <w:r>
        <w:rPr>
          <w:lang w:eastAsia="en-AU"/>
        </w:rPr>
        <w:t xml:space="preserve"> to increase (1) victim safety and (2) offender accountability which are considered the fundamental premises on which responses to DFV must be built.</w:t>
      </w:r>
      <w:r w:rsidR="00CE5998">
        <w:rPr>
          <w:lang w:eastAsia="en-AU"/>
        </w:rPr>
        <w:t xml:space="preserve"> </w:t>
      </w:r>
      <w:r>
        <w:rPr>
          <w:lang w:eastAsia="en-AU"/>
        </w:rPr>
        <w:t xml:space="preserve"> In addition, there is a growing body of work about the impact on children exposed to DFV and the importance of </w:t>
      </w:r>
      <w:r w:rsidR="006F625F">
        <w:rPr>
          <w:lang w:eastAsia="en-AU"/>
        </w:rPr>
        <w:t xml:space="preserve">responses explicitly addressing children’s </w:t>
      </w:r>
      <w:r>
        <w:rPr>
          <w:lang w:eastAsia="en-AU"/>
        </w:rPr>
        <w:t>safety</w:t>
      </w:r>
      <w:r w:rsidR="006F625F">
        <w:rPr>
          <w:lang w:eastAsia="en-AU"/>
        </w:rPr>
        <w:t xml:space="preserve"> and well-being. </w:t>
      </w:r>
    </w:p>
    <w:p w14:paraId="79CBBB1F" w14:textId="3B3FFB23" w:rsidR="00FA4FCF" w:rsidRDefault="00FA4FCF" w:rsidP="00FA4FCF">
      <w:pPr>
        <w:rPr>
          <w:lang w:eastAsia="en-AU"/>
        </w:rPr>
      </w:pPr>
      <w:r>
        <w:rPr>
          <w:lang w:eastAsia="en-AU"/>
        </w:rPr>
        <w:t>There is a need to modernise the DFV</w:t>
      </w:r>
      <w:r w:rsidR="00CE5998">
        <w:rPr>
          <w:lang w:eastAsia="en-AU"/>
        </w:rPr>
        <w:t> </w:t>
      </w:r>
      <w:r>
        <w:rPr>
          <w:lang w:eastAsia="en-AU"/>
        </w:rPr>
        <w:t>A</w:t>
      </w:r>
      <w:r w:rsidR="00CE5998">
        <w:rPr>
          <w:lang w:eastAsia="en-AU"/>
        </w:rPr>
        <w:t>ct</w:t>
      </w:r>
      <w:r>
        <w:rPr>
          <w:lang w:eastAsia="en-AU"/>
        </w:rPr>
        <w:t xml:space="preserve"> to bring it into line with best practice in other jurisdictions.  An example of this is the need to overhaul the definition of domestic violence that underpins the DFV</w:t>
      </w:r>
      <w:r w:rsidR="00CE5998">
        <w:rPr>
          <w:lang w:eastAsia="en-AU"/>
        </w:rPr>
        <w:t> </w:t>
      </w:r>
      <w:r>
        <w:rPr>
          <w:lang w:eastAsia="en-AU"/>
        </w:rPr>
        <w:t>A</w:t>
      </w:r>
      <w:r w:rsidR="00CE5998">
        <w:rPr>
          <w:lang w:eastAsia="en-AU"/>
        </w:rPr>
        <w:t>ct</w:t>
      </w:r>
      <w:r>
        <w:rPr>
          <w:lang w:eastAsia="en-AU"/>
        </w:rPr>
        <w:t>, to better capture coercive control.</w:t>
      </w:r>
      <w:r>
        <w:rPr>
          <w:rStyle w:val="FootnoteReference"/>
          <w:lang w:eastAsia="en-AU"/>
        </w:rPr>
        <w:footnoteReference w:id="147"/>
      </w:r>
    </w:p>
    <w:p w14:paraId="17D68794" w14:textId="4D6B814C" w:rsidR="00FA4FCF" w:rsidRDefault="00FA4FCF" w:rsidP="00FA4FCF">
      <w:pPr>
        <w:rPr>
          <w:lang w:eastAsia="en-AU"/>
        </w:rPr>
      </w:pPr>
      <w:r>
        <w:rPr>
          <w:lang w:eastAsia="en-AU"/>
        </w:rPr>
        <w:lastRenderedPageBreak/>
        <w:t>In addition, there are procedural shortcomings in the DFV</w:t>
      </w:r>
      <w:r w:rsidR="00CE5998">
        <w:rPr>
          <w:lang w:eastAsia="en-AU"/>
        </w:rPr>
        <w:t> </w:t>
      </w:r>
      <w:r>
        <w:rPr>
          <w:lang w:eastAsia="en-AU"/>
        </w:rPr>
        <w:t>A</w:t>
      </w:r>
      <w:r w:rsidR="00CE5998">
        <w:rPr>
          <w:lang w:eastAsia="en-AU"/>
        </w:rPr>
        <w:t>ct</w:t>
      </w:r>
      <w:r>
        <w:rPr>
          <w:lang w:eastAsia="en-AU"/>
        </w:rPr>
        <w:t xml:space="preserve"> that need to be addressed, for example, the need for explicit provisions relating to varying a police DVO </w:t>
      </w:r>
      <w:r w:rsidR="00BA0ADF">
        <w:rPr>
          <w:lang w:eastAsia="en-AU"/>
        </w:rPr>
        <w:t xml:space="preserve">before it is confirmed by the </w:t>
      </w:r>
      <w:r w:rsidR="00CE5998">
        <w:rPr>
          <w:lang w:eastAsia="en-AU"/>
        </w:rPr>
        <w:t>court</w:t>
      </w:r>
      <w:r w:rsidR="00BA0ADF">
        <w:rPr>
          <w:lang w:eastAsia="en-AU"/>
        </w:rPr>
        <w:t>.</w:t>
      </w:r>
      <w:r w:rsidR="00E4142F">
        <w:rPr>
          <w:lang w:eastAsia="en-AU"/>
        </w:rPr>
        <w:t xml:space="preserve"> </w:t>
      </w:r>
    </w:p>
    <w:p w14:paraId="1C1C0139" w14:textId="045DF2DE" w:rsidR="00FA4FCF" w:rsidRDefault="00BA0ADF" w:rsidP="00FA4FCF">
      <w:pPr>
        <w:rPr>
          <w:lang w:eastAsia="en-AU"/>
        </w:rPr>
      </w:pPr>
      <w:r>
        <w:rPr>
          <w:lang w:eastAsia="en-AU"/>
        </w:rPr>
        <w:t>AGD</w:t>
      </w:r>
      <w:r w:rsidR="00FA4FCF">
        <w:rPr>
          <w:lang w:eastAsia="en-AU"/>
        </w:rPr>
        <w:t xml:space="preserve"> is of the view that it is not necessary to undertake a complete rewrite of the DFV</w:t>
      </w:r>
      <w:r w:rsidR="00CE5998">
        <w:rPr>
          <w:lang w:eastAsia="en-AU"/>
        </w:rPr>
        <w:t> </w:t>
      </w:r>
      <w:r w:rsidR="00FA4FCF">
        <w:rPr>
          <w:lang w:eastAsia="en-AU"/>
        </w:rPr>
        <w:t>A</w:t>
      </w:r>
      <w:r w:rsidR="00CE5998">
        <w:rPr>
          <w:lang w:eastAsia="en-AU"/>
        </w:rPr>
        <w:t>ct</w:t>
      </w:r>
      <w:r w:rsidR="00FA4FCF">
        <w:rPr>
          <w:lang w:eastAsia="en-AU"/>
        </w:rPr>
        <w:t xml:space="preserve"> but </w:t>
      </w:r>
      <w:r>
        <w:rPr>
          <w:lang w:eastAsia="en-AU"/>
        </w:rPr>
        <w:t xml:space="preserve">rather to make targeted changes </w:t>
      </w:r>
      <w:r w:rsidR="00400C97">
        <w:rPr>
          <w:lang w:eastAsia="en-AU"/>
        </w:rPr>
        <w:t>as</w:t>
      </w:r>
      <w:r w:rsidR="00FA4FCF">
        <w:rPr>
          <w:lang w:eastAsia="en-AU"/>
        </w:rPr>
        <w:t xml:space="preserve"> summarised below.  </w:t>
      </w:r>
    </w:p>
    <w:p w14:paraId="7967B3FB" w14:textId="77777777" w:rsidR="00FA4FCF" w:rsidRDefault="0011663A" w:rsidP="00CE5998">
      <w:pPr>
        <w:pStyle w:val="Heading3"/>
        <w:keepNext/>
        <w:rPr>
          <w:lang w:eastAsia="en-AU"/>
        </w:rPr>
      </w:pPr>
      <w:bookmarkStart w:id="43" w:name="_Toc112051833"/>
      <w:r>
        <w:rPr>
          <w:lang w:eastAsia="en-AU"/>
        </w:rPr>
        <w:t>Preliminaries and definitions</w:t>
      </w:r>
      <w:bookmarkEnd w:id="43"/>
    </w:p>
    <w:p w14:paraId="1A70A0F1" w14:textId="77777777" w:rsidR="00FA4FCF" w:rsidRDefault="00FA4FCF" w:rsidP="00CE5998">
      <w:pPr>
        <w:pStyle w:val="Heading4"/>
        <w:keepNext/>
        <w:rPr>
          <w:lang w:eastAsia="en-AU"/>
        </w:rPr>
      </w:pPr>
      <w:r>
        <w:rPr>
          <w:lang w:eastAsia="en-AU"/>
        </w:rPr>
        <w:t>Preamble containing principles</w:t>
      </w:r>
    </w:p>
    <w:p w14:paraId="6DDB01A8" w14:textId="6A70D209" w:rsidR="00FA4FCF" w:rsidRDefault="00FA4FCF" w:rsidP="00FA4FCF">
      <w:pPr>
        <w:rPr>
          <w:lang w:eastAsia="en-AU"/>
        </w:rPr>
      </w:pPr>
      <w:r>
        <w:rPr>
          <w:lang w:eastAsia="en-AU"/>
        </w:rPr>
        <w:t>A preamble in an Act does not have a separate legislative effect, but may be used for clarification if the meaning of a section is unclear.  In interpreting a provision of an Act, an interpretation that would best achieve the purpose or object of the Act, whether expressly stated in the Act or not, is to be preferred (s</w:t>
      </w:r>
      <w:r w:rsidR="00C239D1">
        <w:rPr>
          <w:lang w:eastAsia="en-AU"/>
        </w:rPr>
        <w:t>ection </w:t>
      </w:r>
      <w:r>
        <w:rPr>
          <w:lang w:eastAsia="en-AU"/>
        </w:rPr>
        <w:t>62A</w:t>
      </w:r>
      <w:r w:rsidR="00C239D1">
        <w:rPr>
          <w:lang w:eastAsia="en-AU"/>
        </w:rPr>
        <w:t xml:space="preserve"> of the</w:t>
      </w:r>
      <w:r>
        <w:rPr>
          <w:lang w:eastAsia="en-AU"/>
        </w:rPr>
        <w:t xml:space="preserve"> </w:t>
      </w:r>
      <w:r w:rsidRPr="00723815">
        <w:rPr>
          <w:i/>
          <w:lang w:eastAsia="en-AU"/>
        </w:rPr>
        <w:t>Interpretation Act 1978</w:t>
      </w:r>
      <w:r>
        <w:rPr>
          <w:lang w:eastAsia="en-AU"/>
        </w:rPr>
        <w:t>.)  The purpose may be ascertained from the objects and also the preamble if one exists.</w:t>
      </w:r>
    </w:p>
    <w:p w14:paraId="05DB8E82" w14:textId="73351AB4" w:rsidR="00FA4FCF" w:rsidRPr="003B2D19" w:rsidRDefault="00FA4FCF" w:rsidP="00FA4FCF">
      <w:pPr>
        <w:rPr>
          <w:rFonts w:asciiTheme="minorHAnsi" w:hAnsiTheme="minorHAnsi"/>
          <w:lang w:eastAsia="en-AU"/>
        </w:rPr>
      </w:pPr>
      <w:r>
        <w:rPr>
          <w:lang w:eastAsia="en-AU"/>
        </w:rPr>
        <w:t xml:space="preserve">With the exception of Tasmania, all state </w:t>
      </w:r>
      <w:r w:rsidRPr="003B2D19">
        <w:rPr>
          <w:rFonts w:asciiTheme="minorHAnsi" w:hAnsiTheme="minorHAnsi"/>
          <w:lang w:eastAsia="en-AU"/>
        </w:rPr>
        <w:t>and territory DFV legislation in Australia now either contains a preamble setting out principles about DFV or sets</w:t>
      </w:r>
      <w:r w:rsidR="00400C97">
        <w:rPr>
          <w:rFonts w:asciiTheme="minorHAnsi" w:hAnsiTheme="minorHAnsi"/>
          <w:lang w:eastAsia="en-AU"/>
        </w:rPr>
        <w:t xml:space="preserve"> outs principles for making </w:t>
      </w:r>
      <w:r w:rsidRPr="003B2D19">
        <w:rPr>
          <w:rFonts w:asciiTheme="minorHAnsi" w:hAnsiTheme="minorHAnsi"/>
          <w:lang w:eastAsia="en-AU"/>
        </w:rPr>
        <w:t>orders elsewhere in the legislation (for example, section 10 of the SA</w:t>
      </w:r>
      <w:r w:rsidRPr="003B2D19">
        <w:rPr>
          <w:rFonts w:asciiTheme="minorHAnsi" w:hAnsiTheme="minorHAnsi"/>
          <w:i/>
          <w:lang w:eastAsia="en-AU"/>
        </w:rPr>
        <w:t xml:space="preserve"> Intervention Orders (Prevention and Abuse) Act 2009</w:t>
      </w:r>
      <w:r w:rsidRPr="003B2D19">
        <w:rPr>
          <w:rFonts w:asciiTheme="minorHAnsi" w:hAnsiTheme="minorHAnsi"/>
          <w:lang w:eastAsia="en-AU"/>
        </w:rPr>
        <w:t>.)  The inclusion of principles with express reference to human righ</w:t>
      </w:r>
      <w:r>
        <w:rPr>
          <w:rFonts w:asciiTheme="minorHAnsi" w:hAnsiTheme="minorHAnsi"/>
          <w:lang w:eastAsia="en-AU"/>
        </w:rPr>
        <w:t>ts frameworks was recommended in the 2010 ALRC Report</w:t>
      </w:r>
      <w:r w:rsidRPr="0046139A">
        <w:rPr>
          <w:rFonts w:asciiTheme="minorHAnsi" w:hAnsiTheme="minorHAnsi"/>
          <w:lang w:eastAsia="en-AU"/>
        </w:rPr>
        <w:t>.</w:t>
      </w:r>
      <w:r w:rsidRPr="003B2D19">
        <w:rPr>
          <w:rStyle w:val="FootnoteReference"/>
          <w:rFonts w:asciiTheme="minorHAnsi" w:hAnsiTheme="minorHAnsi"/>
          <w:lang w:eastAsia="en-AU"/>
        </w:rPr>
        <w:footnoteReference w:id="148"/>
      </w:r>
      <w:r w:rsidRPr="003B2D19">
        <w:rPr>
          <w:rFonts w:asciiTheme="minorHAnsi" w:hAnsiTheme="minorHAnsi"/>
          <w:lang w:eastAsia="en-AU"/>
        </w:rPr>
        <w:t xml:space="preserve"> </w:t>
      </w:r>
    </w:p>
    <w:p w14:paraId="52F6CA19" w14:textId="1A242F90" w:rsidR="00FA4FCF" w:rsidRPr="003B2D19" w:rsidRDefault="00FA4FCF" w:rsidP="00FA4FCF">
      <w:pPr>
        <w:rPr>
          <w:rFonts w:asciiTheme="minorHAnsi" w:hAnsiTheme="minorHAnsi"/>
          <w:lang w:eastAsia="en-AU"/>
        </w:rPr>
      </w:pPr>
      <w:r>
        <w:rPr>
          <w:rFonts w:asciiTheme="minorHAnsi" w:hAnsiTheme="minorHAnsi"/>
          <w:lang w:eastAsia="en-AU"/>
        </w:rPr>
        <w:t>While t</w:t>
      </w:r>
      <w:r w:rsidRPr="003B2D19">
        <w:rPr>
          <w:rFonts w:asciiTheme="minorHAnsi" w:hAnsiTheme="minorHAnsi"/>
          <w:lang w:eastAsia="en-AU"/>
        </w:rPr>
        <w:t>he NT DFV</w:t>
      </w:r>
      <w:r w:rsidR="00C239D1">
        <w:rPr>
          <w:rFonts w:asciiTheme="minorHAnsi" w:hAnsiTheme="minorHAnsi"/>
          <w:lang w:eastAsia="en-AU"/>
        </w:rPr>
        <w:t> </w:t>
      </w:r>
      <w:r w:rsidRPr="003B2D19">
        <w:rPr>
          <w:rFonts w:asciiTheme="minorHAnsi" w:hAnsiTheme="minorHAnsi"/>
          <w:lang w:eastAsia="en-AU"/>
        </w:rPr>
        <w:t>A</w:t>
      </w:r>
      <w:r w:rsidR="00C239D1">
        <w:rPr>
          <w:rFonts w:asciiTheme="minorHAnsi" w:hAnsiTheme="minorHAnsi"/>
          <w:lang w:eastAsia="en-AU"/>
        </w:rPr>
        <w:t>ct</w:t>
      </w:r>
      <w:r w:rsidRPr="003B2D19">
        <w:rPr>
          <w:rFonts w:asciiTheme="minorHAnsi" w:hAnsiTheme="minorHAnsi"/>
          <w:lang w:eastAsia="en-AU"/>
        </w:rPr>
        <w:t xml:space="preserve"> contains a short preamble in the following terms</w:t>
      </w:r>
      <w:r>
        <w:rPr>
          <w:rFonts w:asciiTheme="minorHAnsi" w:hAnsiTheme="minorHAnsi"/>
          <w:lang w:eastAsia="en-AU"/>
        </w:rPr>
        <w:t>, it is limited compared to the preambles in other jurisdictions</w:t>
      </w:r>
      <w:r w:rsidRPr="003B2D19">
        <w:rPr>
          <w:rFonts w:asciiTheme="minorHAnsi" w:hAnsiTheme="minorHAnsi"/>
          <w:lang w:eastAsia="en-AU"/>
        </w:rPr>
        <w:t>:</w:t>
      </w:r>
    </w:p>
    <w:p w14:paraId="60B3F5C0" w14:textId="77777777" w:rsidR="00FA4FCF" w:rsidRPr="004F79AC" w:rsidRDefault="00FA4FCF" w:rsidP="00C239D1">
      <w:pPr>
        <w:pStyle w:val="Subsection"/>
        <w:spacing w:after="120"/>
        <w:ind w:left="1952" w:hanging="1385"/>
        <w:rPr>
          <w:rFonts w:asciiTheme="minorHAnsi" w:hAnsiTheme="minorHAnsi" w:cs="Arial"/>
          <w:sz w:val="22"/>
          <w:szCs w:val="22"/>
        </w:rPr>
      </w:pPr>
      <w:r w:rsidRPr="004F79AC">
        <w:rPr>
          <w:rFonts w:asciiTheme="minorHAnsi" w:hAnsiTheme="minorHAnsi" w:cs="Arial"/>
          <w:sz w:val="22"/>
          <w:szCs w:val="22"/>
        </w:rPr>
        <w:t>PREAMBLE:</w:t>
      </w:r>
    </w:p>
    <w:p w14:paraId="72E7AA54" w14:textId="77777777" w:rsidR="00FA4FCF" w:rsidRPr="004F79AC" w:rsidRDefault="00FA4FCF" w:rsidP="00C239D1">
      <w:pPr>
        <w:pStyle w:val="Sectiontext"/>
        <w:spacing w:after="120"/>
        <w:ind w:left="567"/>
        <w:jc w:val="left"/>
        <w:rPr>
          <w:rFonts w:asciiTheme="minorHAnsi" w:hAnsiTheme="minorHAnsi" w:cs="Arial"/>
          <w:sz w:val="22"/>
          <w:szCs w:val="22"/>
        </w:rPr>
      </w:pPr>
      <w:r w:rsidRPr="004F79AC">
        <w:rPr>
          <w:rFonts w:asciiTheme="minorHAnsi" w:hAnsiTheme="minorHAnsi" w:cs="Arial"/>
          <w:sz w:val="22"/>
          <w:szCs w:val="22"/>
        </w:rPr>
        <w:t>The Legislative Assembly enacts this Act because it recognises:</w:t>
      </w:r>
    </w:p>
    <w:p w14:paraId="3C7E41B7" w14:textId="77777777" w:rsidR="00FA4FCF" w:rsidRPr="004F79AC" w:rsidRDefault="00FA4FCF" w:rsidP="00C239D1">
      <w:pPr>
        <w:pStyle w:val="Paragraph"/>
        <w:spacing w:after="120"/>
        <w:ind w:left="1134"/>
        <w:jc w:val="left"/>
        <w:rPr>
          <w:rFonts w:asciiTheme="minorHAnsi" w:hAnsiTheme="minorHAnsi" w:cs="Arial"/>
          <w:sz w:val="22"/>
          <w:szCs w:val="22"/>
        </w:rPr>
      </w:pPr>
      <w:r w:rsidRPr="004F79AC">
        <w:rPr>
          <w:rFonts w:asciiTheme="minorHAnsi" w:hAnsiTheme="minorHAnsi" w:cs="Arial"/>
          <w:sz w:val="22"/>
          <w:szCs w:val="22"/>
        </w:rPr>
        <w:t>(a)</w:t>
      </w:r>
      <w:r w:rsidRPr="004F79AC">
        <w:rPr>
          <w:rFonts w:asciiTheme="minorHAnsi" w:hAnsiTheme="minorHAnsi" w:cs="Arial"/>
          <w:sz w:val="22"/>
          <w:szCs w:val="22"/>
        </w:rPr>
        <w:tab/>
        <w:t>domestic violence is unacceptable behaviour that society does not condone; and</w:t>
      </w:r>
    </w:p>
    <w:p w14:paraId="52ABE438" w14:textId="77777777" w:rsidR="00FA4FCF" w:rsidRPr="004F79AC" w:rsidRDefault="00FA4FCF" w:rsidP="00C239D1">
      <w:pPr>
        <w:pStyle w:val="Paragraph"/>
        <w:spacing w:after="120"/>
        <w:ind w:left="1134"/>
        <w:jc w:val="left"/>
        <w:rPr>
          <w:rFonts w:asciiTheme="minorHAnsi" w:hAnsiTheme="minorHAnsi" w:cs="Arial"/>
          <w:sz w:val="22"/>
          <w:szCs w:val="22"/>
        </w:rPr>
      </w:pPr>
      <w:r w:rsidRPr="004F79AC">
        <w:rPr>
          <w:rFonts w:asciiTheme="minorHAnsi" w:hAnsiTheme="minorHAnsi" w:cs="Arial"/>
          <w:sz w:val="22"/>
          <w:szCs w:val="22"/>
        </w:rPr>
        <w:t>(b)</w:t>
      </w:r>
      <w:r w:rsidRPr="004F79AC">
        <w:rPr>
          <w:rFonts w:asciiTheme="minorHAnsi" w:hAnsiTheme="minorHAnsi" w:cs="Arial"/>
          <w:sz w:val="22"/>
          <w:szCs w:val="22"/>
        </w:rPr>
        <w:tab/>
        <w:t>domestic violence has:</w:t>
      </w:r>
    </w:p>
    <w:p w14:paraId="275F10E9" w14:textId="77777777" w:rsidR="00FA4FCF" w:rsidRPr="004F79AC" w:rsidRDefault="00FA4FCF" w:rsidP="00C239D1">
      <w:pPr>
        <w:pStyle w:val="Subpara"/>
        <w:spacing w:after="120"/>
        <w:ind w:left="1701"/>
        <w:jc w:val="left"/>
        <w:rPr>
          <w:rFonts w:asciiTheme="minorHAnsi" w:hAnsiTheme="minorHAnsi" w:cs="Arial"/>
          <w:sz w:val="22"/>
          <w:szCs w:val="22"/>
        </w:rPr>
      </w:pPr>
      <w:r w:rsidRPr="004F79AC">
        <w:rPr>
          <w:rFonts w:asciiTheme="minorHAnsi" w:hAnsiTheme="minorHAnsi" w:cs="Arial"/>
          <w:sz w:val="22"/>
          <w:szCs w:val="22"/>
        </w:rPr>
        <w:t>(i)</w:t>
      </w:r>
      <w:r w:rsidRPr="004F79AC">
        <w:rPr>
          <w:rFonts w:asciiTheme="minorHAnsi" w:hAnsiTheme="minorHAnsi" w:cs="Arial"/>
          <w:sz w:val="22"/>
          <w:szCs w:val="22"/>
        </w:rPr>
        <w:tab/>
        <w:t>negative and long-lasting consequences for victims and others exposed to it; and</w:t>
      </w:r>
    </w:p>
    <w:p w14:paraId="051888F3" w14:textId="77777777" w:rsidR="00FA4FCF" w:rsidRDefault="00FA4FCF" w:rsidP="00C239D1">
      <w:pPr>
        <w:pStyle w:val="Subpara"/>
        <w:spacing w:after="200"/>
        <w:ind w:left="1701"/>
        <w:jc w:val="left"/>
        <w:rPr>
          <w:rFonts w:asciiTheme="minorHAnsi" w:hAnsiTheme="minorHAnsi" w:cs="Arial"/>
          <w:sz w:val="22"/>
          <w:szCs w:val="22"/>
        </w:rPr>
      </w:pPr>
      <w:r w:rsidRPr="004F79AC">
        <w:rPr>
          <w:rFonts w:asciiTheme="minorHAnsi" w:hAnsiTheme="minorHAnsi" w:cs="Arial"/>
          <w:sz w:val="22"/>
          <w:szCs w:val="22"/>
        </w:rPr>
        <w:t>(ii)</w:t>
      </w:r>
      <w:r w:rsidRPr="004F79AC">
        <w:rPr>
          <w:rFonts w:asciiTheme="minorHAnsi" w:hAnsiTheme="minorHAnsi" w:cs="Arial"/>
          <w:sz w:val="22"/>
          <w:szCs w:val="22"/>
        </w:rPr>
        <w:tab/>
        <w:t>negative consequences for the community, the workplace and the economy.</w:t>
      </w:r>
    </w:p>
    <w:p w14:paraId="59E8FB12" w14:textId="4B565937" w:rsidR="00FA4FCF" w:rsidRDefault="00FA4FCF" w:rsidP="00FA4FCF">
      <w:pPr>
        <w:rPr>
          <w:lang w:eastAsia="en-AU"/>
        </w:rPr>
      </w:pPr>
      <w:r w:rsidRPr="000C30CE">
        <w:rPr>
          <w:lang w:eastAsia="en-AU"/>
        </w:rPr>
        <w:t>The benefits</w:t>
      </w:r>
      <w:r>
        <w:rPr>
          <w:lang w:eastAsia="en-AU"/>
        </w:rPr>
        <w:t xml:space="preserve"> of an expanded preamble may include drawing attention to features of domestic violence that are sometimes overlooked by authorities (such as psychological abuse and coercive control), making clear that they fall within the scope of the Act. </w:t>
      </w:r>
      <w:r w:rsidR="00C239D1">
        <w:rPr>
          <w:lang w:eastAsia="en-AU"/>
        </w:rPr>
        <w:t xml:space="preserve"> </w:t>
      </w:r>
      <w:r>
        <w:rPr>
          <w:lang w:eastAsia="en-AU"/>
        </w:rPr>
        <w:t>It also provides an opportunity to articulate some of the issues the DFV</w:t>
      </w:r>
      <w:r w:rsidR="00C239D1">
        <w:rPr>
          <w:lang w:eastAsia="en-AU"/>
        </w:rPr>
        <w:t> </w:t>
      </w:r>
      <w:r>
        <w:rPr>
          <w:lang w:eastAsia="en-AU"/>
        </w:rPr>
        <w:t>A</w:t>
      </w:r>
      <w:r w:rsidR="00C239D1">
        <w:rPr>
          <w:lang w:eastAsia="en-AU"/>
        </w:rPr>
        <w:t>ct</w:t>
      </w:r>
      <w:r>
        <w:rPr>
          <w:lang w:eastAsia="en-AU"/>
        </w:rPr>
        <w:t xml:space="preserve"> is intended to address, for example, to reduce the exposure of children to DFV. </w:t>
      </w:r>
    </w:p>
    <w:p w14:paraId="59F4C2CB" w14:textId="776F3E2C" w:rsidR="00FA4FCF" w:rsidRDefault="00FA4FCF" w:rsidP="00FA4FCF">
      <w:pPr>
        <w:rPr>
          <w:lang w:eastAsia="en-AU"/>
        </w:rPr>
      </w:pPr>
      <w:r>
        <w:rPr>
          <w:lang w:eastAsia="en-AU"/>
        </w:rPr>
        <w:t xml:space="preserve">An expanded preamble performs an educative role in relation to the nature of DFV and how to address it as well as aiding in the interpretation of the </w:t>
      </w:r>
      <w:r w:rsidR="00C239D1">
        <w:rPr>
          <w:lang w:eastAsia="en-AU"/>
        </w:rPr>
        <w:t>DFV </w:t>
      </w:r>
      <w:r>
        <w:rPr>
          <w:lang w:eastAsia="en-AU"/>
        </w:rPr>
        <w:t>Act.</w:t>
      </w:r>
    </w:p>
    <w:p w14:paraId="1DE1DD1C" w14:textId="3A1D261C" w:rsidR="00FA4FCF" w:rsidRDefault="00FA4FCF" w:rsidP="00FA4FCF">
      <w:pPr>
        <w:rPr>
          <w:lang w:eastAsia="en-AU"/>
        </w:rPr>
      </w:pPr>
      <w:r>
        <w:rPr>
          <w:lang w:eastAsia="en-AU"/>
        </w:rPr>
        <w:t>It is proposed that the preamble in the DFV</w:t>
      </w:r>
      <w:r w:rsidR="00C239D1">
        <w:rPr>
          <w:lang w:eastAsia="en-AU"/>
        </w:rPr>
        <w:t> </w:t>
      </w:r>
      <w:r>
        <w:rPr>
          <w:lang w:eastAsia="en-AU"/>
        </w:rPr>
        <w:t>A</w:t>
      </w:r>
      <w:r w:rsidR="00C239D1">
        <w:rPr>
          <w:lang w:eastAsia="en-AU"/>
        </w:rPr>
        <w:t>ct</w:t>
      </w:r>
      <w:r>
        <w:rPr>
          <w:lang w:eastAsia="en-AU"/>
        </w:rPr>
        <w:t xml:space="preserve"> be expanded along the lines of the preamble in the Victorian </w:t>
      </w:r>
      <w:r w:rsidRPr="003B2D19">
        <w:rPr>
          <w:i/>
          <w:lang w:eastAsia="en-AU"/>
        </w:rPr>
        <w:t>Family Violence Protection Act 2008</w:t>
      </w:r>
      <w:r>
        <w:rPr>
          <w:lang w:eastAsia="en-AU"/>
        </w:rPr>
        <w:t xml:space="preserve">, with additional paragraphs adapted from Western Australia’s </w:t>
      </w:r>
      <w:r w:rsidRPr="00DD553A">
        <w:rPr>
          <w:i/>
          <w:lang w:eastAsia="en-AU"/>
        </w:rPr>
        <w:t>Restraining Orders Act 1997</w:t>
      </w:r>
      <w:r w:rsidRPr="00BF4D42">
        <w:rPr>
          <w:lang w:eastAsia="en-AU"/>
        </w:rPr>
        <w:t xml:space="preserve"> and Queensland’s</w:t>
      </w:r>
      <w:r>
        <w:rPr>
          <w:i/>
          <w:lang w:eastAsia="en-AU"/>
        </w:rPr>
        <w:t xml:space="preserve"> Domestic and Family Violence Protection Act 2012.</w:t>
      </w:r>
    </w:p>
    <w:p w14:paraId="709FE736" w14:textId="4FE6650B" w:rsidR="00E11F0F" w:rsidRDefault="00E11F0F" w:rsidP="00CF57EB">
      <w:pPr>
        <w:pStyle w:val="BodySectionSub"/>
        <w:keepNext/>
        <w:spacing w:before="0" w:after="120"/>
        <w:ind w:left="567" w:right="851"/>
        <w:rPr>
          <w:rFonts w:asciiTheme="minorHAnsi" w:hAnsiTheme="minorHAnsi" w:cstheme="minorHAnsi"/>
          <w:sz w:val="22"/>
          <w:szCs w:val="22"/>
        </w:rPr>
      </w:pPr>
      <w:r>
        <w:rPr>
          <w:rFonts w:asciiTheme="minorHAnsi" w:hAnsiTheme="minorHAnsi" w:cstheme="minorHAnsi"/>
          <w:sz w:val="22"/>
          <w:szCs w:val="22"/>
        </w:rPr>
        <w:lastRenderedPageBreak/>
        <w:t>PROPOSED PREAMBLE</w:t>
      </w:r>
      <w:r w:rsidR="00C239D1">
        <w:rPr>
          <w:rFonts w:asciiTheme="minorHAnsi" w:hAnsiTheme="minorHAnsi" w:cstheme="minorHAnsi"/>
          <w:sz w:val="22"/>
          <w:szCs w:val="22"/>
        </w:rPr>
        <w:t xml:space="preserve"> (along the lines of)</w:t>
      </w:r>
    </w:p>
    <w:p w14:paraId="41760598" w14:textId="77777777" w:rsidR="00E11F0F" w:rsidRPr="000A300B" w:rsidRDefault="00E11F0F" w:rsidP="00CF57EB">
      <w:pPr>
        <w:pStyle w:val="BodySectionSub"/>
        <w:keepNext/>
        <w:spacing w:before="0" w:after="120"/>
        <w:ind w:left="567" w:right="851"/>
        <w:rPr>
          <w:rFonts w:asciiTheme="minorHAnsi" w:hAnsiTheme="minorHAnsi" w:cstheme="minorHAnsi"/>
          <w:sz w:val="22"/>
          <w:szCs w:val="22"/>
        </w:rPr>
      </w:pPr>
      <w:r w:rsidRPr="00742176">
        <w:rPr>
          <w:rFonts w:asciiTheme="minorHAnsi" w:hAnsiTheme="minorHAnsi" w:cstheme="minorHAnsi"/>
          <w:sz w:val="22"/>
          <w:szCs w:val="22"/>
        </w:rPr>
        <w:t>In enacting this Act, the Parliament recognises the following principles</w:t>
      </w:r>
      <w:r>
        <w:rPr>
          <w:rFonts w:asciiTheme="minorHAnsi" w:hAnsiTheme="minorHAnsi" w:cstheme="minorHAnsi"/>
          <w:sz w:val="22"/>
          <w:szCs w:val="22"/>
        </w:rPr>
        <w:t xml:space="preserve"> </w:t>
      </w:r>
      <w:r>
        <w:rPr>
          <w:rStyle w:val="FootnoteReference"/>
          <w:rFonts w:asciiTheme="minorHAnsi" w:hAnsiTheme="minorHAnsi" w:cstheme="minorHAnsi"/>
          <w:sz w:val="22"/>
          <w:szCs w:val="22"/>
        </w:rPr>
        <w:footnoteReference w:id="149"/>
      </w:r>
      <w:r w:rsidRPr="00742176">
        <w:rPr>
          <w:rFonts w:asciiTheme="minorHAnsi" w:hAnsiTheme="minorHAnsi" w:cstheme="minorHAnsi"/>
          <w:sz w:val="22"/>
          <w:szCs w:val="22"/>
        </w:rPr>
        <w:t>—</w:t>
      </w:r>
    </w:p>
    <w:p w14:paraId="67C15F2C" w14:textId="773A58CC" w:rsidR="00E11F0F" w:rsidRPr="00742176" w:rsidRDefault="00E11F0F" w:rsidP="00CF57EB">
      <w:pPr>
        <w:pStyle w:val="DraftHeading2"/>
        <w:spacing w:before="0" w:after="120"/>
        <w:ind w:left="1134" w:right="851" w:hanging="567"/>
        <w:rPr>
          <w:rFonts w:asciiTheme="minorHAnsi" w:hAnsiTheme="minorHAnsi" w:cstheme="minorHAnsi"/>
          <w:sz w:val="22"/>
          <w:szCs w:val="22"/>
        </w:rPr>
      </w:pPr>
      <w:r w:rsidRPr="00742176">
        <w:rPr>
          <w:rFonts w:asciiTheme="minorHAnsi" w:hAnsiTheme="minorHAnsi" w:cstheme="minorHAnsi"/>
          <w:sz w:val="22"/>
          <w:szCs w:val="22"/>
        </w:rPr>
        <w:t>(a)</w:t>
      </w:r>
      <w:r w:rsidRPr="00742176">
        <w:rPr>
          <w:rFonts w:asciiTheme="minorHAnsi" w:hAnsiTheme="minorHAnsi" w:cstheme="minorHAnsi"/>
          <w:sz w:val="22"/>
          <w:szCs w:val="22"/>
        </w:rPr>
        <w:tab/>
        <w:t>that non-violence is a fundamental social value that must be promoted;</w:t>
      </w:r>
    </w:p>
    <w:p w14:paraId="006D1BB7" w14:textId="5E2E43D9" w:rsidR="00E11F0F" w:rsidRPr="00742176" w:rsidRDefault="00E11F0F" w:rsidP="00CF57EB">
      <w:pPr>
        <w:pStyle w:val="DraftHeading2"/>
        <w:spacing w:before="0" w:after="120"/>
        <w:ind w:left="1134" w:right="851" w:hanging="567"/>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 xml:space="preserve">that domestic </w:t>
      </w:r>
      <w:r w:rsidRPr="00742176">
        <w:rPr>
          <w:rFonts w:asciiTheme="minorHAnsi" w:hAnsiTheme="minorHAnsi" w:cstheme="minorHAnsi"/>
          <w:sz w:val="22"/>
          <w:szCs w:val="22"/>
        </w:rPr>
        <w:t>violence is a fundamental violation of human rights and is unacceptable in any form;</w:t>
      </w:r>
    </w:p>
    <w:p w14:paraId="74CCF133" w14:textId="65CD83CB" w:rsidR="00E11F0F" w:rsidRPr="00742176" w:rsidRDefault="00E11F0F" w:rsidP="00CF57EB">
      <w:pPr>
        <w:pStyle w:val="DraftHeading2"/>
        <w:spacing w:before="0" w:after="120"/>
        <w:ind w:left="1134" w:right="851" w:hanging="567"/>
        <w:rPr>
          <w:rFonts w:asciiTheme="minorHAnsi" w:hAnsiTheme="minorHAnsi" w:cstheme="minorHAnsi"/>
          <w:sz w:val="22"/>
          <w:szCs w:val="22"/>
        </w:rPr>
      </w:pPr>
      <w:r w:rsidRPr="00742176">
        <w:rPr>
          <w:rFonts w:asciiTheme="minorHAnsi" w:hAnsiTheme="minorHAnsi" w:cstheme="minorHAnsi"/>
          <w:sz w:val="22"/>
          <w:szCs w:val="22"/>
        </w:rPr>
        <w:t>(c)</w:t>
      </w:r>
      <w:r w:rsidRPr="00742176">
        <w:rPr>
          <w:rFonts w:asciiTheme="minorHAnsi" w:hAnsiTheme="minorHAnsi" w:cstheme="minorHAnsi"/>
          <w:sz w:val="22"/>
          <w:szCs w:val="22"/>
        </w:rPr>
        <w:tab/>
        <w:t xml:space="preserve">that </w:t>
      </w:r>
      <w:r>
        <w:rPr>
          <w:rFonts w:asciiTheme="minorHAnsi" w:hAnsiTheme="minorHAnsi" w:cstheme="minorHAnsi"/>
          <w:sz w:val="22"/>
          <w:szCs w:val="22"/>
        </w:rPr>
        <w:t xml:space="preserve">domestic </w:t>
      </w:r>
      <w:r w:rsidRPr="00742176">
        <w:rPr>
          <w:rFonts w:asciiTheme="minorHAnsi" w:hAnsiTheme="minorHAnsi" w:cstheme="minorHAnsi"/>
          <w:sz w:val="22"/>
          <w:szCs w:val="22"/>
        </w:rPr>
        <w:t>violence is not acceptable in any community or culture;</w:t>
      </w:r>
    </w:p>
    <w:p w14:paraId="754E3ACB" w14:textId="41C9C7CC" w:rsidR="00E11F0F" w:rsidRDefault="00E11F0F" w:rsidP="00E07D7B">
      <w:pPr>
        <w:pStyle w:val="DraftHeading2"/>
        <w:spacing w:before="0" w:after="60"/>
        <w:ind w:left="1134" w:right="851" w:hanging="567"/>
        <w:rPr>
          <w:rFonts w:asciiTheme="minorHAnsi" w:hAnsiTheme="minorHAnsi" w:cstheme="minorHAnsi"/>
          <w:sz w:val="22"/>
          <w:szCs w:val="22"/>
        </w:rPr>
      </w:pPr>
      <w:r w:rsidRPr="00742176">
        <w:rPr>
          <w:rFonts w:asciiTheme="minorHAnsi" w:hAnsiTheme="minorHAnsi" w:cstheme="minorHAnsi"/>
          <w:sz w:val="22"/>
          <w:szCs w:val="22"/>
        </w:rPr>
        <w:t>(d)</w:t>
      </w:r>
      <w:r w:rsidRPr="00742176">
        <w:rPr>
          <w:rFonts w:asciiTheme="minorHAnsi" w:hAnsiTheme="minorHAnsi" w:cstheme="minorHAnsi"/>
          <w:sz w:val="22"/>
          <w:szCs w:val="22"/>
        </w:rPr>
        <w:tab/>
        <w:t xml:space="preserve">that in responding to </w:t>
      </w:r>
      <w:r>
        <w:rPr>
          <w:rFonts w:asciiTheme="minorHAnsi" w:hAnsiTheme="minorHAnsi" w:cstheme="minorHAnsi"/>
          <w:sz w:val="22"/>
          <w:szCs w:val="22"/>
        </w:rPr>
        <w:t xml:space="preserve">domestic </w:t>
      </w:r>
      <w:r w:rsidRPr="00742176">
        <w:rPr>
          <w:rFonts w:asciiTheme="minorHAnsi" w:hAnsiTheme="minorHAnsi" w:cstheme="minorHAnsi"/>
          <w:sz w:val="22"/>
          <w:szCs w:val="22"/>
        </w:rPr>
        <w:t xml:space="preserve">violence and promoting the safety of persons who have experienced </w:t>
      </w:r>
      <w:r>
        <w:rPr>
          <w:rFonts w:asciiTheme="minorHAnsi" w:hAnsiTheme="minorHAnsi" w:cstheme="minorHAnsi"/>
          <w:sz w:val="22"/>
          <w:szCs w:val="22"/>
        </w:rPr>
        <w:t xml:space="preserve">domestic </w:t>
      </w:r>
      <w:r w:rsidRPr="00742176">
        <w:rPr>
          <w:rFonts w:asciiTheme="minorHAnsi" w:hAnsiTheme="minorHAnsi" w:cstheme="minorHAnsi"/>
          <w:sz w:val="22"/>
          <w:szCs w:val="22"/>
        </w:rPr>
        <w:t>violence, the justice system should</w:t>
      </w:r>
      <w:r>
        <w:rPr>
          <w:rFonts w:asciiTheme="minorHAnsi" w:hAnsiTheme="minorHAnsi" w:cstheme="minorHAnsi"/>
          <w:sz w:val="22"/>
          <w:szCs w:val="22"/>
        </w:rPr>
        <w:t>:</w:t>
      </w:r>
    </w:p>
    <w:p w14:paraId="5532807F" w14:textId="77777777" w:rsidR="00E11F0F" w:rsidRDefault="00E11F0F" w:rsidP="0067521E">
      <w:pPr>
        <w:pStyle w:val="DraftHeading2"/>
        <w:numPr>
          <w:ilvl w:val="0"/>
          <w:numId w:val="54"/>
        </w:numPr>
        <w:tabs>
          <w:tab w:val="right" w:pos="1247"/>
        </w:tabs>
        <w:spacing w:before="0" w:after="60"/>
        <w:ind w:left="1701" w:right="851"/>
        <w:rPr>
          <w:rFonts w:asciiTheme="minorHAnsi" w:hAnsiTheme="minorHAnsi" w:cstheme="minorHAnsi"/>
          <w:sz w:val="22"/>
          <w:szCs w:val="22"/>
        </w:rPr>
      </w:pPr>
      <w:r w:rsidRPr="00742176">
        <w:rPr>
          <w:rFonts w:asciiTheme="minorHAnsi" w:hAnsiTheme="minorHAnsi" w:cstheme="minorHAnsi"/>
          <w:sz w:val="22"/>
          <w:szCs w:val="22"/>
        </w:rPr>
        <w:t>treat the vi</w:t>
      </w:r>
      <w:r>
        <w:rPr>
          <w:rFonts w:asciiTheme="minorHAnsi" w:hAnsiTheme="minorHAnsi" w:cstheme="minorHAnsi"/>
          <w:sz w:val="22"/>
          <w:szCs w:val="22"/>
        </w:rPr>
        <w:t>ews of victims of domestic</w:t>
      </w:r>
      <w:r w:rsidRPr="00742176">
        <w:rPr>
          <w:rFonts w:asciiTheme="minorHAnsi" w:hAnsiTheme="minorHAnsi" w:cstheme="minorHAnsi"/>
          <w:sz w:val="22"/>
          <w:szCs w:val="22"/>
        </w:rPr>
        <w:t xml:space="preserve"> violence with respect</w:t>
      </w:r>
      <w:r>
        <w:rPr>
          <w:rFonts w:asciiTheme="minorHAnsi" w:hAnsiTheme="minorHAnsi" w:cstheme="minorHAnsi"/>
          <w:sz w:val="22"/>
          <w:szCs w:val="22"/>
        </w:rPr>
        <w:t xml:space="preserve"> and dignity, and</w:t>
      </w:r>
    </w:p>
    <w:p w14:paraId="0D7860A1" w14:textId="77777777" w:rsidR="00E11F0F" w:rsidRDefault="00E11F0F" w:rsidP="0067521E">
      <w:pPr>
        <w:pStyle w:val="DraftHeading2"/>
        <w:numPr>
          <w:ilvl w:val="0"/>
          <w:numId w:val="54"/>
        </w:numPr>
        <w:tabs>
          <w:tab w:val="right" w:pos="1247"/>
        </w:tabs>
        <w:spacing w:before="0" w:after="60"/>
        <w:ind w:left="1701" w:right="851"/>
        <w:rPr>
          <w:rFonts w:asciiTheme="minorHAnsi" w:hAnsiTheme="minorHAnsi" w:cstheme="minorHAnsi"/>
          <w:sz w:val="22"/>
          <w:szCs w:val="22"/>
        </w:rPr>
      </w:pPr>
      <w:r>
        <w:rPr>
          <w:rFonts w:asciiTheme="minorHAnsi" w:hAnsiTheme="minorHAnsi" w:cstheme="minorHAnsi"/>
          <w:sz w:val="22"/>
          <w:szCs w:val="22"/>
        </w:rPr>
        <w:t xml:space="preserve">seek to reduce the </w:t>
      </w:r>
      <w:r w:rsidRPr="00F865C5">
        <w:rPr>
          <w:rFonts w:asciiTheme="minorHAnsi" w:hAnsiTheme="minorHAnsi" w:cstheme="minorHAnsi"/>
          <w:sz w:val="22"/>
          <w:szCs w:val="22"/>
        </w:rPr>
        <w:t>degree to which victims might be subject t</w:t>
      </w:r>
      <w:r>
        <w:rPr>
          <w:rFonts w:asciiTheme="minorHAnsi" w:hAnsiTheme="minorHAnsi" w:cstheme="minorHAnsi"/>
          <w:sz w:val="22"/>
          <w:szCs w:val="22"/>
        </w:rPr>
        <w:t>o re</w:t>
      </w:r>
      <w:r>
        <w:rPr>
          <w:rFonts w:asciiTheme="minorHAnsi" w:hAnsiTheme="minorHAnsi" w:cstheme="minorHAnsi"/>
          <w:sz w:val="22"/>
          <w:szCs w:val="22"/>
        </w:rPr>
        <w:noBreakHyphen/>
        <w:t xml:space="preserve">traumatisation during those proceedings; </w:t>
      </w:r>
      <w:r>
        <w:rPr>
          <w:rStyle w:val="FootnoteReference"/>
          <w:rFonts w:asciiTheme="minorHAnsi" w:hAnsiTheme="minorHAnsi" w:cstheme="minorHAnsi"/>
          <w:sz w:val="22"/>
          <w:szCs w:val="22"/>
        </w:rPr>
        <w:footnoteReference w:id="150"/>
      </w:r>
      <w:r>
        <w:rPr>
          <w:rFonts w:asciiTheme="minorHAnsi" w:hAnsiTheme="minorHAnsi" w:cstheme="minorHAnsi"/>
          <w:sz w:val="22"/>
          <w:szCs w:val="22"/>
        </w:rPr>
        <w:t>and</w:t>
      </w:r>
    </w:p>
    <w:p w14:paraId="5E1FC7D2" w14:textId="77777777" w:rsidR="00E11F0F" w:rsidRDefault="00E11F0F" w:rsidP="0067521E">
      <w:pPr>
        <w:pStyle w:val="DraftHeading2"/>
        <w:numPr>
          <w:ilvl w:val="0"/>
          <w:numId w:val="54"/>
        </w:numPr>
        <w:tabs>
          <w:tab w:val="right" w:pos="1247"/>
        </w:tabs>
        <w:spacing w:before="0" w:after="120"/>
        <w:ind w:left="1701" w:right="851" w:hanging="357"/>
        <w:rPr>
          <w:rFonts w:asciiTheme="minorHAnsi" w:hAnsiTheme="minorHAnsi" w:cstheme="minorHAnsi"/>
          <w:sz w:val="22"/>
          <w:szCs w:val="22"/>
        </w:rPr>
      </w:pPr>
      <w:r>
        <w:rPr>
          <w:rFonts w:asciiTheme="minorHAnsi" w:hAnsiTheme="minorHAnsi" w:cstheme="minorHAnsi"/>
          <w:sz w:val="22"/>
          <w:szCs w:val="22"/>
        </w:rPr>
        <w:t>seek to reduce disruption to the lives of victims as far as possible.</w:t>
      </w:r>
      <w:r>
        <w:rPr>
          <w:rStyle w:val="FootnoteReference"/>
          <w:rFonts w:asciiTheme="minorHAnsi" w:hAnsiTheme="minorHAnsi" w:cstheme="minorHAnsi"/>
          <w:sz w:val="22"/>
          <w:szCs w:val="22"/>
        </w:rPr>
        <w:footnoteReference w:id="151"/>
      </w:r>
    </w:p>
    <w:p w14:paraId="63C2D1D5" w14:textId="77777777" w:rsidR="00E11F0F" w:rsidRPr="000A300B" w:rsidRDefault="00E11F0F" w:rsidP="00CF57EB">
      <w:pPr>
        <w:pStyle w:val="BodySectionSub"/>
        <w:spacing w:before="0" w:after="120"/>
        <w:ind w:left="567" w:right="851"/>
        <w:rPr>
          <w:rFonts w:asciiTheme="minorHAnsi" w:hAnsiTheme="minorHAnsi" w:cstheme="minorHAnsi"/>
          <w:sz w:val="22"/>
          <w:szCs w:val="22"/>
        </w:rPr>
      </w:pPr>
      <w:r w:rsidRPr="00742176">
        <w:rPr>
          <w:rFonts w:asciiTheme="minorHAnsi" w:hAnsiTheme="minorHAnsi" w:cstheme="minorHAnsi"/>
          <w:sz w:val="22"/>
          <w:szCs w:val="22"/>
        </w:rPr>
        <w:t xml:space="preserve">In enacting this Act, the Parliament also recognises the following features of </w:t>
      </w:r>
      <w:r>
        <w:rPr>
          <w:rFonts w:asciiTheme="minorHAnsi" w:hAnsiTheme="minorHAnsi" w:cstheme="minorHAnsi"/>
          <w:sz w:val="22"/>
          <w:szCs w:val="22"/>
        </w:rPr>
        <w:t xml:space="preserve">domestic </w:t>
      </w:r>
      <w:r w:rsidRPr="00742176">
        <w:rPr>
          <w:rFonts w:asciiTheme="minorHAnsi" w:hAnsiTheme="minorHAnsi" w:cstheme="minorHAnsi"/>
          <w:sz w:val="22"/>
          <w:szCs w:val="22"/>
        </w:rPr>
        <w:t>violence—</w:t>
      </w:r>
    </w:p>
    <w:p w14:paraId="43F8BD28" w14:textId="77777777" w:rsidR="00E11F0F" w:rsidRPr="00742176" w:rsidRDefault="00E11F0F" w:rsidP="00CF57EB">
      <w:pPr>
        <w:pStyle w:val="DraftHeading2"/>
        <w:numPr>
          <w:ilvl w:val="1"/>
          <w:numId w:val="12"/>
        </w:numPr>
        <w:tabs>
          <w:tab w:val="right" w:pos="1247"/>
        </w:tabs>
        <w:spacing w:before="0" w:after="120"/>
        <w:ind w:left="1134" w:right="851" w:hanging="567"/>
        <w:rPr>
          <w:rFonts w:asciiTheme="minorHAnsi" w:hAnsiTheme="minorHAnsi" w:cstheme="minorHAnsi"/>
          <w:sz w:val="22"/>
          <w:szCs w:val="22"/>
        </w:rPr>
      </w:pPr>
      <w:r w:rsidRPr="00742176">
        <w:rPr>
          <w:rFonts w:asciiTheme="minorHAnsi" w:hAnsiTheme="minorHAnsi" w:cstheme="minorHAnsi"/>
          <w:sz w:val="22"/>
          <w:szCs w:val="22"/>
        </w:rPr>
        <w:t xml:space="preserve">that while anyone can be a </w:t>
      </w:r>
      <w:r>
        <w:rPr>
          <w:rFonts w:asciiTheme="minorHAnsi" w:hAnsiTheme="minorHAnsi" w:cstheme="minorHAnsi"/>
          <w:sz w:val="22"/>
          <w:szCs w:val="22"/>
        </w:rPr>
        <w:t xml:space="preserve">victim-survivor or perpetrator of domestic violence, domestic </w:t>
      </w:r>
      <w:r w:rsidRPr="00742176">
        <w:rPr>
          <w:rFonts w:asciiTheme="minorHAnsi" w:hAnsiTheme="minorHAnsi" w:cstheme="minorHAnsi"/>
          <w:sz w:val="22"/>
          <w:szCs w:val="22"/>
        </w:rPr>
        <w:t>violence is predominantly committed by men against women, children and other vulnerable persons;</w:t>
      </w:r>
    </w:p>
    <w:p w14:paraId="387D8D23" w14:textId="77777777" w:rsidR="00E11F0F" w:rsidRPr="00742176" w:rsidRDefault="00E11F0F" w:rsidP="00CF57EB">
      <w:pPr>
        <w:pStyle w:val="DraftHeading2"/>
        <w:numPr>
          <w:ilvl w:val="1"/>
          <w:numId w:val="12"/>
        </w:numPr>
        <w:tabs>
          <w:tab w:val="right" w:pos="1247"/>
        </w:tabs>
        <w:spacing w:before="0" w:after="120"/>
        <w:ind w:left="1134" w:right="851" w:hanging="567"/>
        <w:rPr>
          <w:rFonts w:asciiTheme="minorHAnsi" w:hAnsiTheme="minorHAnsi" w:cstheme="minorHAnsi"/>
          <w:sz w:val="22"/>
          <w:szCs w:val="22"/>
        </w:rPr>
      </w:pPr>
      <w:r w:rsidRPr="00742176">
        <w:rPr>
          <w:rFonts w:asciiTheme="minorHAnsi" w:hAnsiTheme="minorHAnsi" w:cstheme="minorHAnsi"/>
          <w:sz w:val="22"/>
          <w:szCs w:val="22"/>
        </w:rPr>
        <w:t xml:space="preserve">that children who are </w:t>
      </w:r>
      <w:r>
        <w:rPr>
          <w:rFonts w:asciiTheme="minorHAnsi" w:hAnsiTheme="minorHAnsi" w:cstheme="minorHAnsi"/>
          <w:sz w:val="22"/>
          <w:szCs w:val="22"/>
        </w:rPr>
        <w:t>exposed to the effects of domestic</w:t>
      </w:r>
      <w:r w:rsidRPr="00742176">
        <w:rPr>
          <w:rFonts w:asciiTheme="minorHAnsi" w:hAnsiTheme="minorHAnsi" w:cstheme="minorHAnsi"/>
          <w:sz w:val="22"/>
          <w:szCs w:val="22"/>
        </w:rPr>
        <w:t xml:space="preserve"> violence are particularly vulnerable and exposure to family violence may have a serious impact on children's current and future physical, psychological and emotional wellbeing;</w:t>
      </w:r>
    </w:p>
    <w:p w14:paraId="439C36E1" w14:textId="77777777" w:rsidR="00E11F0F" w:rsidRPr="00742176" w:rsidRDefault="00E11F0F" w:rsidP="00E07D7B">
      <w:pPr>
        <w:pStyle w:val="DraftHeading2"/>
        <w:numPr>
          <w:ilvl w:val="1"/>
          <w:numId w:val="12"/>
        </w:numPr>
        <w:tabs>
          <w:tab w:val="right" w:pos="1247"/>
        </w:tabs>
        <w:spacing w:before="0" w:after="60"/>
        <w:ind w:left="1134" w:right="851" w:hanging="567"/>
        <w:rPr>
          <w:rFonts w:asciiTheme="minorHAnsi" w:hAnsiTheme="minorHAnsi" w:cstheme="minorHAnsi"/>
          <w:sz w:val="22"/>
          <w:szCs w:val="22"/>
        </w:rPr>
      </w:pPr>
      <w:r>
        <w:rPr>
          <w:rFonts w:asciiTheme="minorHAnsi" w:hAnsiTheme="minorHAnsi" w:cstheme="minorHAnsi"/>
          <w:sz w:val="22"/>
          <w:szCs w:val="22"/>
        </w:rPr>
        <w:t>that domestic</w:t>
      </w:r>
      <w:r w:rsidRPr="00742176">
        <w:rPr>
          <w:rFonts w:asciiTheme="minorHAnsi" w:hAnsiTheme="minorHAnsi" w:cstheme="minorHAnsi"/>
          <w:sz w:val="22"/>
          <w:szCs w:val="22"/>
        </w:rPr>
        <w:t xml:space="preserve"> violence—</w:t>
      </w:r>
    </w:p>
    <w:p w14:paraId="5AF2344C" w14:textId="77777777" w:rsidR="00E11F0F" w:rsidRPr="00742176" w:rsidRDefault="00E11F0F" w:rsidP="00E07D7B">
      <w:pPr>
        <w:pStyle w:val="DraftHeading3"/>
        <w:numPr>
          <w:ilvl w:val="2"/>
          <w:numId w:val="14"/>
        </w:numPr>
        <w:tabs>
          <w:tab w:val="clear" w:pos="2160"/>
          <w:tab w:val="right" w:pos="1757"/>
        </w:tabs>
        <w:spacing w:before="0" w:after="60"/>
        <w:ind w:left="1701" w:right="851"/>
        <w:rPr>
          <w:rFonts w:asciiTheme="minorHAnsi" w:hAnsiTheme="minorHAnsi" w:cstheme="minorHAnsi"/>
          <w:sz w:val="22"/>
          <w:szCs w:val="22"/>
        </w:rPr>
      </w:pPr>
      <w:r w:rsidRPr="00742176">
        <w:rPr>
          <w:rFonts w:asciiTheme="minorHAnsi" w:hAnsiTheme="minorHAnsi" w:cstheme="minorHAnsi"/>
          <w:sz w:val="22"/>
          <w:szCs w:val="22"/>
        </w:rPr>
        <w:t>affects the entire community; and</w:t>
      </w:r>
    </w:p>
    <w:p w14:paraId="18CD2A4B" w14:textId="77777777" w:rsidR="00E11F0F" w:rsidRPr="00742176" w:rsidRDefault="00E11F0F" w:rsidP="00E07D7B">
      <w:pPr>
        <w:pStyle w:val="DraftHeading3"/>
        <w:numPr>
          <w:ilvl w:val="2"/>
          <w:numId w:val="14"/>
        </w:numPr>
        <w:tabs>
          <w:tab w:val="clear" w:pos="2160"/>
          <w:tab w:val="right" w:pos="1757"/>
        </w:tabs>
        <w:spacing w:before="0" w:after="60"/>
        <w:ind w:left="1701" w:right="851"/>
        <w:rPr>
          <w:rFonts w:asciiTheme="minorHAnsi" w:hAnsiTheme="minorHAnsi" w:cstheme="minorHAnsi"/>
          <w:sz w:val="22"/>
          <w:szCs w:val="22"/>
        </w:rPr>
      </w:pPr>
      <w:r w:rsidRPr="00742176">
        <w:rPr>
          <w:rFonts w:asciiTheme="minorHAnsi" w:hAnsiTheme="minorHAnsi" w:cstheme="minorHAnsi"/>
          <w:sz w:val="22"/>
          <w:szCs w:val="22"/>
        </w:rPr>
        <w:t>occurs in all areas of society, regardless of location, socioeconomic and health status, age, culture, gender</w:t>
      </w:r>
      <w:r>
        <w:rPr>
          <w:rFonts w:asciiTheme="minorHAnsi" w:hAnsiTheme="minorHAnsi" w:cstheme="minorHAnsi"/>
          <w:sz w:val="22"/>
          <w:szCs w:val="22"/>
        </w:rPr>
        <w:t xml:space="preserve"> identity</w:t>
      </w:r>
      <w:r w:rsidRPr="00742176">
        <w:rPr>
          <w:rFonts w:asciiTheme="minorHAnsi" w:hAnsiTheme="minorHAnsi" w:cstheme="minorHAnsi"/>
          <w:sz w:val="22"/>
          <w:szCs w:val="22"/>
        </w:rPr>
        <w:t>, sexual identity, ability, ethnicity or religion;</w:t>
      </w:r>
    </w:p>
    <w:p w14:paraId="11DC3B31" w14:textId="77777777" w:rsidR="00E11F0F" w:rsidRPr="00742176" w:rsidRDefault="00E11F0F" w:rsidP="00CF57EB">
      <w:pPr>
        <w:pStyle w:val="DraftHeading3"/>
        <w:numPr>
          <w:ilvl w:val="2"/>
          <w:numId w:val="14"/>
        </w:numPr>
        <w:tabs>
          <w:tab w:val="clear" w:pos="2160"/>
          <w:tab w:val="right" w:pos="1757"/>
        </w:tabs>
        <w:spacing w:before="0" w:after="120"/>
        <w:ind w:left="1701" w:right="851"/>
        <w:rPr>
          <w:rFonts w:asciiTheme="minorHAnsi" w:hAnsiTheme="minorHAnsi" w:cstheme="minorHAnsi"/>
          <w:sz w:val="22"/>
          <w:szCs w:val="22"/>
        </w:rPr>
      </w:pPr>
      <w:r w:rsidRPr="00742176">
        <w:rPr>
          <w:rFonts w:asciiTheme="minorHAnsi" w:hAnsiTheme="minorHAnsi" w:cstheme="minorHAnsi"/>
          <w:color w:val="000000"/>
          <w:sz w:val="22"/>
          <w:szCs w:val="22"/>
          <w:lang w:eastAsia="en-AU"/>
        </w:rPr>
        <w:t xml:space="preserve">traditional or cultural practices cannot be relied upon to minimise or excuse </w:t>
      </w:r>
      <w:r>
        <w:rPr>
          <w:rFonts w:asciiTheme="minorHAnsi" w:hAnsiTheme="minorHAnsi" w:cstheme="minorHAnsi"/>
          <w:color w:val="000000"/>
          <w:sz w:val="22"/>
          <w:szCs w:val="22"/>
          <w:lang w:eastAsia="en-AU"/>
        </w:rPr>
        <w:t>domestic</w:t>
      </w:r>
      <w:r w:rsidRPr="00742176">
        <w:rPr>
          <w:rFonts w:asciiTheme="minorHAnsi" w:hAnsiTheme="minorHAnsi" w:cstheme="minorHAnsi"/>
          <w:color w:val="000000"/>
          <w:sz w:val="22"/>
          <w:szCs w:val="22"/>
          <w:lang w:eastAsia="en-AU"/>
        </w:rPr>
        <w:t xml:space="preserve"> violence</w:t>
      </w:r>
      <w:r w:rsidRPr="00742176">
        <w:rPr>
          <w:rFonts w:asciiTheme="minorHAnsi" w:hAnsiTheme="minorHAnsi" w:cstheme="minorHAnsi"/>
          <w:sz w:val="22"/>
          <w:szCs w:val="22"/>
        </w:rPr>
        <w:t>;</w:t>
      </w:r>
      <w:r w:rsidRPr="00742176">
        <w:rPr>
          <w:rStyle w:val="FootnoteReference"/>
          <w:rFonts w:asciiTheme="minorHAnsi" w:hAnsiTheme="minorHAnsi" w:cstheme="minorHAnsi"/>
        </w:rPr>
        <w:footnoteReference w:id="152"/>
      </w:r>
    </w:p>
    <w:p w14:paraId="48D78644" w14:textId="77777777" w:rsidR="00E11F0F" w:rsidRPr="00742176" w:rsidRDefault="00E11F0F" w:rsidP="00CF57EB">
      <w:pPr>
        <w:pStyle w:val="DraftHeading2"/>
        <w:numPr>
          <w:ilvl w:val="1"/>
          <w:numId w:val="12"/>
        </w:numPr>
        <w:spacing w:before="0" w:after="120"/>
        <w:ind w:left="1134" w:right="851" w:hanging="567"/>
        <w:rPr>
          <w:rFonts w:asciiTheme="minorHAnsi" w:hAnsiTheme="minorHAnsi" w:cstheme="minorHAnsi"/>
          <w:sz w:val="22"/>
          <w:szCs w:val="22"/>
        </w:rPr>
      </w:pPr>
      <w:r>
        <w:rPr>
          <w:rFonts w:asciiTheme="minorHAnsi" w:hAnsiTheme="minorHAnsi" w:cstheme="minorHAnsi"/>
          <w:sz w:val="22"/>
          <w:szCs w:val="22"/>
        </w:rPr>
        <w:t>that domestic</w:t>
      </w:r>
      <w:r w:rsidRPr="00742176">
        <w:rPr>
          <w:rFonts w:asciiTheme="minorHAnsi" w:hAnsiTheme="minorHAnsi" w:cstheme="minorHAnsi"/>
          <w:sz w:val="22"/>
          <w:szCs w:val="22"/>
        </w:rPr>
        <w:t xml:space="preserve"> violence extends beyond physical and sexual violence and may involve emot</w:t>
      </w:r>
      <w:r>
        <w:rPr>
          <w:rFonts w:asciiTheme="minorHAnsi" w:hAnsiTheme="minorHAnsi" w:cstheme="minorHAnsi"/>
          <w:sz w:val="22"/>
          <w:szCs w:val="22"/>
        </w:rPr>
        <w:t>ional or psychological abuse,</w:t>
      </w:r>
      <w:r w:rsidRPr="00742176">
        <w:rPr>
          <w:rFonts w:asciiTheme="minorHAnsi" w:hAnsiTheme="minorHAnsi" w:cstheme="minorHAnsi"/>
          <w:sz w:val="22"/>
          <w:szCs w:val="22"/>
        </w:rPr>
        <w:t xml:space="preserve"> economic abuse</w:t>
      </w:r>
      <w:r>
        <w:rPr>
          <w:rFonts w:asciiTheme="minorHAnsi" w:hAnsiTheme="minorHAnsi" w:cstheme="minorHAnsi"/>
          <w:sz w:val="22"/>
          <w:szCs w:val="22"/>
        </w:rPr>
        <w:t xml:space="preserve"> and coercive control</w:t>
      </w:r>
      <w:r w:rsidRPr="00742176">
        <w:rPr>
          <w:rFonts w:asciiTheme="minorHAnsi" w:hAnsiTheme="minorHAnsi" w:cstheme="minorHAnsi"/>
          <w:sz w:val="22"/>
          <w:szCs w:val="22"/>
        </w:rPr>
        <w:t>;</w:t>
      </w:r>
    </w:p>
    <w:p w14:paraId="0F46B2C7" w14:textId="77777777" w:rsidR="00E11F0F" w:rsidRDefault="00E11F0F" w:rsidP="00CF57EB">
      <w:pPr>
        <w:pStyle w:val="DraftHeading2"/>
        <w:numPr>
          <w:ilvl w:val="1"/>
          <w:numId w:val="12"/>
        </w:numPr>
        <w:spacing w:before="0" w:after="120"/>
        <w:ind w:left="1134" w:right="851" w:hanging="567"/>
        <w:rPr>
          <w:rFonts w:asciiTheme="minorHAnsi" w:hAnsiTheme="minorHAnsi" w:cstheme="minorHAnsi"/>
          <w:sz w:val="22"/>
          <w:szCs w:val="22"/>
        </w:rPr>
      </w:pPr>
      <w:r>
        <w:rPr>
          <w:rFonts w:asciiTheme="minorHAnsi" w:hAnsiTheme="minorHAnsi" w:cstheme="minorHAnsi"/>
          <w:sz w:val="22"/>
          <w:szCs w:val="22"/>
        </w:rPr>
        <w:t>that domestic</w:t>
      </w:r>
      <w:r w:rsidRPr="00742176">
        <w:rPr>
          <w:rFonts w:asciiTheme="minorHAnsi" w:hAnsiTheme="minorHAnsi" w:cstheme="minorHAnsi"/>
          <w:sz w:val="22"/>
          <w:szCs w:val="22"/>
        </w:rPr>
        <w:t xml:space="preserve"> violence may involve overt or subtle exploitation of power imbalances and may consist of isolated incidents or patterns of abuse over a period of time</w:t>
      </w:r>
      <w:r>
        <w:rPr>
          <w:rFonts w:asciiTheme="minorHAnsi" w:hAnsiTheme="minorHAnsi" w:cstheme="minorHAnsi"/>
          <w:sz w:val="22"/>
          <w:szCs w:val="22"/>
        </w:rPr>
        <w:t>;</w:t>
      </w:r>
    </w:p>
    <w:p w14:paraId="26452821" w14:textId="77777777" w:rsidR="00E11F0F" w:rsidRDefault="00E11F0F" w:rsidP="00CF57EB">
      <w:pPr>
        <w:pStyle w:val="DraftHeading2"/>
        <w:numPr>
          <w:ilvl w:val="1"/>
          <w:numId w:val="12"/>
        </w:numPr>
        <w:spacing w:before="0" w:after="120"/>
        <w:ind w:left="1134" w:right="851" w:hanging="567"/>
        <w:rPr>
          <w:rFonts w:asciiTheme="minorHAnsi" w:hAnsiTheme="minorHAnsi" w:cstheme="minorHAnsi"/>
          <w:sz w:val="22"/>
          <w:szCs w:val="22"/>
        </w:rPr>
      </w:pPr>
      <w:r>
        <w:rPr>
          <w:rFonts w:asciiTheme="minorHAnsi" w:hAnsiTheme="minorHAnsi" w:cstheme="minorHAnsi"/>
          <w:sz w:val="22"/>
          <w:szCs w:val="22"/>
        </w:rPr>
        <w:t>t</w:t>
      </w:r>
      <w:r w:rsidRPr="00F865C5">
        <w:rPr>
          <w:rFonts w:asciiTheme="minorHAnsi" w:hAnsiTheme="minorHAnsi" w:cstheme="minorHAnsi"/>
          <w:sz w:val="22"/>
          <w:szCs w:val="22"/>
        </w:rPr>
        <w:t>hat coercive control is a particularly harmf</w:t>
      </w:r>
      <w:r>
        <w:rPr>
          <w:rFonts w:asciiTheme="minorHAnsi" w:hAnsiTheme="minorHAnsi" w:cstheme="minorHAnsi"/>
          <w:sz w:val="22"/>
          <w:szCs w:val="22"/>
        </w:rPr>
        <w:t>ul form of domestic</w:t>
      </w:r>
      <w:r w:rsidRPr="00F865C5">
        <w:rPr>
          <w:rFonts w:asciiTheme="minorHAnsi" w:hAnsiTheme="minorHAnsi" w:cstheme="minorHAnsi"/>
          <w:sz w:val="22"/>
          <w:szCs w:val="22"/>
        </w:rPr>
        <w:t xml:space="preserve"> violence that involves violent, threatening or intimidating behaviour that has the effect of isolating, controlling, monitoring, frightening, humiliating, degrading, punishing, or rest</w:t>
      </w:r>
      <w:r>
        <w:rPr>
          <w:rFonts w:asciiTheme="minorHAnsi" w:hAnsiTheme="minorHAnsi" w:cstheme="minorHAnsi"/>
          <w:sz w:val="22"/>
          <w:szCs w:val="22"/>
        </w:rPr>
        <w:t xml:space="preserve">ricting the freedom of a person; </w:t>
      </w:r>
      <w:r>
        <w:rPr>
          <w:rStyle w:val="FootnoteReference"/>
          <w:rFonts w:asciiTheme="minorHAnsi" w:hAnsiTheme="minorHAnsi" w:cstheme="minorHAnsi"/>
          <w:sz w:val="22"/>
          <w:szCs w:val="22"/>
        </w:rPr>
        <w:footnoteReference w:id="153"/>
      </w:r>
    </w:p>
    <w:p w14:paraId="4621376E" w14:textId="77777777" w:rsidR="00E11F0F" w:rsidRPr="00413B95" w:rsidRDefault="00E11F0F" w:rsidP="00CF57EB">
      <w:pPr>
        <w:pStyle w:val="DraftHeading2"/>
        <w:numPr>
          <w:ilvl w:val="1"/>
          <w:numId w:val="12"/>
        </w:numPr>
        <w:spacing w:before="0" w:after="120"/>
        <w:ind w:left="1134" w:right="851" w:hanging="567"/>
        <w:rPr>
          <w:rFonts w:asciiTheme="minorHAnsi" w:hAnsiTheme="minorHAnsi" w:cstheme="minorHAnsi"/>
          <w:sz w:val="22"/>
          <w:szCs w:val="22"/>
        </w:rPr>
      </w:pPr>
      <w:r w:rsidRPr="00413B95">
        <w:rPr>
          <w:rFonts w:asciiTheme="minorHAnsi" w:hAnsiTheme="minorHAnsi" w:cstheme="minorHAnsi"/>
          <w:sz w:val="22"/>
          <w:szCs w:val="22"/>
        </w:rPr>
        <w:lastRenderedPageBreak/>
        <w:t>that complex emotional factors arising from coercion, control and fear often make it difficult for victims of family violence to repor</w:t>
      </w:r>
      <w:r>
        <w:rPr>
          <w:rFonts w:asciiTheme="minorHAnsi" w:hAnsiTheme="minorHAnsi" w:cstheme="minorHAnsi"/>
          <w:sz w:val="22"/>
          <w:szCs w:val="22"/>
        </w:rPr>
        <w:t>t the violence or leave a domestic</w:t>
      </w:r>
      <w:r w:rsidRPr="00413B95">
        <w:rPr>
          <w:rFonts w:asciiTheme="minorHAnsi" w:hAnsiTheme="minorHAnsi" w:cstheme="minorHAnsi"/>
          <w:sz w:val="22"/>
          <w:szCs w:val="22"/>
        </w:rPr>
        <w:t xml:space="preserve"> relationship in which family violence is being committed;</w:t>
      </w:r>
      <w:r>
        <w:rPr>
          <w:rStyle w:val="FootnoteReference"/>
          <w:rFonts w:asciiTheme="minorHAnsi" w:hAnsiTheme="minorHAnsi" w:cstheme="minorHAnsi"/>
          <w:sz w:val="22"/>
          <w:szCs w:val="22"/>
        </w:rPr>
        <w:footnoteReference w:id="154"/>
      </w:r>
    </w:p>
    <w:p w14:paraId="03584EB5" w14:textId="77777777" w:rsidR="00E11F0F" w:rsidRDefault="00E11F0F" w:rsidP="00CF57EB">
      <w:pPr>
        <w:pStyle w:val="DraftHeading2"/>
        <w:numPr>
          <w:ilvl w:val="1"/>
          <w:numId w:val="12"/>
        </w:numPr>
        <w:spacing w:before="0" w:after="120"/>
        <w:ind w:left="1134" w:right="851" w:hanging="567"/>
        <w:rPr>
          <w:rFonts w:asciiTheme="minorHAnsi" w:hAnsiTheme="minorHAnsi" w:cstheme="minorHAnsi"/>
          <w:color w:val="000000"/>
          <w:sz w:val="22"/>
          <w:szCs w:val="22"/>
          <w:lang w:eastAsia="en-AU"/>
        </w:rPr>
      </w:pPr>
      <w:r w:rsidRPr="00F865C5">
        <w:rPr>
          <w:rFonts w:asciiTheme="minorHAnsi" w:hAnsiTheme="minorHAnsi" w:cstheme="minorHAnsi"/>
          <w:sz w:val="22"/>
          <w:szCs w:val="22"/>
        </w:rPr>
        <w:t xml:space="preserve">that </w:t>
      </w:r>
      <w:r w:rsidRPr="00F865C5">
        <w:rPr>
          <w:rFonts w:asciiTheme="minorHAnsi" w:hAnsiTheme="minorHAnsi" w:cstheme="minorHAnsi"/>
          <w:color w:val="000000"/>
          <w:sz w:val="22"/>
          <w:szCs w:val="22"/>
          <w:lang w:eastAsia="en-AU"/>
        </w:rPr>
        <w:t>in circumstances in which there are conflicting allegations of domestic violence or indications that both persons in a relationship are committing acts of violence, including for their self-protection, the person who is most in need of protection should be identified</w:t>
      </w:r>
      <w:r>
        <w:rPr>
          <w:rFonts w:asciiTheme="minorHAnsi" w:hAnsiTheme="minorHAnsi" w:cstheme="minorHAnsi"/>
          <w:color w:val="000000"/>
          <w:sz w:val="22"/>
          <w:szCs w:val="22"/>
          <w:lang w:eastAsia="en-AU"/>
        </w:rPr>
        <w:t>;</w:t>
      </w:r>
      <w:r>
        <w:rPr>
          <w:rStyle w:val="FootnoteReference"/>
          <w:rFonts w:asciiTheme="minorHAnsi" w:hAnsiTheme="minorHAnsi" w:cstheme="minorHAnsi"/>
          <w:color w:val="000000"/>
          <w:sz w:val="22"/>
          <w:szCs w:val="22"/>
          <w:lang w:eastAsia="en-AU"/>
        </w:rPr>
        <w:footnoteReference w:id="155"/>
      </w:r>
    </w:p>
    <w:p w14:paraId="1CD65851" w14:textId="413367C5" w:rsidR="00E11F0F" w:rsidRDefault="00E11F0F" w:rsidP="00CF57EB">
      <w:pPr>
        <w:pStyle w:val="DraftHeading2"/>
        <w:numPr>
          <w:ilvl w:val="1"/>
          <w:numId w:val="12"/>
        </w:numPr>
        <w:spacing w:before="0"/>
        <w:ind w:left="1134" w:right="851" w:hanging="567"/>
        <w:rPr>
          <w:rFonts w:asciiTheme="minorHAnsi" w:hAnsiTheme="minorHAnsi" w:cstheme="minorHAnsi"/>
          <w:sz w:val="22"/>
          <w:szCs w:val="22"/>
        </w:rPr>
      </w:pPr>
      <w:r w:rsidRPr="00F865C5">
        <w:rPr>
          <w:rFonts w:asciiTheme="minorHAnsi" w:hAnsiTheme="minorHAnsi" w:cstheme="minorHAnsi"/>
          <w:sz w:val="22"/>
          <w:szCs w:val="22"/>
        </w:rPr>
        <w:t>that there is a need to recog</w:t>
      </w:r>
      <w:r>
        <w:rPr>
          <w:rFonts w:asciiTheme="minorHAnsi" w:hAnsiTheme="minorHAnsi" w:cstheme="minorHAnsi"/>
          <w:sz w:val="22"/>
          <w:szCs w:val="22"/>
        </w:rPr>
        <w:t>nise that perpetrators of domestic</w:t>
      </w:r>
      <w:r w:rsidRPr="00F865C5">
        <w:rPr>
          <w:rFonts w:asciiTheme="minorHAnsi" w:hAnsiTheme="minorHAnsi" w:cstheme="minorHAnsi"/>
          <w:sz w:val="22"/>
          <w:szCs w:val="22"/>
        </w:rPr>
        <w:t xml:space="preserve"> violence might seek to misuse the protections available under this Act to further their violence, and the need to prevent that</w:t>
      </w:r>
      <w:r>
        <w:rPr>
          <w:rFonts w:asciiTheme="minorHAnsi" w:hAnsiTheme="minorHAnsi" w:cstheme="minorHAnsi"/>
          <w:sz w:val="22"/>
          <w:szCs w:val="22"/>
        </w:rPr>
        <w:t xml:space="preserve"> misuse.</w:t>
      </w:r>
      <w:r>
        <w:rPr>
          <w:rStyle w:val="FootnoteReference"/>
          <w:rFonts w:asciiTheme="minorHAnsi" w:hAnsiTheme="minorHAnsi" w:cstheme="minorHAnsi"/>
          <w:sz w:val="22"/>
          <w:szCs w:val="22"/>
        </w:rPr>
        <w:footnoteReference w:id="156"/>
      </w:r>
    </w:p>
    <w:p w14:paraId="5B661CBD" w14:textId="38926B9D" w:rsidR="00E11F0F" w:rsidRPr="00A65417" w:rsidRDefault="00FA4FCF" w:rsidP="00254808">
      <w:pPr>
        <w:pStyle w:val="Heading4"/>
        <w:numPr>
          <w:ilvl w:val="0"/>
          <w:numId w:val="0"/>
        </w:numPr>
        <w:spacing w:after="0" w:line="259" w:lineRule="auto"/>
        <w:ind w:left="864" w:hanging="864"/>
      </w:pPr>
      <w:r w:rsidRPr="00A65417">
        <w:t>P</w:t>
      </w:r>
      <w:r w:rsidR="00E11F0F" w:rsidRPr="00A65417">
        <w:t>ROPOSAL</w:t>
      </w:r>
      <w:r w:rsidR="00AB5D89" w:rsidRPr="00A65417">
        <w:t xml:space="preserve"> </w:t>
      </w:r>
      <w:r w:rsidR="001804B8">
        <w:t xml:space="preserve">LR </w:t>
      </w:r>
      <w:r w:rsidR="00AB5D89" w:rsidRPr="00A65417">
        <w:t>1</w:t>
      </w:r>
    </w:p>
    <w:p w14:paraId="1DB89B7D" w14:textId="2679373B" w:rsidR="00BC37DE" w:rsidRPr="00A65417" w:rsidRDefault="00AB5D89" w:rsidP="00254808">
      <w:pPr>
        <w:spacing w:after="0" w:line="259" w:lineRule="auto"/>
        <w:rPr>
          <w:b/>
          <w:bCs/>
          <w:sz w:val="24"/>
          <w:szCs w:val="24"/>
        </w:rPr>
      </w:pPr>
      <w:r w:rsidRPr="00A65417">
        <w:rPr>
          <w:b/>
          <w:bCs/>
          <w:sz w:val="24"/>
          <w:szCs w:val="24"/>
        </w:rPr>
        <w:t>It is proposed</w:t>
      </w:r>
      <w:r w:rsidR="006F6D7D" w:rsidRPr="00A65417">
        <w:rPr>
          <w:b/>
          <w:bCs/>
          <w:sz w:val="24"/>
          <w:szCs w:val="24"/>
        </w:rPr>
        <w:t xml:space="preserve"> that the preamble in the DFV</w:t>
      </w:r>
      <w:r w:rsidR="00CF57EB">
        <w:rPr>
          <w:b/>
          <w:bCs/>
          <w:sz w:val="24"/>
          <w:szCs w:val="24"/>
        </w:rPr>
        <w:t> </w:t>
      </w:r>
      <w:r w:rsidR="006F6D7D" w:rsidRPr="00A65417">
        <w:rPr>
          <w:b/>
          <w:bCs/>
          <w:sz w:val="24"/>
          <w:szCs w:val="24"/>
        </w:rPr>
        <w:t>A</w:t>
      </w:r>
      <w:r w:rsidR="00CF57EB">
        <w:rPr>
          <w:b/>
          <w:bCs/>
          <w:sz w:val="24"/>
          <w:szCs w:val="24"/>
        </w:rPr>
        <w:t>ct</w:t>
      </w:r>
      <w:r w:rsidR="006F6D7D" w:rsidRPr="00A65417">
        <w:rPr>
          <w:b/>
          <w:bCs/>
          <w:sz w:val="24"/>
          <w:szCs w:val="24"/>
        </w:rPr>
        <w:t xml:space="preserve"> be amended to reflect a contemporary understanding of DFV</w:t>
      </w:r>
      <w:r w:rsidR="00CF57EB">
        <w:rPr>
          <w:b/>
          <w:bCs/>
          <w:sz w:val="24"/>
          <w:szCs w:val="24"/>
        </w:rPr>
        <w:t> </w:t>
      </w:r>
      <w:r w:rsidR="006F6D7D" w:rsidRPr="00A65417">
        <w:rPr>
          <w:b/>
          <w:bCs/>
          <w:sz w:val="24"/>
          <w:szCs w:val="24"/>
        </w:rPr>
        <w:t>A</w:t>
      </w:r>
      <w:r w:rsidR="00CF57EB">
        <w:rPr>
          <w:b/>
          <w:bCs/>
          <w:sz w:val="24"/>
          <w:szCs w:val="24"/>
        </w:rPr>
        <w:t>ct</w:t>
      </w:r>
      <w:r w:rsidR="006F6D7D" w:rsidRPr="00A65417">
        <w:rPr>
          <w:b/>
          <w:bCs/>
          <w:sz w:val="24"/>
          <w:szCs w:val="24"/>
        </w:rPr>
        <w:t>.</w:t>
      </w:r>
    </w:p>
    <w:p w14:paraId="5A46E704" w14:textId="41CAA6CF" w:rsidR="00FA4FCF" w:rsidRDefault="00FA4FCF" w:rsidP="00CF57EB">
      <w:pPr>
        <w:pStyle w:val="Heading4"/>
        <w:keepNext/>
        <w:rPr>
          <w:lang w:eastAsia="en-AU"/>
        </w:rPr>
      </w:pPr>
      <w:r>
        <w:rPr>
          <w:lang w:eastAsia="en-AU"/>
        </w:rPr>
        <w:t xml:space="preserve">Objects of the </w:t>
      </w:r>
      <w:r w:rsidR="00CF57EB">
        <w:rPr>
          <w:lang w:eastAsia="en-AU"/>
        </w:rPr>
        <w:t xml:space="preserve">DFV </w:t>
      </w:r>
      <w:r>
        <w:rPr>
          <w:lang w:eastAsia="en-AU"/>
        </w:rPr>
        <w:t>Act</w:t>
      </w:r>
    </w:p>
    <w:p w14:paraId="6D196FBF" w14:textId="7C0BC717" w:rsidR="00FA4FCF" w:rsidRPr="000A3683" w:rsidRDefault="00FA4FCF" w:rsidP="00CF57EB">
      <w:pPr>
        <w:keepNext/>
        <w:spacing w:after="120"/>
        <w:rPr>
          <w:lang w:eastAsia="en-AU"/>
        </w:rPr>
      </w:pPr>
      <w:r w:rsidRPr="000A3683">
        <w:rPr>
          <w:lang w:eastAsia="en-AU"/>
        </w:rPr>
        <w:t>The objects of the</w:t>
      </w:r>
      <w:r>
        <w:rPr>
          <w:lang w:eastAsia="en-AU"/>
        </w:rPr>
        <w:t xml:space="preserve"> DFV</w:t>
      </w:r>
      <w:r w:rsidR="00CF57EB">
        <w:rPr>
          <w:lang w:eastAsia="en-AU"/>
        </w:rPr>
        <w:t> </w:t>
      </w:r>
      <w:r>
        <w:rPr>
          <w:lang w:eastAsia="en-AU"/>
        </w:rPr>
        <w:t>A</w:t>
      </w:r>
      <w:r w:rsidR="00CF57EB">
        <w:rPr>
          <w:lang w:eastAsia="en-AU"/>
        </w:rPr>
        <w:t>ct</w:t>
      </w:r>
      <w:r>
        <w:rPr>
          <w:lang w:eastAsia="en-AU"/>
        </w:rPr>
        <w:t xml:space="preserve"> are set out in </w:t>
      </w:r>
      <w:r>
        <w:rPr>
          <w:rFonts w:cstheme="minorHAnsi"/>
        </w:rPr>
        <w:t xml:space="preserve">section 3(1) </w:t>
      </w:r>
      <w:r w:rsidRPr="000A3683">
        <w:rPr>
          <w:rFonts w:cstheme="minorHAnsi"/>
        </w:rPr>
        <w:t>as follows:</w:t>
      </w:r>
    </w:p>
    <w:p w14:paraId="03E0F6CA" w14:textId="77777777" w:rsidR="00FA4FCF" w:rsidRPr="002D51FC" w:rsidRDefault="00FA4FCF" w:rsidP="00CF57EB">
      <w:pPr>
        <w:pStyle w:val="ListParagraph"/>
        <w:numPr>
          <w:ilvl w:val="0"/>
          <w:numId w:val="15"/>
        </w:numPr>
        <w:ind w:left="1134" w:hanging="567"/>
        <w:rPr>
          <w:rFonts w:cstheme="minorHAnsi"/>
        </w:rPr>
      </w:pPr>
      <w:r>
        <w:rPr>
          <w:rFonts w:cstheme="minorHAnsi"/>
        </w:rPr>
        <w:t>To e</w:t>
      </w:r>
      <w:r w:rsidRPr="002D51FC">
        <w:rPr>
          <w:rFonts w:cstheme="minorHAnsi"/>
        </w:rPr>
        <w:t>nsure the safety and protection of all persons, including children, who experience or are exposed to domestic violence, and</w:t>
      </w:r>
    </w:p>
    <w:p w14:paraId="6868555C" w14:textId="77777777" w:rsidR="00FA4FCF" w:rsidRPr="002D51FC" w:rsidRDefault="00FA4FCF" w:rsidP="00CF57EB">
      <w:pPr>
        <w:pStyle w:val="ListParagraph"/>
        <w:numPr>
          <w:ilvl w:val="0"/>
          <w:numId w:val="15"/>
        </w:numPr>
        <w:ind w:left="1134" w:hanging="567"/>
        <w:rPr>
          <w:rFonts w:cstheme="minorHAnsi"/>
        </w:rPr>
      </w:pPr>
      <w:r>
        <w:rPr>
          <w:rFonts w:cstheme="minorHAnsi"/>
        </w:rPr>
        <w:t>To e</w:t>
      </w:r>
      <w:r w:rsidRPr="002D51FC">
        <w:rPr>
          <w:rFonts w:cstheme="minorHAnsi"/>
        </w:rPr>
        <w:t xml:space="preserve">nsure people who commit domestic violence accept responsibility for their conduct, and  </w:t>
      </w:r>
    </w:p>
    <w:p w14:paraId="059F8A2F" w14:textId="73310DC1" w:rsidR="00FA4FCF" w:rsidRPr="002D51FC" w:rsidRDefault="00FA4FCF" w:rsidP="00CF57EB">
      <w:pPr>
        <w:pStyle w:val="ListParagraph"/>
        <w:numPr>
          <w:ilvl w:val="0"/>
          <w:numId w:val="15"/>
        </w:numPr>
        <w:spacing w:after="200"/>
        <w:ind w:left="1134" w:hanging="567"/>
        <w:rPr>
          <w:rFonts w:cstheme="minorHAnsi"/>
        </w:rPr>
      </w:pPr>
      <w:r>
        <w:rPr>
          <w:rFonts w:cstheme="minorHAnsi"/>
        </w:rPr>
        <w:t>To r</w:t>
      </w:r>
      <w:r w:rsidRPr="002D51FC">
        <w:rPr>
          <w:rFonts w:cstheme="minorHAnsi"/>
        </w:rPr>
        <w:t>educe and prevent domestic violence</w:t>
      </w:r>
      <w:r w:rsidR="00CF57EB">
        <w:rPr>
          <w:rFonts w:cstheme="minorHAnsi"/>
        </w:rPr>
        <w:t>.</w:t>
      </w:r>
    </w:p>
    <w:p w14:paraId="5484E5CB" w14:textId="77777777" w:rsidR="00FA4FCF" w:rsidRDefault="00FA4FCF" w:rsidP="00FA4FCF">
      <w:pPr>
        <w:rPr>
          <w:lang w:eastAsia="en-AU"/>
        </w:rPr>
      </w:pPr>
      <w:r>
        <w:rPr>
          <w:lang w:eastAsia="en-AU"/>
        </w:rPr>
        <w:t>Section 3(2) articulates how the objects are to be achieved.</w:t>
      </w:r>
    </w:p>
    <w:p w14:paraId="097089D8" w14:textId="77777777" w:rsidR="00FA4FCF" w:rsidRDefault="00FA4FCF" w:rsidP="00FA4FCF">
      <w:pPr>
        <w:rPr>
          <w:lang w:eastAsia="en-AU"/>
        </w:rPr>
      </w:pPr>
      <w:r>
        <w:rPr>
          <w:lang w:eastAsia="en-AU"/>
        </w:rPr>
        <w:t>These are broadly consistent with recommendation 7-4 of the ALRC Report.</w:t>
      </w:r>
    </w:p>
    <w:p w14:paraId="3D64E8EE" w14:textId="77777777" w:rsidR="00FA4FCF" w:rsidRDefault="00FA4FCF" w:rsidP="00CF57EB">
      <w:pPr>
        <w:keepNext/>
        <w:spacing w:after="120"/>
        <w:rPr>
          <w:lang w:eastAsia="en-AU"/>
        </w:rPr>
      </w:pPr>
      <w:r>
        <w:rPr>
          <w:lang w:eastAsia="en-AU"/>
        </w:rPr>
        <w:t>However, a number of minor changes would bring the objects further into line with the ALRC recommendation and the objectives of domestic violence legislation in other jurisdictions, particularly in relation to:</w:t>
      </w:r>
    </w:p>
    <w:p w14:paraId="6348B48C" w14:textId="6476F102" w:rsidR="00FA4FCF" w:rsidRDefault="00CF57EB" w:rsidP="00CF57EB">
      <w:pPr>
        <w:pStyle w:val="ListParagraph"/>
        <w:numPr>
          <w:ilvl w:val="0"/>
          <w:numId w:val="17"/>
        </w:numPr>
        <w:ind w:left="993" w:hanging="426"/>
        <w:rPr>
          <w:lang w:eastAsia="en-AU"/>
        </w:rPr>
      </w:pPr>
      <w:r>
        <w:rPr>
          <w:lang w:eastAsia="en-AU"/>
        </w:rPr>
        <w:t xml:space="preserve">reducing </w:t>
      </w:r>
      <w:r w:rsidR="00FA4FCF">
        <w:rPr>
          <w:lang w:eastAsia="en-AU"/>
        </w:rPr>
        <w:t>the exposure of children to domestic violence</w:t>
      </w:r>
      <w:r>
        <w:rPr>
          <w:lang w:eastAsia="en-AU"/>
        </w:rPr>
        <w:t>; and</w:t>
      </w:r>
    </w:p>
    <w:p w14:paraId="774340A3" w14:textId="279C6BF9" w:rsidR="00FA4FCF" w:rsidRPr="00823904" w:rsidRDefault="00CF57EB" w:rsidP="00CF57EB">
      <w:pPr>
        <w:pStyle w:val="ListParagraph"/>
        <w:numPr>
          <w:ilvl w:val="0"/>
          <w:numId w:val="17"/>
        </w:numPr>
        <w:ind w:left="993" w:hanging="426"/>
        <w:rPr>
          <w:lang w:eastAsia="en-AU"/>
        </w:rPr>
      </w:pPr>
      <w:r>
        <w:rPr>
          <w:lang w:eastAsia="en-AU"/>
        </w:rPr>
        <w:t xml:space="preserve">acknowledging </w:t>
      </w:r>
      <w:r w:rsidR="00FA4FCF">
        <w:rPr>
          <w:lang w:eastAsia="en-AU"/>
        </w:rPr>
        <w:t>that legislation cannot ‘ensure’ a p</w:t>
      </w:r>
      <w:r w:rsidR="00824790">
        <w:rPr>
          <w:lang w:eastAsia="en-AU"/>
        </w:rPr>
        <w:t>erson’s safety but it can ‘increase’</w:t>
      </w:r>
      <w:r w:rsidR="00FA4FCF">
        <w:rPr>
          <w:lang w:eastAsia="en-AU"/>
        </w:rPr>
        <w:t xml:space="preserve"> safety and it cannot ‘ensure’ someone is accountable and responsible for their action</w:t>
      </w:r>
      <w:r w:rsidR="000A300B">
        <w:rPr>
          <w:lang w:eastAsia="en-AU"/>
        </w:rPr>
        <w:t>s</w:t>
      </w:r>
      <w:r w:rsidR="00FA4FCF">
        <w:rPr>
          <w:lang w:eastAsia="en-AU"/>
        </w:rPr>
        <w:t xml:space="preserve"> but it can increase accountability and encourage a person to accept responsibility for their actions. </w:t>
      </w:r>
    </w:p>
    <w:p w14:paraId="3A51AAAA" w14:textId="5D7E64F7" w:rsidR="006F6D7D" w:rsidRPr="00E11F0F" w:rsidRDefault="006F6D7D" w:rsidP="00254808">
      <w:pPr>
        <w:pStyle w:val="Heading4"/>
        <w:keepNext/>
        <w:numPr>
          <w:ilvl w:val="0"/>
          <w:numId w:val="0"/>
        </w:numPr>
        <w:spacing w:after="0" w:line="259" w:lineRule="auto"/>
        <w:ind w:left="864" w:hanging="864"/>
        <w:rPr>
          <w:lang w:eastAsia="en-AU"/>
        </w:rPr>
      </w:pPr>
      <w:r w:rsidRPr="00E11F0F">
        <w:rPr>
          <w:lang w:eastAsia="en-AU"/>
        </w:rPr>
        <w:t>P</w:t>
      </w:r>
      <w:r w:rsidR="00A65417">
        <w:rPr>
          <w:lang w:eastAsia="en-AU"/>
        </w:rPr>
        <w:t>ROPOSAL</w:t>
      </w:r>
      <w:r w:rsidRPr="00E11F0F">
        <w:rPr>
          <w:lang w:eastAsia="en-AU"/>
        </w:rPr>
        <w:t xml:space="preserve"> </w:t>
      </w:r>
      <w:r w:rsidR="001804B8">
        <w:rPr>
          <w:lang w:eastAsia="en-AU"/>
        </w:rPr>
        <w:t xml:space="preserve">LR </w:t>
      </w:r>
      <w:r w:rsidRPr="00E11F0F">
        <w:rPr>
          <w:lang w:eastAsia="en-AU"/>
        </w:rPr>
        <w:t>2</w:t>
      </w:r>
    </w:p>
    <w:p w14:paraId="6A13AEFD" w14:textId="5129593F" w:rsidR="00FA4FCF" w:rsidRPr="00E11F0F" w:rsidRDefault="00FA4FCF" w:rsidP="00254808">
      <w:pPr>
        <w:keepNext/>
        <w:spacing w:after="0" w:line="259" w:lineRule="auto"/>
        <w:rPr>
          <w:b/>
          <w:bCs/>
          <w:lang w:eastAsia="en-AU"/>
        </w:rPr>
      </w:pPr>
      <w:r w:rsidRPr="00E11F0F">
        <w:rPr>
          <w:b/>
          <w:bCs/>
          <w:lang w:eastAsia="en-AU"/>
        </w:rPr>
        <w:t>It is proposed that the objects be amended along the lines:</w:t>
      </w:r>
    </w:p>
    <w:p w14:paraId="102D10D5" w14:textId="296CE832" w:rsidR="00FA4FCF" w:rsidRPr="00E11F0F" w:rsidRDefault="00400C97" w:rsidP="00254808">
      <w:pPr>
        <w:pStyle w:val="ListParagraph"/>
        <w:numPr>
          <w:ilvl w:val="0"/>
          <w:numId w:val="16"/>
        </w:numPr>
        <w:spacing w:after="0" w:line="259" w:lineRule="auto"/>
        <w:ind w:left="567" w:hanging="567"/>
        <w:rPr>
          <w:rFonts w:cstheme="minorHAnsi"/>
          <w:b/>
          <w:bCs/>
        </w:rPr>
      </w:pPr>
      <w:r w:rsidRPr="00E11F0F">
        <w:rPr>
          <w:rFonts w:cstheme="minorHAnsi"/>
          <w:b/>
          <w:bCs/>
        </w:rPr>
        <w:t>To increase</w:t>
      </w:r>
      <w:r w:rsidR="00FA4FCF" w:rsidRPr="00E11F0F">
        <w:rPr>
          <w:rFonts w:cstheme="minorHAnsi"/>
          <w:b/>
          <w:bCs/>
        </w:rPr>
        <w:t xml:space="preserve"> the safety and protection of adults and children who have experienced domestic violence or are at risk of domestic violence, and</w:t>
      </w:r>
    </w:p>
    <w:p w14:paraId="2BEB6497" w14:textId="77777777" w:rsidR="00FA4FCF" w:rsidRPr="00E11F0F" w:rsidRDefault="00FA4FCF" w:rsidP="00254808">
      <w:pPr>
        <w:pStyle w:val="ListParagraph"/>
        <w:numPr>
          <w:ilvl w:val="0"/>
          <w:numId w:val="16"/>
        </w:numPr>
        <w:spacing w:after="0" w:line="259" w:lineRule="auto"/>
        <w:ind w:left="567" w:hanging="567"/>
        <w:rPr>
          <w:rFonts w:cstheme="minorHAnsi"/>
          <w:b/>
          <w:bCs/>
        </w:rPr>
      </w:pPr>
      <w:r w:rsidRPr="00E11F0F">
        <w:rPr>
          <w:rFonts w:cstheme="minorHAnsi"/>
          <w:b/>
          <w:bCs/>
        </w:rPr>
        <w:t>To increase the accountability of people who commit domestic violence and encourage them to accept responsibility for their actions, and</w:t>
      </w:r>
    </w:p>
    <w:p w14:paraId="007ECAF4" w14:textId="77777777" w:rsidR="00FA4FCF" w:rsidRPr="00E11F0F" w:rsidRDefault="00FA4FCF" w:rsidP="00254808">
      <w:pPr>
        <w:pStyle w:val="ListParagraph"/>
        <w:numPr>
          <w:ilvl w:val="0"/>
          <w:numId w:val="16"/>
        </w:numPr>
        <w:spacing w:after="0" w:line="259" w:lineRule="auto"/>
        <w:ind w:left="567" w:hanging="567"/>
        <w:rPr>
          <w:rFonts w:cstheme="minorHAnsi"/>
          <w:b/>
          <w:bCs/>
        </w:rPr>
      </w:pPr>
      <w:r w:rsidRPr="00E11F0F">
        <w:rPr>
          <w:rFonts w:cstheme="minorHAnsi"/>
          <w:b/>
          <w:bCs/>
        </w:rPr>
        <w:t>To reduce and prevent domestic violence, and</w:t>
      </w:r>
    </w:p>
    <w:p w14:paraId="7F0B9219" w14:textId="63370DF7" w:rsidR="00FA4FCF" w:rsidRPr="00A65417" w:rsidRDefault="00FA4FCF" w:rsidP="00254808">
      <w:pPr>
        <w:pStyle w:val="ListParagraph"/>
        <w:numPr>
          <w:ilvl w:val="0"/>
          <w:numId w:val="16"/>
        </w:numPr>
        <w:spacing w:line="259" w:lineRule="auto"/>
        <w:ind w:left="567" w:hanging="567"/>
        <w:rPr>
          <w:rFonts w:cstheme="minorHAnsi"/>
          <w:b/>
          <w:bCs/>
        </w:rPr>
      </w:pPr>
      <w:r w:rsidRPr="00E11F0F">
        <w:rPr>
          <w:rFonts w:cstheme="minorHAnsi"/>
          <w:b/>
          <w:bCs/>
        </w:rPr>
        <w:t>To reduce the exposure of children to domestic violence.</w:t>
      </w:r>
    </w:p>
    <w:p w14:paraId="79F0B670" w14:textId="77777777" w:rsidR="00FA4FCF" w:rsidRPr="0019655D" w:rsidRDefault="00FA4FCF" w:rsidP="00CF57EB">
      <w:pPr>
        <w:pStyle w:val="Heading4"/>
        <w:keepNext/>
        <w:ind w:left="862" w:hanging="862"/>
        <w:rPr>
          <w:lang w:eastAsia="en-AU"/>
        </w:rPr>
      </w:pPr>
      <w:r w:rsidRPr="0019655D">
        <w:rPr>
          <w:lang w:eastAsia="en-AU"/>
        </w:rPr>
        <w:lastRenderedPageBreak/>
        <w:t>Definition of a party</w:t>
      </w:r>
    </w:p>
    <w:p w14:paraId="2293D7C2" w14:textId="5203F895" w:rsidR="00FA4FCF" w:rsidRDefault="00FA4FCF" w:rsidP="00CF57EB">
      <w:pPr>
        <w:keepNext/>
        <w:spacing w:after="120"/>
        <w:rPr>
          <w:lang w:eastAsia="en-AU"/>
        </w:rPr>
      </w:pPr>
      <w:r>
        <w:rPr>
          <w:lang w:eastAsia="en-AU"/>
        </w:rPr>
        <w:t>The term ‘party’ for a DVO is defined in section 4 of the</w:t>
      </w:r>
      <w:r w:rsidR="00CF57EB">
        <w:rPr>
          <w:lang w:eastAsia="en-AU"/>
        </w:rPr>
        <w:t xml:space="preserve"> DFV Act</w:t>
      </w:r>
      <w:r>
        <w:rPr>
          <w:lang w:eastAsia="en-AU"/>
        </w:rPr>
        <w:t xml:space="preserve"> to mean:</w:t>
      </w:r>
    </w:p>
    <w:p w14:paraId="1CC8E4B4" w14:textId="6ACA2757" w:rsidR="00FA4FCF" w:rsidRPr="00F14514" w:rsidRDefault="00E07D7B" w:rsidP="0067521E">
      <w:pPr>
        <w:pStyle w:val="ListParagraph"/>
        <w:numPr>
          <w:ilvl w:val="0"/>
          <w:numId w:val="37"/>
        </w:numPr>
        <w:ind w:left="1134" w:hanging="567"/>
        <w:rPr>
          <w:lang w:eastAsia="en-AU"/>
        </w:rPr>
      </w:pPr>
      <w:r w:rsidRPr="00F14514">
        <w:rPr>
          <w:lang w:eastAsia="en-AU"/>
        </w:rPr>
        <w:t xml:space="preserve">the </w:t>
      </w:r>
      <w:r w:rsidR="00FA4FCF" w:rsidRPr="00F14514">
        <w:rPr>
          <w:lang w:eastAsia="en-AU"/>
        </w:rPr>
        <w:t>protected person or person acting for the protected person; or</w:t>
      </w:r>
    </w:p>
    <w:p w14:paraId="61FA7BD8" w14:textId="638F37D6" w:rsidR="00FA4FCF" w:rsidRPr="00F14514" w:rsidRDefault="00E07D7B" w:rsidP="0067521E">
      <w:pPr>
        <w:pStyle w:val="ListParagraph"/>
        <w:numPr>
          <w:ilvl w:val="0"/>
          <w:numId w:val="37"/>
        </w:numPr>
        <w:ind w:left="1134" w:hanging="567"/>
        <w:rPr>
          <w:lang w:eastAsia="en-AU"/>
        </w:rPr>
      </w:pPr>
      <w:r w:rsidRPr="00F14514">
        <w:rPr>
          <w:lang w:eastAsia="en-AU"/>
        </w:rPr>
        <w:t xml:space="preserve">the </w:t>
      </w:r>
      <w:r w:rsidR="00FA4FCF" w:rsidRPr="00F14514">
        <w:rPr>
          <w:lang w:eastAsia="en-AU"/>
        </w:rPr>
        <w:t>defendant.</w:t>
      </w:r>
    </w:p>
    <w:p w14:paraId="616DFEFC" w14:textId="77777777" w:rsidR="00FA4FCF" w:rsidRDefault="00FA4FCF" w:rsidP="00CF57EB">
      <w:pPr>
        <w:spacing w:before="200" w:after="120"/>
        <w:rPr>
          <w:lang w:eastAsia="en-AU"/>
        </w:rPr>
      </w:pPr>
      <w:r>
        <w:rPr>
          <w:lang w:eastAsia="en-AU"/>
        </w:rPr>
        <w:t>However, concerns have been raised that the wording of the legislation leaves some doubt about:</w:t>
      </w:r>
    </w:p>
    <w:p w14:paraId="53DBEA81" w14:textId="1E0C1760" w:rsidR="00FA4FCF" w:rsidRDefault="00FA4FCF" w:rsidP="0067521E">
      <w:pPr>
        <w:pStyle w:val="ListParagraph"/>
        <w:numPr>
          <w:ilvl w:val="0"/>
          <w:numId w:val="36"/>
        </w:numPr>
        <w:ind w:left="993" w:hanging="426"/>
        <w:rPr>
          <w:lang w:eastAsia="en-AU"/>
        </w:rPr>
      </w:pPr>
      <w:r>
        <w:rPr>
          <w:lang w:eastAsia="en-AU"/>
        </w:rPr>
        <w:t xml:space="preserve">what standing a protected person has when the police issue a </w:t>
      </w:r>
      <w:r w:rsidR="00CF57EB">
        <w:rPr>
          <w:lang w:eastAsia="en-AU"/>
        </w:rPr>
        <w:t xml:space="preserve">police </w:t>
      </w:r>
      <w:r>
        <w:rPr>
          <w:lang w:eastAsia="en-AU"/>
        </w:rPr>
        <w:t>DVO, and</w:t>
      </w:r>
    </w:p>
    <w:p w14:paraId="43588714" w14:textId="70809326" w:rsidR="00A65417" w:rsidRDefault="00FA4FCF" w:rsidP="0067521E">
      <w:pPr>
        <w:pStyle w:val="ListParagraph"/>
        <w:numPr>
          <w:ilvl w:val="0"/>
          <w:numId w:val="36"/>
        </w:numPr>
        <w:spacing w:after="200"/>
        <w:ind w:left="992" w:hanging="425"/>
        <w:rPr>
          <w:lang w:eastAsia="en-AU"/>
        </w:rPr>
      </w:pPr>
      <w:r>
        <w:rPr>
          <w:lang w:eastAsia="en-AU"/>
        </w:rPr>
        <w:t xml:space="preserve">whether police are a party to a </w:t>
      </w:r>
      <w:r w:rsidR="00CF57EB">
        <w:rPr>
          <w:lang w:eastAsia="en-AU"/>
        </w:rPr>
        <w:t xml:space="preserve">police </w:t>
      </w:r>
      <w:r>
        <w:rPr>
          <w:lang w:eastAsia="en-AU"/>
        </w:rPr>
        <w:t>DVO or merely facilitate the application.</w:t>
      </w:r>
    </w:p>
    <w:p w14:paraId="2F6CF9BB" w14:textId="0A4E18C0" w:rsidR="00A65417" w:rsidRDefault="00A65417" w:rsidP="00A65417">
      <w:pPr>
        <w:rPr>
          <w:lang w:eastAsia="en-AU"/>
        </w:rPr>
      </w:pPr>
      <w:r>
        <w:rPr>
          <w:lang w:eastAsia="en-AU"/>
        </w:rPr>
        <w:t>This lack of clarity is undesirable.</w:t>
      </w:r>
    </w:p>
    <w:p w14:paraId="2B77B654" w14:textId="7C6B21A1" w:rsidR="00A65417" w:rsidRPr="00A65417" w:rsidRDefault="00A65417" w:rsidP="00254808">
      <w:pPr>
        <w:pStyle w:val="Heading4"/>
        <w:keepNext/>
        <w:numPr>
          <w:ilvl w:val="0"/>
          <w:numId w:val="0"/>
        </w:numPr>
        <w:spacing w:after="0" w:line="259" w:lineRule="auto"/>
        <w:ind w:left="864" w:hanging="864"/>
        <w:rPr>
          <w:lang w:eastAsia="en-AU"/>
        </w:rPr>
      </w:pPr>
      <w:r w:rsidRPr="00A65417">
        <w:rPr>
          <w:lang w:eastAsia="en-AU"/>
        </w:rPr>
        <w:t xml:space="preserve">PROPOSAL </w:t>
      </w:r>
      <w:r w:rsidR="001804B8">
        <w:rPr>
          <w:lang w:eastAsia="en-AU"/>
        </w:rPr>
        <w:t xml:space="preserve">LR </w:t>
      </w:r>
      <w:r w:rsidRPr="00A65417">
        <w:rPr>
          <w:lang w:eastAsia="en-AU"/>
        </w:rPr>
        <w:t>3</w:t>
      </w:r>
    </w:p>
    <w:p w14:paraId="13A21C5D" w14:textId="23DED691" w:rsidR="00BC37DE" w:rsidRPr="00A65417" w:rsidRDefault="00FA4FCF" w:rsidP="00254808">
      <w:pPr>
        <w:keepNext/>
        <w:spacing w:after="0" w:line="259" w:lineRule="auto"/>
        <w:rPr>
          <w:b/>
          <w:bCs/>
          <w:lang w:eastAsia="en-AU"/>
        </w:rPr>
      </w:pPr>
      <w:r w:rsidRPr="00A65417">
        <w:rPr>
          <w:b/>
          <w:bCs/>
          <w:lang w:eastAsia="en-AU"/>
        </w:rPr>
        <w:t>It is proposed to amend the definition of ‘party’ to avoid any doubt that it includes:</w:t>
      </w:r>
    </w:p>
    <w:p w14:paraId="0B08C7CD" w14:textId="61A50801" w:rsidR="00FA4FCF" w:rsidRPr="00A65417" w:rsidRDefault="00FA4FCF" w:rsidP="0067521E">
      <w:pPr>
        <w:pStyle w:val="ListParagraph"/>
        <w:numPr>
          <w:ilvl w:val="0"/>
          <w:numId w:val="38"/>
        </w:numPr>
        <w:spacing w:after="0" w:line="259" w:lineRule="auto"/>
        <w:ind w:left="567" w:hanging="567"/>
        <w:rPr>
          <w:b/>
          <w:bCs/>
          <w:lang w:eastAsia="en-AU"/>
        </w:rPr>
      </w:pPr>
      <w:r w:rsidRPr="00A65417">
        <w:rPr>
          <w:b/>
          <w:bCs/>
          <w:lang w:eastAsia="en-AU"/>
        </w:rPr>
        <w:t>the protected person</w:t>
      </w:r>
      <w:r w:rsidR="00B427D7" w:rsidRPr="00A65417">
        <w:rPr>
          <w:b/>
          <w:bCs/>
          <w:lang w:eastAsia="en-AU"/>
        </w:rPr>
        <w:t xml:space="preserve"> even if the protected person is not the applicant</w:t>
      </w:r>
      <w:r w:rsidR="00E07D7B">
        <w:rPr>
          <w:b/>
          <w:bCs/>
          <w:lang w:eastAsia="en-AU"/>
        </w:rPr>
        <w:t>;</w:t>
      </w:r>
    </w:p>
    <w:p w14:paraId="6AE5B393" w14:textId="0E06FA59" w:rsidR="00FA4FCF" w:rsidRPr="00A65417" w:rsidRDefault="00E07D7B" w:rsidP="0067521E">
      <w:pPr>
        <w:pStyle w:val="ListParagraph"/>
        <w:numPr>
          <w:ilvl w:val="0"/>
          <w:numId w:val="38"/>
        </w:numPr>
        <w:spacing w:after="0" w:line="259" w:lineRule="auto"/>
        <w:ind w:left="567" w:hanging="567"/>
        <w:rPr>
          <w:b/>
          <w:bCs/>
          <w:lang w:eastAsia="en-AU"/>
        </w:rPr>
      </w:pPr>
      <w:r>
        <w:rPr>
          <w:b/>
          <w:bCs/>
          <w:lang w:eastAsia="en-AU"/>
        </w:rPr>
        <w:t>the defendant;</w:t>
      </w:r>
    </w:p>
    <w:p w14:paraId="0926FFC6" w14:textId="131CE0A8" w:rsidR="00FA4FCF" w:rsidRPr="00A65417" w:rsidRDefault="00FA4FCF" w:rsidP="0067521E">
      <w:pPr>
        <w:pStyle w:val="ListParagraph"/>
        <w:numPr>
          <w:ilvl w:val="0"/>
          <w:numId w:val="38"/>
        </w:numPr>
        <w:spacing w:after="0" w:line="259" w:lineRule="auto"/>
        <w:ind w:left="567" w:hanging="567"/>
        <w:rPr>
          <w:b/>
          <w:bCs/>
        </w:rPr>
      </w:pPr>
      <w:r w:rsidRPr="00A65417">
        <w:rPr>
          <w:b/>
          <w:bCs/>
        </w:rPr>
        <w:t>if the police apply for a DVO under s</w:t>
      </w:r>
      <w:r w:rsidR="00E07D7B">
        <w:rPr>
          <w:b/>
          <w:bCs/>
        </w:rPr>
        <w:t xml:space="preserve">ection </w:t>
      </w:r>
      <w:r w:rsidRPr="00A65417">
        <w:rPr>
          <w:b/>
          <w:bCs/>
        </w:rPr>
        <w:t>28 or s</w:t>
      </w:r>
      <w:r w:rsidR="00E07D7B">
        <w:rPr>
          <w:b/>
          <w:bCs/>
        </w:rPr>
        <w:t xml:space="preserve">ection </w:t>
      </w:r>
      <w:r w:rsidRPr="00A65417">
        <w:rPr>
          <w:b/>
          <w:bCs/>
        </w:rPr>
        <w:t xml:space="preserve">29 or make a </w:t>
      </w:r>
      <w:r w:rsidR="00E07D7B" w:rsidRPr="00A65417">
        <w:rPr>
          <w:b/>
          <w:bCs/>
        </w:rPr>
        <w:t xml:space="preserve">police </w:t>
      </w:r>
      <w:r w:rsidRPr="00A65417">
        <w:rPr>
          <w:b/>
          <w:bCs/>
        </w:rPr>
        <w:t>DVO under s</w:t>
      </w:r>
      <w:r w:rsidR="00E07D7B">
        <w:rPr>
          <w:b/>
          <w:bCs/>
        </w:rPr>
        <w:t>ection 41, the police are also a party;</w:t>
      </w:r>
    </w:p>
    <w:p w14:paraId="382EFBAA" w14:textId="581F3E8D" w:rsidR="00FA4FCF" w:rsidRDefault="00FA4FCF" w:rsidP="0067521E">
      <w:pPr>
        <w:pStyle w:val="ListParagraph"/>
        <w:numPr>
          <w:ilvl w:val="0"/>
          <w:numId w:val="38"/>
        </w:numPr>
        <w:spacing w:after="0" w:line="259" w:lineRule="auto"/>
        <w:ind w:left="567" w:hanging="567"/>
        <w:rPr>
          <w:b/>
          <w:bCs/>
        </w:rPr>
      </w:pPr>
      <w:r w:rsidRPr="00A65417">
        <w:rPr>
          <w:b/>
          <w:bCs/>
        </w:rPr>
        <w:t>if a person acting for an adult or a child applies for a DVO on behalf of an adult or a child under s</w:t>
      </w:r>
      <w:r w:rsidR="00E07D7B">
        <w:rPr>
          <w:b/>
          <w:bCs/>
        </w:rPr>
        <w:t>ection </w:t>
      </w:r>
      <w:r w:rsidRPr="00A65417">
        <w:rPr>
          <w:b/>
          <w:bCs/>
        </w:rPr>
        <w:t>28</w:t>
      </w:r>
      <w:r w:rsidR="00400C97" w:rsidRPr="00A65417">
        <w:rPr>
          <w:b/>
          <w:bCs/>
        </w:rPr>
        <w:t xml:space="preserve"> or s</w:t>
      </w:r>
      <w:r w:rsidR="00E07D7B">
        <w:rPr>
          <w:b/>
          <w:bCs/>
        </w:rPr>
        <w:t>ection </w:t>
      </w:r>
      <w:r w:rsidR="00400C97" w:rsidRPr="00A65417">
        <w:rPr>
          <w:b/>
          <w:bCs/>
        </w:rPr>
        <w:t>29</w:t>
      </w:r>
      <w:r w:rsidR="00E07D7B">
        <w:rPr>
          <w:b/>
          <w:bCs/>
        </w:rPr>
        <w:t>,</w:t>
      </w:r>
      <w:r w:rsidR="00400C97" w:rsidRPr="00A65417">
        <w:rPr>
          <w:b/>
          <w:bCs/>
        </w:rPr>
        <w:t xml:space="preserve"> they are also a party. </w:t>
      </w:r>
    </w:p>
    <w:p w14:paraId="7D796D17" w14:textId="76E98148" w:rsidR="00FA4FCF" w:rsidRPr="00A65417" w:rsidRDefault="00FA4FCF" w:rsidP="00254808">
      <w:pPr>
        <w:spacing w:after="0" w:line="259" w:lineRule="auto"/>
        <w:rPr>
          <w:b/>
          <w:bCs/>
        </w:rPr>
      </w:pPr>
      <w:r w:rsidRPr="00A65417">
        <w:rPr>
          <w:b/>
          <w:bCs/>
        </w:rPr>
        <w:t xml:space="preserve">It is </w:t>
      </w:r>
      <w:r w:rsidR="005211B4">
        <w:rPr>
          <w:b/>
          <w:bCs/>
        </w:rPr>
        <w:t xml:space="preserve">further </w:t>
      </w:r>
      <w:r w:rsidRPr="00A65417">
        <w:rPr>
          <w:b/>
          <w:bCs/>
        </w:rPr>
        <w:t xml:space="preserve">proposed to </w:t>
      </w:r>
      <w:r w:rsidR="00A65417">
        <w:rPr>
          <w:b/>
          <w:bCs/>
        </w:rPr>
        <w:t>provide that:</w:t>
      </w:r>
    </w:p>
    <w:p w14:paraId="365AFE5F" w14:textId="28D24284" w:rsidR="00FA4FCF" w:rsidRPr="00A65417" w:rsidRDefault="00E07D7B" w:rsidP="0067521E">
      <w:pPr>
        <w:pStyle w:val="ListParagraph"/>
        <w:numPr>
          <w:ilvl w:val="0"/>
          <w:numId w:val="55"/>
        </w:numPr>
        <w:spacing w:after="0" w:line="259" w:lineRule="auto"/>
        <w:ind w:left="567" w:hanging="567"/>
        <w:rPr>
          <w:b/>
          <w:bCs/>
        </w:rPr>
      </w:pPr>
      <w:r w:rsidRPr="00A65417">
        <w:rPr>
          <w:b/>
          <w:bCs/>
        </w:rPr>
        <w:t xml:space="preserve">to </w:t>
      </w:r>
      <w:r w:rsidR="00FA4FCF" w:rsidRPr="00A65417">
        <w:rPr>
          <w:b/>
          <w:bCs/>
        </w:rPr>
        <w:t>avoid any doubt, the protected person is a party to any proceedings arising from a DVO application, even if the pro</w:t>
      </w:r>
      <w:r>
        <w:rPr>
          <w:b/>
          <w:bCs/>
        </w:rPr>
        <w:t>tected person not the applicant; and</w:t>
      </w:r>
    </w:p>
    <w:p w14:paraId="55244644" w14:textId="39740905" w:rsidR="00FA4FCF" w:rsidRDefault="00E07D7B" w:rsidP="0067521E">
      <w:pPr>
        <w:pStyle w:val="ListParagraph"/>
        <w:numPr>
          <w:ilvl w:val="0"/>
          <w:numId w:val="55"/>
        </w:numPr>
        <w:spacing w:line="259" w:lineRule="auto"/>
        <w:ind w:left="567" w:hanging="567"/>
      </w:pPr>
      <w:r w:rsidRPr="00A65417">
        <w:rPr>
          <w:b/>
          <w:bCs/>
        </w:rPr>
        <w:t xml:space="preserve">to </w:t>
      </w:r>
      <w:r w:rsidR="00FA4FCF" w:rsidRPr="00A65417">
        <w:rPr>
          <w:b/>
          <w:bCs/>
        </w:rPr>
        <w:t>avoid any doubt, the police are a party to any proceedings arising from an application made by police under s</w:t>
      </w:r>
      <w:r>
        <w:rPr>
          <w:b/>
          <w:bCs/>
        </w:rPr>
        <w:t>ection </w:t>
      </w:r>
      <w:r w:rsidR="00FA4FCF" w:rsidRPr="00A65417">
        <w:rPr>
          <w:b/>
          <w:bCs/>
        </w:rPr>
        <w:t>28 or s</w:t>
      </w:r>
      <w:r>
        <w:rPr>
          <w:b/>
          <w:bCs/>
        </w:rPr>
        <w:t>ection </w:t>
      </w:r>
      <w:r w:rsidR="00FA4FCF" w:rsidRPr="00A65417">
        <w:rPr>
          <w:b/>
          <w:bCs/>
        </w:rPr>
        <w:t>29 or a DVO made by police under s</w:t>
      </w:r>
      <w:r>
        <w:rPr>
          <w:b/>
          <w:bCs/>
        </w:rPr>
        <w:t>ection </w:t>
      </w:r>
      <w:r w:rsidR="00FA4FCF" w:rsidRPr="00A65417">
        <w:rPr>
          <w:b/>
          <w:bCs/>
        </w:rPr>
        <w:t>41, and any applications to vary or revoke a DVO related to those proceedings and any confirmation hearing under Part 2.10.</w:t>
      </w:r>
      <w:r w:rsidR="00FA4FCF">
        <w:t xml:space="preserve"> </w:t>
      </w:r>
    </w:p>
    <w:p w14:paraId="6BA87398" w14:textId="5C61314E" w:rsidR="00FA4FCF" w:rsidRDefault="00FA4FCF" w:rsidP="00025605">
      <w:pPr>
        <w:pStyle w:val="Heading4"/>
        <w:rPr>
          <w:lang w:eastAsia="en-AU"/>
        </w:rPr>
      </w:pPr>
      <w:r w:rsidRPr="005B42A7">
        <w:rPr>
          <w:lang w:eastAsia="en-AU"/>
        </w:rPr>
        <w:t>Definition of Court DVO</w:t>
      </w:r>
      <w:r w:rsidR="00992762">
        <w:rPr>
          <w:lang w:eastAsia="en-AU"/>
        </w:rPr>
        <w:t>,</w:t>
      </w:r>
      <w:r w:rsidRPr="005B42A7">
        <w:rPr>
          <w:lang w:eastAsia="en-AU"/>
        </w:rPr>
        <w:t xml:space="preserve"> Police DVO</w:t>
      </w:r>
      <w:r w:rsidR="00992762">
        <w:rPr>
          <w:lang w:eastAsia="en-AU"/>
        </w:rPr>
        <w:t xml:space="preserve"> and external order</w:t>
      </w:r>
      <w:r w:rsidR="00366B47">
        <w:rPr>
          <w:lang w:eastAsia="en-AU"/>
        </w:rPr>
        <w:t xml:space="preserve"> and structure of the Act</w:t>
      </w:r>
    </w:p>
    <w:p w14:paraId="6AF150FA" w14:textId="67746078" w:rsidR="00B8135B" w:rsidRPr="00373D99" w:rsidRDefault="00B8135B" w:rsidP="00B8135B">
      <w:pPr>
        <w:pStyle w:val="Definition"/>
        <w:keepNext/>
        <w:ind w:left="0"/>
        <w:rPr>
          <w:rFonts w:asciiTheme="minorHAnsi" w:hAnsiTheme="minorHAnsi"/>
          <w:sz w:val="22"/>
        </w:rPr>
      </w:pPr>
      <w:r w:rsidRPr="00373D99">
        <w:rPr>
          <w:rFonts w:asciiTheme="minorHAnsi" w:hAnsiTheme="minorHAnsi"/>
          <w:sz w:val="22"/>
        </w:rPr>
        <w:t>In</w:t>
      </w:r>
      <w:r>
        <w:rPr>
          <w:rFonts w:asciiTheme="minorHAnsi" w:hAnsiTheme="minorHAnsi"/>
          <w:sz w:val="22"/>
        </w:rPr>
        <w:t xml:space="preserve"> the </w:t>
      </w:r>
      <w:r w:rsidRPr="00373D99">
        <w:rPr>
          <w:rFonts w:asciiTheme="minorHAnsi" w:hAnsiTheme="minorHAnsi"/>
          <w:sz w:val="22"/>
        </w:rPr>
        <w:t>DFV</w:t>
      </w:r>
      <w:r w:rsidR="00E07D7B">
        <w:rPr>
          <w:rFonts w:asciiTheme="minorHAnsi" w:hAnsiTheme="minorHAnsi"/>
          <w:sz w:val="22"/>
        </w:rPr>
        <w:t> </w:t>
      </w:r>
      <w:r w:rsidRPr="00373D99">
        <w:rPr>
          <w:rFonts w:asciiTheme="minorHAnsi" w:hAnsiTheme="minorHAnsi"/>
          <w:sz w:val="22"/>
        </w:rPr>
        <w:t>A</w:t>
      </w:r>
      <w:r w:rsidR="00E07D7B">
        <w:rPr>
          <w:rFonts w:asciiTheme="minorHAnsi" w:hAnsiTheme="minorHAnsi"/>
          <w:sz w:val="22"/>
        </w:rPr>
        <w:t>ct,</w:t>
      </w:r>
      <w:r w:rsidRPr="00373D99">
        <w:rPr>
          <w:rFonts w:asciiTheme="minorHAnsi" w:hAnsiTheme="minorHAnsi"/>
          <w:sz w:val="22"/>
        </w:rPr>
        <w:t xml:space="preserve"> a </w:t>
      </w:r>
      <w:r w:rsidR="00E07D7B" w:rsidRPr="00373D99">
        <w:rPr>
          <w:rFonts w:asciiTheme="minorHAnsi" w:hAnsiTheme="minorHAnsi"/>
          <w:sz w:val="22"/>
        </w:rPr>
        <w:t xml:space="preserve">court </w:t>
      </w:r>
      <w:r w:rsidRPr="00373D99">
        <w:rPr>
          <w:rFonts w:asciiTheme="minorHAnsi" w:hAnsiTheme="minorHAnsi"/>
          <w:sz w:val="22"/>
        </w:rPr>
        <w:t>DVO is defined in section 4 as:</w:t>
      </w:r>
    </w:p>
    <w:p w14:paraId="46BC7A82" w14:textId="77777777" w:rsidR="00B8135B" w:rsidRPr="00373D99" w:rsidRDefault="00B8135B" w:rsidP="009C1B7F">
      <w:pPr>
        <w:pStyle w:val="Paragraph"/>
        <w:ind w:left="1134"/>
        <w:rPr>
          <w:rFonts w:asciiTheme="minorHAnsi" w:hAnsiTheme="minorHAnsi"/>
          <w:sz w:val="22"/>
          <w:szCs w:val="22"/>
        </w:rPr>
      </w:pPr>
      <w:r w:rsidRPr="00373D99">
        <w:rPr>
          <w:rFonts w:asciiTheme="minorHAnsi" w:hAnsiTheme="minorHAnsi"/>
          <w:sz w:val="22"/>
          <w:szCs w:val="22"/>
        </w:rPr>
        <w:t>(a)</w:t>
      </w:r>
      <w:r w:rsidRPr="00373D99">
        <w:rPr>
          <w:rFonts w:asciiTheme="minorHAnsi" w:hAnsiTheme="minorHAnsi"/>
          <w:sz w:val="22"/>
          <w:szCs w:val="22"/>
        </w:rPr>
        <w:tab/>
        <w:t>a Local Court DVO; or</w:t>
      </w:r>
    </w:p>
    <w:p w14:paraId="47B4B873" w14:textId="77777777" w:rsidR="00B8135B" w:rsidRPr="00373D99" w:rsidRDefault="00B8135B" w:rsidP="009C1B7F">
      <w:pPr>
        <w:pStyle w:val="Paragraph"/>
        <w:ind w:left="1134"/>
        <w:rPr>
          <w:rFonts w:asciiTheme="minorHAnsi" w:hAnsiTheme="minorHAnsi"/>
          <w:sz w:val="22"/>
          <w:szCs w:val="22"/>
        </w:rPr>
      </w:pPr>
      <w:r w:rsidRPr="00373D99">
        <w:rPr>
          <w:rFonts w:asciiTheme="minorHAnsi" w:hAnsiTheme="minorHAnsi"/>
          <w:sz w:val="22"/>
          <w:szCs w:val="22"/>
        </w:rPr>
        <w:t>(b)</w:t>
      </w:r>
      <w:r w:rsidRPr="00373D99">
        <w:rPr>
          <w:rFonts w:asciiTheme="minorHAnsi" w:hAnsiTheme="minorHAnsi"/>
          <w:sz w:val="22"/>
          <w:szCs w:val="22"/>
        </w:rPr>
        <w:tab/>
        <w:t>an interim court DVO; or</w:t>
      </w:r>
    </w:p>
    <w:p w14:paraId="7B14EAD7" w14:textId="77777777" w:rsidR="00B8135B" w:rsidRPr="00373D99" w:rsidRDefault="00B8135B" w:rsidP="009C1B7F">
      <w:pPr>
        <w:pStyle w:val="Paragraph"/>
        <w:ind w:left="1134"/>
        <w:rPr>
          <w:rFonts w:asciiTheme="minorHAnsi" w:hAnsiTheme="minorHAnsi"/>
          <w:sz w:val="22"/>
          <w:szCs w:val="22"/>
        </w:rPr>
      </w:pPr>
      <w:r w:rsidRPr="00373D99">
        <w:rPr>
          <w:rFonts w:asciiTheme="minorHAnsi" w:hAnsiTheme="minorHAnsi"/>
          <w:sz w:val="22"/>
          <w:szCs w:val="22"/>
        </w:rPr>
        <w:t>(c)</w:t>
      </w:r>
      <w:r w:rsidRPr="00373D99">
        <w:rPr>
          <w:rFonts w:asciiTheme="minorHAnsi" w:hAnsiTheme="minorHAnsi"/>
          <w:sz w:val="22"/>
          <w:szCs w:val="22"/>
        </w:rPr>
        <w:tab/>
        <w:t>a consent DVO; or</w:t>
      </w:r>
    </w:p>
    <w:p w14:paraId="6C823CDA" w14:textId="77777777" w:rsidR="00B8135B" w:rsidRPr="00373D99" w:rsidRDefault="00B8135B" w:rsidP="009C1B7F">
      <w:pPr>
        <w:pStyle w:val="Paragraph"/>
        <w:ind w:left="1134"/>
        <w:rPr>
          <w:rFonts w:asciiTheme="minorHAnsi" w:hAnsiTheme="minorHAnsi"/>
          <w:sz w:val="22"/>
          <w:szCs w:val="22"/>
        </w:rPr>
      </w:pPr>
      <w:r w:rsidRPr="00373D99">
        <w:rPr>
          <w:rFonts w:asciiTheme="minorHAnsi" w:hAnsiTheme="minorHAnsi"/>
          <w:sz w:val="22"/>
          <w:szCs w:val="22"/>
        </w:rPr>
        <w:t>(d)</w:t>
      </w:r>
      <w:r w:rsidRPr="00373D99">
        <w:rPr>
          <w:rFonts w:asciiTheme="minorHAnsi" w:hAnsiTheme="minorHAnsi"/>
          <w:sz w:val="22"/>
          <w:szCs w:val="22"/>
        </w:rPr>
        <w:tab/>
        <w:t>a DVO made by a court under Part 2.7; or</w:t>
      </w:r>
    </w:p>
    <w:p w14:paraId="1BA38350" w14:textId="4FBBECE8" w:rsidR="00B8135B" w:rsidRDefault="00B8135B" w:rsidP="009C1B7F">
      <w:pPr>
        <w:pStyle w:val="Paragraph"/>
        <w:ind w:left="1134"/>
        <w:rPr>
          <w:rFonts w:asciiTheme="minorHAnsi" w:hAnsiTheme="minorHAnsi"/>
          <w:sz w:val="22"/>
          <w:szCs w:val="22"/>
        </w:rPr>
      </w:pPr>
      <w:r w:rsidRPr="00373D99">
        <w:rPr>
          <w:rFonts w:asciiTheme="minorHAnsi" w:hAnsiTheme="minorHAnsi"/>
          <w:sz w:val="22"/>
          <w:szCs w:val="22"/>
        </w:rPr>
        <w:t>(e)</w:t>
      </w:r>
      <w:r w:rsidRPr="00373D99">
        <w:rPr>
          <w:rFonts w:asciiTheme="minorHAnsi" w:hAnsiTheme="minorHAnsi"/>
          <w:sz w:val="22"/>
          <w:szCs w:val="22"/>
        </w:rPr>
        <w:tab/>
        <w:t>a DVO confirmed by the Court under Part 2.10.</w:t>
      </w:r>
    </w:p>
    <w:p w14:paraId="3A264926" w14:textId="232C2A42" w:rsidR="000F4B95" w:rsidRDefault="00B8135B" w:rsidP="00215B48">
      <w:pPr>
        <w:pStyle w:val="Paragraph"/>
        <w:ind w:left="0" w:firstLine="0"/>
        <w:rPr>
          <w:rFonts w:asciiTheme="minorHAnsi" w:hAnsiTheme="minorHAnsi"/>
          <w:sz w:val="22"/>
          <w:szCs w:val="22"/>
        </w:rPr>
      </w:pPr>
      <w:r>
        <w:rPr>
          <w:rFonts w:asciiTheme="minorHAnsi" w:hAnsiTheme="minorHAnsi"/>
          <w:sz w:val="22"/>
          <w:szCs w:val="22"/>
        </w:rPr>
        <w:t>Stakeh</w:t>
      </w:r>
      <w:r w:rsidR="005F49D1">
        <w:rPr>
          <w:rFonts w:asciiTheme="minorHAnsi" w:hAnsiTheme="minorHAnsi"/>
          <w:sz w:val="22"/>
          <w:szCs w:val="22"/>
        </w:rPr>
        <w:t>olders have indicated there is s</w:t>
      </w:r>
      <w:r>
        <w:rPr>
          <w:rFonts w:asciiTheme="minorHAnsi" w:hAnsiTheme="minorHAnsi"/>
          <w:sz w:val="22"/>
          <w:szCs w:val="22"/>
        </w:rPr>
        <w:t xml:space="preserve">ome confusion arising from structure of the </w:t>
      </w:r>
      <w:r w:rsidR="009C1B7F">
        <w:rPr>
          <w:rFonts w:asciiTheme="minorHAnsi" w:hAnsiTheme="minorHAnsi"/>
          <w:sz w:val="22"/>
          <w:szCs w:val="22"/>
        </w:rPr>
        <w:t>DFV </w:t>
      </w:r>
      <w:r>
        <w:rPr>
          <w:rFonts w:asciiTheme="minorHAnsi" w:hAnsiTheme="minorHAnsi"/>
          <w:sz w:val="22"/>
          <w:szCs w:val="22"/>
        </w:rPr>
        <w:t>Act</w:t>
      </w:r>
      <w:r w:rsidR="000F4B95">
        <w:rPr>
          <w:rFonts w:asciiTheme="minorHAnsi" w:hAnsiTheme="minorHAnsi"/>
          <w:sz w:val="22"/>
          <w:szCs w:val="22"/>
        </w:rPr>
        <w:t xml:space="preserve"> and it would be helpful to clarify the structure </w:t>
      </w:r>
      <w:r w:rsidR="00562C83">
        <w:rPr>
          <w:rFonts w:asciiTheme="minorHAnsi" w:hAnsiTheme="minorHAnsi"/>
          <w:sz w:val="22"/>
          <w:szCs w:val="22"/>
        </w:rPr>
        <w:t>and how the types of DVOs relate to each other</w:t>
      </w:r>
      <w:r>
        <w:rPr>
          <w:rFonts w:asciiTheme="minorHAnsi" w:hAnsiTheme="minorHAnsi"/>
          <w:sz w:val="22"/>
          <w:szCs w:val="22"/>
        </w:rPr>
        <w:t>.</w:t>
      </w:r>
    </w:p>
    <w:p w14:paraId="542C87A7" w14:textId="40E9051C" w:rsidR="00832718" w:rsidRDefault="00832718" w:rsidP="00215B48">
      <w:pPr>
        <w:pStyle w:val="Paragraph"/>
        <w:ind w:left="0" w:firstLine="0"/>
        <w:rPr>
          <w:rFonts w:asciiTheme="minorHAnsi" w:hAnsiTheme="minorHAnsi"/>
          <w:sz w:val="22"/>
          <w:szCs w:val="22"/>
        </w:rPr>
      </w:pPr>
      <w:r>
        <w:rPr>
          <w:rFonts w:asciiTheme="minorHAnsi" w:hAnsiTheme="minorHAnsi"/>
          <w:sz w:val="22"/>
          <w:szCs w:val="22"/>
        </w:rPr>
        <w:t xml:space="preserve">The table </w:t>
      </w:r>
      <w:r w:rsidR="007266A2">
        <w:rPr>
          <w:rFonts w:asciiTheme="minorHAnsi" w:hAnsiTheme="minorHAnsi"/>
          <w:sz w:val="22"/>
          <w:szCs w:val="22"/>
        </w:rPr>
        <w:t xml:space="preserve">below </w:t>
      </w:r>
      <w:r>
        <w:rPr>
          <w:rFonts w:asciiTheme="minorHAnsi" w:hAnsiTheme="minorHAnsi"/>
          <w:sz w:val="22"/>
          <w:szCs w:val="22"/>
        </w:rPr>
        <w:t>sets out how Chapter 2 of the DFV</w:t>
      </w:r>
      <w:r w:rsidR="009C1B7F">
        <w:rPr>
          <w:rFonts w:asciiTheme="minorHAnsi" w:hAnsiTheme="minorHAnsi"/>
          <w:sz w:val="22"/>
          <w:szCs w:val="22"/>
        </w:rPr>
        <w:t> </w:t>
      </w:r>
      <w:r>
        <w:rPr>
          <w:rFonts w:asciiTheme="minorHAnsi" w:hAnsiTheme="minorHAnsi"/>
          <w:sz w:val="22"/>
          <w:szCs w:val="22"/>
        </w:rPr>
        <w:t>A</w:t>
      </w:r>
      <w:r w:rsidR="009C1B7F">
        <w:rPr>
          <w:rFonts w:asciiTheme="minorHAnsi" w:hAnsiTheme="minorHAnsi"/>
          <w:sz w:val="22"/>
          <w:szCs w:val="22"/>
        </w:rPr>
        <w:t>ct</w:t>
      </w:r>
      <w:r>
        <w:rPr>
          <w:rFonts w:asciiTheme="minorHAnsi" w:hAnsiTheme="minorHAnsi"/>
          <w:sz w:val="22"/>
          <w:szCs w:val="22"/>
        </w:rPr>
        <w:t xml:space="preserve"> operates.</w:t>
      </w:r>
    </w:p>
    <w:p w14:paraId="24197301" w14:textId="77777777" w:rsidR="00832718" w:rsidRPr="00992762" w:rsidRDefault="00832718" w:rsidP="00254808">
      <w:pPr>
        <w:pStyle w:val="Heading4"/>
        <w:keepNext/>
        <w:numPr>
          <w:ilvl w:val="0"/>
          <w:numId w:val="0"/>
        </w:numPr>
        <w:spacing w:after="0" w:line="259" w:lineRule="auto"/>
        <w:ind w:left="862" w:hanging="862"/>
        <w:rPr>
          <w:lang w:eastAsia="en-AU"/>
        </w:rPr>
      </w:pPr>
      <w:r w:rsidRPr="00992762">
        <w:rPr>
          <w:lang w:eastAsia="en-AU"/>
        </w:rPr>
        <w:t xml:space="preserve">PROPOSAL </w:t>
      </w:r>
      <w:r>
        <w:rPr>
          <w:lang w:eastAsia="en-AU"/>
        </w:rPr>
        <w:t xml:space="preserve">LR </w:t>
      </w:r>
      <w:r w:rsidRPr="00992762">
        <w:rPr>
          <w:lang w:eastAsia="en-AU"/>
        </w:rPr>
        <w:t>4</w:t>
      </w:r>
    </w:p>
    <w:p w14:paraId="7F5DBF55" w14:textId="71A6AFA1" w:rsidR="00832718" w:rsidRPr="00992762" w:rsidRDefault="00832718" w:rsidP="00254808">
      <w:pPr>
        <w:spacing w:after="240" w:line="259" w:lineRule="auto"/>
        <w:rPr>
          <w:b/>
          <w:bCs/>
          <w:lang w:eastAsia="en-AU"/>
        </w:rPr>
      </w:pPr>
      <w:r w:rsidRPr="00992762">
        <w:rPr>
          <w:b/>
          <w:bCs/>
          <w:lang w:eastAsia="en-AU"/>
        </w:rPr>
        <w:t xml:space="preserve">It is proposed to </w:t>
      </w:r>
      <w:r>
        <w:rPr>
          <w:b/>
          <w:bCs/>
          <w:lang w:eastAsia="en-AU"/>
        </w:rPr>
        <w:t>amend</w:t>
      </w:r>
      <w:r w:rsidRPr="00992762">
        <w:rPr>
          <w:b/>
          <w:bCs/>
          <w:lang w:eastAsia="en-AU"/>
        </w:rPr>
        <w:t xml:space="preserve"> the definitions of </w:t>
      </w:r>
      <w:r w:rsidR="009C1B7F" w:rsidRPr="00992762">
        <w:rPr>
          <w:b/>
          <w:bCs/>
          <w:lang w:eastAsia="en-AU"/>
        </w:rPr>
        <w:t xml:space="preserve">court </w:t>
      </w:r>
      <w:r w:rsidRPr="00992762">
        <w:rPr>
          <w:b/>
          <w:bCs/>
          <w:lang w:eastAsia="en-AU"/>
        </w:rPr>
        <w:t xml:space="preserve">DVO, </w:t>
      </w:r>
      <w:r w:rsidR="009C1B7F" w:rsidRPr="00992762">
        <w:rPr>
          <w:b/>
          <w:bCs/>
          <w:lang w:eastAsia="en-AU"/>
        </w:rPr>
        <w:t xml:space="preserve">police </w:t>
      </w:r>
      <w:r w:rsidRPr="00992762">
        <w:rPr>
          <w:b/>
          <w:bCs/>
          <w:lang w:eastAsia="en-AU"/>
        </w:rPr>
        <w:t>DVO a</w:t>
      </w:r>
      <w:r>
        <w:rPr>
          <w:b/>
          <w:bCs/>
          <w:lang w:eastAsia="en-AU"/>
        </w:rPr>
        <w:t>nd external order in the DFV</w:t>
      </w:r>
      <w:r w:rsidR="009C1B7F">
        <w:rPr>
          <w:b/>
          <w:bCs/>
          <w:lang w:eastAsia="en-AU"/>
        </w:rPr>
        <w:t> </w:t>
      </w:r>
      <w:r>
        <w:rPr>
          <w:b/>
          <w:bCs/>
          <w:lang w:eastAsia="en-AU"/>
        </w:rPr>
        <w:t>A</w:t>
      </w:r>
      <w:r w:rsidR="009C1B7F">
        <w:rPr>
          <w:b/>
          <w:bCs/>
          <w:lang w:eastAsia="en-AU"/>
        </w:rPr>
        <w:t>ct</w:t>
      </w:r>
      <w:r>
        <w:rPr>
          <w:b/>
          <w:bCs/>
          <w:lang w:eastAsia="en-AU"/>
        </w:rPr>
        <w:t xml:space="preserve"> and</w:t>
      </w:r>
      <w:r w:rsidRPr="00992762">
        <w:rPr>
          <w:b/>
          <w:bCs/>
          <w:lang w:eastAsia="en-AU"/>
        </w:rPr>
        <w:t xml:space="preserve"> clarify the structure of the </w:t>
      </w:r>
      <w:r w:rsidR="009C1B7F">
        <w:rPr>
          <w:b/>
          <w:bCs/>
          <w:lang w:eastAsia="en-AU"/>
        </w:rPr>
        <w:t>DFV </w:t>
      </w:r>
      <w:r w:rsidRPr="00992762">
        <w:rPr>
          <w:b/>
          <w:bCs/>
          <w:lang w:eastAsia="en-AU"/>
        </w:rPr>
        <w:t>Act</w:t>
      </w:r>
      <w:r>
        <w:rPr>
          <w:b/>
          <w:bCs/>
          <w:lang w:eastAsia="en-AU"/>
        </w:rPr>
        <w:t>.</w:t>
      </w:r>
    </w:p>
    <w:p w14:paraId="2661BAD2" w14:textId="77777777" w:rsidR="004C0CF3" w:rsidRDefault="004C0CF3">
      <w:pPr>
        <w:rPr>
          <w:rFonts w:asciiTheme="minorHAnsi" w:hAnsiTheme="minorHAnsi"/>
          <w:b/>
        </w:rPr>
      </w:pPr>
      <w:r>
        <w:rPr>
          <w:rFonts w:asciiTheme="minorHAnsi" w:hAnsiTheme="minorHAnsi"/>
          <w:b/>
        </w:rPr>
        <w:br w:type="page"/>
      </w:r>
    </w:p>
    <w:p w14:paraId="04B06FF6" w14:textId="0F50DF5E" w:rsidR="00832718" w:rsidRPr="004A1EB3" w:rsidRDefault="004A1EB3" w:rsidP="00215B48">
      <w:pPr>
        <w:pStyle w:val="Paragraph"/>
        <w:ind w:left="0" w:firstLine="0"/>
        <w:rPr>
          <w:rFonts w:asciiTheme="minorHAnsi" w:hAnsiTheme="minorHAnsi"/>
          <w:b/>
          <w:sz w:val="22"/>
          <w:szCs w:val="22"/>
        </w:rPr>
      </w:pPr>
      <w:r w:rsidRPr="004A1EB3">
        <w:rPr>
          <w:rFonts w:asciiTheme="minorHAnsi" w:hAnsiTheme="minorHAnsi"/>
          <w:b/>
          <w:sz w:val="22"/>
          <w:szCs w:val="22"/>
        </w:rPr>
        <w:lastRenderedPageBreak/>
        <w:t xml:space="preserve">Table </w:t>
      </w:r>
      <w:r>
        <w:rPr>
          <w:rFonts w:asciiTheme="minorHAnsi" w:hAnsiTheme="minorHAnsi"/>
          <w:b/>
          <w:sz w:val="22"/>
          <w:szCs w:val="22"/>
        </w:rPr>
        <w:t>1:  Summary of</w:t>
      </w:r>
      <w:r w:rsidRPr="004A1EB3">
        <w:rPr>
          <w:rFonts w:asciiTheme="minorHAnsi" w:hAnsiTheme="minorHAnsi"/>
          <w:b/>
          <w:sz w:val="22"/>
          <w:szCs w:val="22"/>
        </w:rPr>
        <w:t xml:space="preserve"> </w:t>
      </w:r>
      <w:r>
        <w:rPr>
          <w:rFonts w:asciiTheme="minorHAnsi" w:hAnsiTheme="minorHAnsi"/>
          <w:b/>
          <w:sz w:val="22"/>
          <w:szCs w:val="22"/>
        </w:rPr>
        <w:t xml:space="preserve">the structure of </w:t>
      </w:r>
      <w:r w:rsidRPr="004A1EB3">
        <w:rPr>
          <w:rFonts w:asciiTheme="minorHAnsi" w:hAnsiTheme="minorHAnsi"/>
          <w:b/>
          <w:sz w:val="22"/>
          <w:szCs w:val="22"/>
        </w:rPr>
        <w:t xml:space="preserve">Chapter 2 of the </w:t>
      </w:r>
      <w:r w:rsidR="009C1B7F">
        <w:rPr>
          <w:rFonts w:asciiTheme="minorHAnsi" w:hAnsiTheme="minorHAnsi"/>
          <w:b/>
          <w:sz w:val="22"/>
          <w:szCs w:val="22"/>
        </w:rPr>
        <w:t>DFV Act</w:t>
      </w:r>
    </w:p>
    <w:tbl>
      <w:tblPr>
        <w:tblStyle w:val="TableGrid"/>
        <w:tblW w:w="0" w:type="auto"/>
        <w:tblLook w:val="04A0" w:firstRow="1" w:lastRow="0" w:firstColumn="1" w:lastColumn="0" w:noHBand="0" w:noVBand="1"/>
      </w:tblPr>
      <w:tblGrid>
        <w:gridCol w:w="1679"/>
        <w:gridCol w:w="1669"/>
        <w:gridCol w:w="1537"/>
        <w:gridCol w:w="1949"/>
        <w:gridCol w:w="1244"/>
        <w:gridCol w:w="1671"/>
      </w:tblGrid>
      <w:tr w:rsidR="00A16F01" w14:paraId="2569B6FD" w14:textId="503D0D8A" w:rsidTr="00726979">
        <w:tc>
          <w:tcPr>
            <w:tcW w:w="1696" w:type="dxa"/>
            <w:shd w:val="clear" w:color="auto" w:fill="C8E6FA" w:themeFill="accent2" w:themeFillTint="33"/>
          </w:tcPr>
          <w:p w14:paraId="5F11A31E" w14:textId="6972AB5A" w:rsidR="00A16F01" w:rsidRPr="00F237D1" w:rsidRDefault="00A16F01" w:rsidP="00E92D94">
            <w:pPr>
              <w:rPr>
                <w:sz w:val="18"/>
                <w:szCs w:val="18"/>
              </w:rPr>
            </w:pPr>
            <w:r w:rsidRPr="00F237D1">
              <w:rPr>
                <w:sz w:val="18"/>
                <w:szCs w:val="18"/>
              </w:rPr>
              <w:t>How it is initiated</w:t>
            </w:r>
          </w:p>
        </w:tc>
        <w:tc>
          <w:tcPr>
            <w:tcW w:w="1701" w:type="dxa"/>
            <w:shd w:val="clear" w:color="auto" w:fill="C8E6FA" w:themeFill="accent2" w:themeFillTint="33"/>
          </w:tcPr>
          <w:p w14:paraId="42AB8E50" w14:textId="766309DC" w:rsidR="00A16F01" w:rsidRPr="00F237D1" w:rsidRDefault="00A16F01" w:rsidP="00E92D94">
            <w:pPr>
              <w:rPr>
                <w:sz w:val="18"/>
                <w:szCs w:val="18"/>
              </w:rPr>
            </w:pPr>
            <w:r w:rsidRPr="00F237D1">
              <w:rPr>
                <w:sz w:val="18"/>
                <w:szCs w:val="18"/>
              </w:rPr>
              <w:t>Interim protection</w:t>
            </w:r>
          </w:p>
        </w:tc>
        <w:tc>
          <w:tcPr>
            <w:tcW w:w="1560" w:type="dxa"/>
            <w:shd w:val="clear" w:color="auto" w:fill="C8E6FA" w:themeFill="accent2" w:themeFillTint="33"/>
          </w:tcPr>
          <w:p w14:paraId="4A7F79CA" w14:textId="724E2B39" w:rsidR="00A16F01" w:rsidRPr="00F237D1" w:rsidRDefault="00A16F01" w:rsidP="00E92D94">
            <w:pPr>
              <w:rPr>
                <w:sz w:val="18"/>
                <w:szCs w:val="18"/>
              </w:rPr>
            </w:pPr>
            <w:r w:rsidRPr="00F237D1">
              <w:rPr>
                <w:sz w:val="18"/>
                <w:szCs w:val="18"/>
              </w:rPr>
              <w:t>How it is varied</w:t>
            </w:r>
          </w:p>
        </w:tc>
        <w:tc>
          <w:tcPr>
            <w:tcW w:w="1984" w:type="dxa"/>
            <w:shd w:val="clear" w:color="auto" w:fill="C8E6FA" w:themeFill="accent2" w:themeFillTint="33"/>
          </w:tcPr>
          <w:p w14:paraId="17701559" w14:textId="106F35BD" w:rsidR="00A16F01" w:rsidRPr="00F237D1" w:rsidRDefault="00A16F01" w:rsidP="00E92D94">
            <w:pPr>
              <w:rPr>
                <w:sz w:val="18"/>
                <w:szCs w:val="18"/>
              </w:rPr>
            </w:pPr>
            <w:r w:rsidRPr="00F237D1">
              <w:rPr>
                <w:sz w:val="18"/>
                <w:szCs w:val="18"/>
              </w:rPr>
              <w:t xml:space="preserve">How </w:t>
            </w:r>
            <w:r>
              <w:rPr>
                <w:sz w:val="18"/>
                <w:szCs w:val="18"/>
              </w:rPr>
              <w:t xml:space="preserve">order is </w:t>
            </w:r>
            <w:r w:rsidRPr="00F237D1">
              <w:rPr>
                <w:sz w:val="18"/>
                <w:szCs w:val="18"/>
              </w:rPr>
              <w:t>finalised</w:t>
            </w:r>
          </w:p>
        </w:tc>
        <w:tc>
          <w:tcPr>
            <w:tcW w:w="1276" w:type="dxa"/>
            <w:shd w:val="clear" w:color="auto" w:fill="C8E6FA" w:themeFill="accent2" w:themeFillTint="33"/>
          </w:tcPr>
          <w:p w14:paraId="49F33F33" w14:textId="69B45CAA" w:rsidR="00A16F01" w:rsidRPr="00F237D1" w:rsidRDefault="00A16F01" w:rsidP="00E92D94">
            <w:pPr>
              <w:rPr>
                <w:sz w:val="18"/>
                <w:szCs w:val="18"/>
              </w:rPr>
            </w:pPr>
            <w:r>
              <w:rPr>
                <w:sz w:val="18"/>
                <w:szCs w:val="18"/>
              </w:rPr>
              <w:t>Final DVO</w:t>
            </w:r>
          </w:p>
        </w:tc>
        <w:tc>
          <w:tcPr>
            <w:tcW w:w="1701" w:type="dxa"/>
            <w:tcBorders>
              <w:bottom w:val="single" w:sz="4" w:space="0" w:color="auto"/>
            </w:tcBorders>
            <w:shd w:val="clear" w:color="auto" w:fill="C8E6FA" w:themeFill="accent2" w:themeFillTint="33"/>
          </w:tcPr>
          <w:p w14:paraId="513D4ADD" w14:textId="5941531D" w:rsidR="00A16F01" w:rsidRPr="00F237D1" w:rsidRDefault="00CB7878" w:rsidP="00E92D94">
            <w:pPr>
              <w:rPr>
                <w:sz w:val="18"/>
                <w:szCs w:val="18"/>
              </w:rPr>
            </w:pPr>
            <w:r>
              <w:rPr>
                <w:sz w:val="18"/>
                <w:szCs w:val="18"/>
              </w:rPr>
              <w:t xml:space="preserve">How </w:t>
            </w:r>
            <w:r w:rsidR="00EB5AFA">
              <w:rPr>
                <w:sz w:val="18"/>
                <w:szCs w:val="18"/>
              </w:rPr>
              <w:t xml:space="preserve">final order is </w:t>
            </w:r>
            <w:r>
              <w:rPr>
                <w:sz w:val="18"/>
                <w:szCs w:val="18"/>
              </w:rPr>
              <w:t>varied or revoked</w:t>
            </w:r>
          </w:p>
        </w:tc>
      </w:tr>
      <w:tr w:rsidR="00A16F01" w14:paraId="18DA0B3E" w14:textId="376DD10F" w:rsidTr="00726979">
        <w:tc>
          <w:tcPr>
            <w:tcW w:w="1696" w:type="dxa"/>
          </w:tcPr>
          <w:p w14:paraId="2C4368AA" w14:textId="3501BBB0" w:rsidR="00A16F01" w:rsidRDefault="00A16F01" w:rsidP="00562C83">
            <w:pPr>
              <w:rPr>
                <w:sz w:val="18"/>
                <w:szCs w:val="18"/>
              </w:rPr>
            </w:pPr>
            <w:r>
              <w:rPr>
                <w:sz w:val="18"/>
                <w:szCs w:val="18"/>
              </w:rPr>
              <w:t>Police DVO</w:t>
            </w:r>
          </w:p>
          <w:p w14:paraId="5453634D" w14:textId="3183E70B" w:rsidR="00A16F01" w:rsidRPr="00F237D1" w:rsidRDefault="00A16F01" w:rsidP="00562C83">
            <w:pPr>
              <w:rPr>
                <w:sz w:val="18"/>
                <w:szCs w:val="18"/>
              </w:rPr>
            </w:pPr>
            <w:r w:rsidRPr="00F237D1">
              <w:rPr>
                <w:sz w:val="18"/>
                <w:szCs w:val="18"/>
              </w:rPr>
              <w:t>Authorised police officer in urgent circumstances (s41)</w:t>
            </w:r>
          </w:p>
          <w:p w14:paraId="639DDBC1" w14:textId="5095CDA1" w:rsidR="00A16F01" w:rsidRPr="00F237D1" w:rsidRDefault="00A16F01" w:rsidP="00562C83">
            <w:pPr>
              <w:rPr>
                <w:sz w:val="18"/>
                <w:szCs w:val="18"/>
              </w:rPr>
            </w:pPr>
          </w:p>
        </w:tc>
        <w:tc>
          <w:tcPr>
            <w:tcW w:w="1701" w:type="dxa"/>
          </w:tcPr>
          <w:p w14:paraId="22940DCD" w14:textId="6E672492" w:rsidR="00A16F01" w:rsidRDefault="00F73808" w:rsidP="00E92D94">
            <w:pPr>
              <w:rPr>
                <w:sz w:val="18"/>
                <w:szCs w:val="18"/>
              </w:rPr>
            </w:pPr>
            <w:r>
              <w:rPr>
                <w:sz w:val="18"/>
                <w:szCs w:val="18"/>
              </w:rPr>
              <w:t xml:space="preserve">Police DVO </w:t>
            </w:r>
            <w:r w:rsidR="00A16F01">
              <w:rPr>
                <w:sz w:val="18"/>
                <w:szCs w:val="18"/>
              </w:rPr>
              <w:t>continues</w:t>
            </w:r>
            <w:r w:rsidR="00454BC1">
              <w:rPr>
                <w:sz w:val="18"/>
                <w:szCs w:val="18"/>
              </w:rPr>
              <w:t xml:space="preserve"> in the same terms</w:t>
            </w:r>
          </w:p>
          <w:p w14:paraId="3A045EC5" w14:textId="163656BC" w:rsidR="00A16F01" w:rsidRPr="00F237D1" w:rsidRDefault="00A16F01" w:rsidP="00E92D94">
            <w:pPr>
              <w:rPr>
                <w:sz w:val="18"/>
                <w:szCs w:val="18"/>
              </w:rPr>
            </w:pPr>
            <w:r>
              <w:rPr>
                <w:sz w:val="18"/>
                <w:szCs w:val="18"/>
              </w:rPr>
              <w:t>Or</w:t>
            </w:r>
            <w:r w:rsidRPr="00F237D1">
              <w:rPr>
                <w:sz w:val="18"/>
                <w:szCs w:val="18"/>
              </w:rPr>
              <w:t xml:space="preserve"> </w:t>
            </w:r>
            <w:r>
              <w:rPr>
                <w:sz w:val="18"/>
                <w:szCs w:val="18"/>
              </w:rPr>
              <w:t xml:space="preserve">the </w:t>
            </w:r>
            <w:r w:rsidR="005D49D6">
              <w:rPr>
                <w:sz w:val="18"/>
                <w:szCs w:val="18"/>
              </w:rPr>
              <w:t>terms varied under Part 2.9</w:t>
            </w:r>
            <w:r w:rsidR="00401339">
              <w:rPr>
                <w:sz w:val="18"/>
                <w:szCs w:val="18"/>
              </w:rPr>
              <w:t xml:space="preserve"> </w:t>
            </w:r>
          </w:p>
        </w:tc>
        <w:tc>
          <w:tcPr>
            <w:tcW w:w="1560" w:type="dxa"/>
          </w:tcPr>
          <w:p w14:paraId="13F0FDEE" w14:textId="4315CE67" w:rsidR="00A16F01" w:rsidRDefault="005F49D1" w:rsidP="00E92D94">
            <w:pPr>
              <w:rPr>
                <w:sz w:val="18"/>
                <w:szCs w:val="18"/>
              </w:rPr>
            </w:pPr>
            <w:r>
              <w:rPr>
                <w:sz w:val="18"/>
                <w:szCs w:val="18"/>
              </w:rPr>
              <w:t>Part 2.9</w:t>
            </w:r>
          </w:p>
          <w:p w14:paraId="54B4755F" w14:textId="1C57EB56" w:rsidR="0052114F" w:rsidRPr="00F237D1" w:rsidRDefault="0052114F" w:rsidP="005D49D6">
            <w:pPr>
              <w:rPr>
                <w:sz w:val="18"/>
                <w:szCs w:val="18"/>
              </w:rPr>
            </w:pPr>
          </w:p>
        </w:tc>
        <w:tc>
          <w:tcPr>
            <w:tcW w:w="1984" w:type="dxa"/>
          </w:tcPr>
          <w:p w14:paraId="03779859" w14:textId="057B5C63" w:rsidR="00A16F01" w:rsidRPr="00F237D1" w:rsidRDefault="00A16F01" w:rsidP="00E92D94">
            <w:pPr>
              <w:rPr>
                <w:sz w:val="18"/>
                <w:szCs w:val="18"/>
              </w:rPr>
            </w:pPr>
            <w:r w:rsidRPr="00F237D1">
              <w:rPr>
                <w:sz w:val="18"/>
                <w:szCs w:val="18"/>
              </w:rPr>
              <w:t>Part 2.10 – Confirmation hearing</w:t>
            </w:r>
          </w:p>
          <w:p w14:paraId="145DB253" w14:textId="77777777" w:rsidR="00A16F01" w:rsidRPr="00F237D1" w:rsidRDefault="00A16F01" w:rsidP="00E92D94">
            <w:pPr>
              <w:rPr>
                <w:sz w:val="18"/>
                <w:szCs w:val="18"/>
              </w:rPr>
            </w:pPr>
            <w:r w:rsidRPr="00F237D1">
              <w:rPr>
                <w:sz w:val="18"/>
                <w:szCs w:val="18"/>
              </w:rPr>
              <w:t>Part 2.7 – After a finding/plea of guilt</w:t>
            </w:r>
          </w:p>
          <w:p w14:paraId="2A079421" w14:textId="680B8537" w:rsidR="00A16F01" w:rsidRPr="00F237D1" w:rsidRDefault="00A16F01" w:rsidP="00E92D94">
            <w:pPr>
              <w:rPr>
                <w:sz w:val="18"/>
                <w:szCs w:val="18"/>
              </w:rPr>
            </w:pPr>
            <w:r w:rsidRPr="00F237D1">
              <w:rPr>
                <w:sz w:val="18"/>
                <w:szCs w:val="18"/>
              </w:rPr>
              <w:t>Part 2.5 – With consent</w:t>
            </w:r>
          </w:p>
        </w:tc>
        <w:tc>
          <w:tcPr>
            <w:tcW w:w="1276" w:type="dxa"/>
            <w:vMerge w:val="restart"/>
          </w:tcPr>
          <w:p w14:paraId="34B316FC" w14:textId="77777777" w:rsidR="00A16F01" w:rsidRDefault="00A16F01" w:rsidP="00E92D94">
            <w:pPr>
              <w:rPr>
                <w:sz w:val="18"/>
                <w:szCs w:val="18"/>
              </w:rPr>
            </w:pPr>
          </w:p>
          <w:p w14:paraId="382D95D2" w14:textId="77777777" w:rsidR="00A16F01" w:rsidRDefault="00A16F01" w:rsidP="00E92D94">
            <w:pPr>
              <w:rPr>
                <w:sz w:val="18"/>
                <w:szCs w:val="18"/>
              </w:rPr>
            </w:pPr>
          </w:p>
          <w:p w14:paraId="33BFA1AB" w14:textId="77777777" w:rsidR="00A16F01" w:rsidRDefault="00A16F01" w:rsidP="00E92D94">
            <w:pPr>
              <w:rPr>
                <w:sz w:val="18"/>
                <w:szCs w:val="18"/>
              </w:rPr>
            </w:pPr>
          </w:p>
          <w:p w14:paraId="066EA4D6" w14:textId="77777777" w:rsidR="00A16F01" w:rsidRDefault="00A16F01" w:rsidP="00E92D94">
            <w:pPr>
              <w:rPr>
                <w:sz w:val="18"/>
                <w:szCs w:val="18"/>
              </w:rPr>
            </w:pPr>
          </w:p>
          <w:p w14:paraId="22CBA44E" w14:textId="62E50145" w:rsidR="00A16F01" w:rsidRPr="00F237D1" w:rsidRDefault="00A16F01" w:rsidP="00E92D94">
            <w:pPr>
              <w:rPr>
                <w:sz w:val="18"/>
                <w:szCs w:val="18"/>
              </w:rPr>
            </w:pPr>
            <w:r>
              <w:rPr>
                <w:sz w:val="18"/>
                <w:szCs w:val="18"/>
              </w:rPr>
              <w:t>Final DVO</w:t>
            </w:r>
          </w:p>
        </w:tc>
        <w:tc>
          <w:tcPr>
            <w:tcW w:w="1701" w:type="dxa"/>
            <w:vMerge w:val="restart"/>
            <w:tcBorders>
              <w:bottom w:val="single" w:sz="4" w:space="0" w:color="auto"/>
            </w:tcBorders>
          </w:tcPr>
          <w:p w14:paraId="618D9502" w14:textId="77777777" w:rsidR="00A16F01" w:rsidRDefault="00A16F01" w:rsidP="00E92D94">
            <w:pPr>
              <w:rPr>
                <w:sz w:val="18"/>
                <w:szCs w:val="18"/>
              </w:rPr>
            </w:pPr>
          </w:p>
          <w:p w14:paraId="4D17935D" w14:textId="57F3B481" w:rsidR="00A16F01" w:rsidRDefault="00A16F01" w:rsidP="00E92D94">
            <w:pPr>
              <w:rPr>
                <w:sz w:val="18"/>
                <w:szCs w:val="18"/>
              </w:rPr>
            </w:pPr>
          </w:p>
          <w:p w14:paraId="4C958FB2" w14:textId="542813E0" w:rsidR="00CB7878" w:rsidRDefault="00CB7878" w:rsidP="00E92D94">
            <w:pPr>
              <w:rPr>
                <w:sz w:val="18"/>
                <w:szCs w:val="18"/>
              </w:rPr>
            </w:pPr>
            <w:r>
              <w:rPr>
                <w:sz w:val="18"/>
                <w:szCs w:val="18"/>
              </w:rPr>
              <w:t>Part 2.8</w:t>
            </w:r>
          </w:p>
          <w:p w14:paraId="208F5031" w14:textId="0731CC99" w:rsidR="006970B5" w:rsidRDefault="00454BC1" w:rsidP="00E92D94">
            <w:pPr>
              <w:rPr>
                <w:sz w:val="18"/>
                <w:szCs w:val="18"/>
              </w:rPr>
            </w:pPr>
            <w:r>
              <w:rPr>
                <w:sz w:val="18"/>
                <w:szCs w:val="18"/>
              </w:rPr>
              <w:t xml:space="preserve">(Note: </w:t>
            </w:r>
            <w:r w:rsidR="006970B5">
              <w:rPr>
                <w:sz w:val="18"/>
                <w:szCs w:val="18"/>
              </w:rPr>
              <w:t>Court can make an interim variation order under s52A until the application is decided</w:t>
            </w:r>
            <w:r>
              <w:rPr>
                <w:sz w:val="18"/>
                <w:szCs w:val="18"/>
              </w:rPr>
              <w:t>)</w:t>
            </w:r>
          </w:p>
          <w:p w14:paraId="0AF9FEF3" w14:textId="5EE65A45" w:rsidR="00A16F01" w:rsidRDefault="00A16F01" w:rsidP="00E92D94">
            <w:pPr>
              <w:rPr>
                <w:sz w:val="18"/>
                <w:szCs w:val="18"/>
              </w:rPr>
            </w:pPr>
          </w:p>
        </w:tc>
      </w:tr>
      <w:tr w:rsidR="00A16F01" w14:paraId="747662E6" w14:textId="33B6633B" w:rsidTr="00726979">
        <w:tc>
          <w:tcPr>
            <w:tcW w:w="1696" w:type="dxa"/>
          </w:tcPr>
          <w:p w14:paraId="62C3007B" w14:textId="28D72352" w:rsidR="00A16F01" w:rsidRDefault="00A16F01" w:rsidP="00562C83">
            <w:pPr>
              <w:rPr>
                <w:sz w:val="18"/>
                <w:szCs w:val="18"/>
              </w:rPr>
            </w:pPr>
            <w:r>
              <w:rPr>
                <w:sz w:val="18"/>
                <w:szCs w:val="18"/>
              </w:rPr>
              <w:t>Court DVO</w:t>
            </w:r>
          </w:p>
          <w:p w14:paraId="7435B5C7" w14:textId="6CD85A2E" w:rsidR="00A16F01" w:rsidRPr="00F237D1" w:rsidRDefault="00A16F01" w:rsidP="00562C83">
            <w:pPr>
              <w:rPr>
                <w:sz w:val="18"/>
                <w:szCs w:val="18"/>
              </w:rPr>
            </w:pPr>
            <w:r>
              <w:rPr>
                <w:sz w:val="18"/>
                <w:szCs w:val="18"/>
              </w:rPr>
              <w:t>A</w:t>
            </w:r>
            <w:r w:rsidRPr="00F237D1">
              <w:rPr>
                <w:sz w:val="18"/>
                <w:szCs w:val="18"/>
              </w:rPr>
              <w:t xml:space="preserve">pplication </w:t>
            </w:r>
            <w:r w:rsidR="00F73808">
              <w:rPr>
                <w:sz w:val="18"/>
                <w:szCs w:val="18"/>
              </w:rPr>
              <w:t>(</w:t>
            </w:r>
            <w:r w:rsidRPr="00F237D1">
              <w:rPr>
                <w:sz w:val="18"/>
                <w:szCs w:val="18"/>
              </w:rPr>
              <w:t>s28 or 29</w:t>
            </w:r>
            <w:r w:rsidR="00F73808">
              <w:rPr>
                <w:sz w:val="18"/>
                <w:szCs w:val="18"/>
              </w:rPr>
              <w:t>)</w:t>
            </w:r>
          </w:p>
        </w:tc>
        <w:tc>
          <w:tcPr>
            <w:tcW w:w="1701" w:type="dxa"/>
          </w:tcPr>
          <w:p w14:paraId="4B8B8628" w14:textId="7B783129" w:rsidR="00A16F01" w:rsidRPr="00F237D1" w:rsidRDefault="00A16F01" w:rsidP="00E92D94">
            <w:pPr>
              <w:rPr>
                <w:sz w:val="18"/>
                <w:szCs w:val="18"/>
              </w:rPr>
            </w:pPr>
            <w:r w:rsidRPr="00F237D1">
              <w:rPr>
                <w:sz w:val="18"/>
                <w:szCs w:val="18"/>
              </w:rPr>
              <w:t xml:space="preserve">Interim Court DVO </w:t>
            </w:r>
            <w:r>
              <w:rPr>
                <w:sz w:val="18"/>
                <w:szCs w:val="18"/>
              </w:rPr>
              <w:t xml:space="preserve">is made </w:t>
            </w:r>
            <w:r w:rsidRPr="00F237D1">
              <w:rPr>
                <w:sz w:val="18"/>
                <w:szCs w:val="18"/>
              </w:rPr>
              <w:t>under s35</w:t>
            </w:r>
          </w:p>
        </w:tc>
        <w:tc>
          <w:tcPr>
            <w:tcW w:w="1560" w:type="dxa"/>
          </w:tcPr>
          <w:p w14:paraId="2AD153D8" w14:textId="0DDAEC83" w:rsidR="006970B5" w:rsidRDefault="00A16F01" w:rsidP="00E92D94">
            <w:pPr>
              <w:rPr>
                <w:sz w:val="18"/>
                <w:szCs w:val="18"/>
              </w:rPr>
            </w:pPr>
            <w:r w:rsidRPr="00F237D1">
              <w:rPr>
                <w:sz w:val="18"/>
                <w:szCs w:val="18"/>
              </w:rPr>
              <w:t>Part 2.8</w:t>
            </w:r>
          </w:p>
          <w:p w14:paraId="42A697E7" w14:textId="5735BE01" w:rsidR="006970B5" w:rsidRPr="00F237D1" w:rsidRDefault="00454BC1" w:rsidP="00E92D94">
            <w:pPr>
              <w:rPr>
                <w:sz w:val="18"/>
                <w:szCs w:val="18"/>
              </w:rPr>
            </w:pPr>
            <w:r>
              <w:rPr>
                <w:sz w:val="18"/>
                <w:szCs w:val="18"/>
              </w:rPr>
              <w:t xml:space="preserve">(Note: </w:t>
            </w:r>
            <w:r w:rsidR="006970B5">
              <w:rPr>
                <w:sz w:val="18"/>
                <w:szCs w:val="18"/>
              </w:rPr>
              <w:t>Court can make an interim variation order under s52A until the application is decided</w:t>
            </w:r>
            <w:r>
              <w:rPr>
                <w:sz w:val="18"/>
                <w:szCs w:val="18"/>
              </w:rPr>
              <w:t>)</w:t>
            </w:r>
          </w:p>
        </w:tc>
        <w:tc>
          <w:tcPr>
            <w:tcW w:w="1984" w:type="dxa"/>
          </w:tcPr>
          <w:p w14:paraId="27612324" w14:textId="07944238" w:rsidR="00A16F01" w:rsidRPr="00F237D1" w:rsidRDefault="00A16F01" w:rsidP="00562C83">
            <w:pPr>
              <w:rPr>
                <w:sz w:val="18"/>
                <w:szCs w:val="18"/>
              </w:rPr>
            </w:pPr>
            <w:r w:rsidRPr="00F237D1">
              <w:rPr>
                <w:sz w:val="18"/>
                <w:szCs w:val="18"/>
              </w:rPr>
              <w:t>Part 2.10 – Confirmation hearing</w:t>
            </w:r>
          </w:p>
          <w:p w14:paraId="548DDD31" w14:textId="77777777" w:rsidR="00A16F01" w:rsidRPr="00F237D1" w:rsidRDefault="00A16F01" w:rsidP="00562C83">
            <w:pPr>
              <w:rPr>
                <w:sz w:val="18"/>
                <w:szCs w:val="18"/>
              </w:rPr>
            </w:pPr>
            <w:r w:rsidRPr="00F237D1">
              <w:rPr>
                <w:sz w:val="18"/>
                <w:szCs w:val="18"/>
              </w:rPr>
              <w:t>Part 2.7 – After a finding/plea of guilt</w:t>
            </w:r>
          </w:p>
          <w:p w14:paraId="0C1E5DED" w14:textId="616B74B8" w:rsidR="00A16F01" w:rsidRPr="00F237D1" w:rsidRDefault="00A16F01" w:rsidP="00562C83">
            <w:pPr>
              <w:rPr>
                <w:sz w:val="18"/>
                <w:szCs w:val="18"/>
              </w:rPr>
            </w:pPr>
            <w:r w:rsidRPr="00F237D1">
              <w:rPr>
                <w:sz w:val="18"/>
                <w:szCs w:val="18"/>
              </w:rPr>
              <w:t>Part 2.5 – With consent</w:t>
            </w:r>
          </w:p>
        </w:tc>
        <w:tc>
          <w:tcPr>
            <w:tcW w:w="1276" w:type="dxa"/>
            <w:vMerge/>
          </w:tcPr>
          <w:p w14:paraId="1AE7D340" w14:textId="77777777" w:rsidR="00A16F01" w:rsidRPr="00F237D1" w:rsidRDefault="00A16F01" w:rsidP="00562C83">
            <w:pPr>
              <w:rPr>
                <w:sz w:val="18"/>
                <w:szCs w:val="18"/>
              </w:rPr>
            </w:pPr>
          </w:p>
        </w:tc>
        <w:tc>
          <w:tcPr>
            <w:tcW w:w="1701" w:type="dxa"/>
            <w:vMerge/>
            <w:tcBorders>
              <w:bottom w:val="single" w:sz="4" w:space="0" w:color="auto"/>
            </w:tcBorders>
          </w:tcPr>
          <w:p w14:paraId="770995B0" w14:textId="77777777" w:rsidR="00A16F01" w:rsidRPr="00F237D1" w:rsidRDefault="00A16F01" w:rsidP="00562C83">
            <w:pPr>
              <w:rPr>
                <w:sz w:val="18"/>
                <w:szCs w:val="18"/>
              </w:rPr>
            </w:pPr>
          </w:p>
        </w:tc>
      </w:tr>
    </w:tbl>
    <w:p w14:paraId="5ACF74B4" w14:textId="3C275874" w:rsidR="00A16F01" w:rsidRDefault="00A16F01" w:rsidP="00A16F01">
      <w:pPr>
        <w:rPr>
          <w:lang w:eastAsia="en-AU"/>
        </w:rPr>
      </w:pPr>
    </w:p>
    <w:p w14:paraId="439107AD" w14:textId="77777777" w:rsidR="00FA4FCF" w:rsidRPr="00B83C0C" w:rsidRDefault="00FA4FCF" w:rsidP="00025605">
      <w:pPr>
        <w:pStyle w:val="Heading4"/>
        <w:rPr>
          <w:lang w:eastAsia="en-AU"/>
        </w:rPr>
      </w:pPr>
      <w:r w:rsidRPr="00683178">
        <w:t>Definition</w:t>
      </w:r>
      <w:r w:rsidRPr="00B83C0C">
        <w:rPr>
          <w:lang w:eastAsia="en-AU"/>
        </w:rPr>
        <w:t xml:space="preserve"> of domestic violence</w:t>
      </w:r>
    </w:p>
    <w:p w14:paraId="2DE050F0" w14:textId="103C01F0" w:rsidR="00FA4FCF" w:rsidRDefault="00FA4FCF" w:rsidP="009C1B7F">
      <w:pPr>
        <w:spacing w:after="120"/>
        <w:rPr>
          <w:lang w:eastAsia="en-AU"/>
        </w:rPr>
      </w:pPr>
      <w:r>
        <w:rPr>
          <w:lang w:eastAsia="en-AU"/>
        </w:rPr>
        <w:t xml:space="preserve">Domestic violence </w:t>
      </w:r>
      <w:r w:rsidR="007867C7">
        <w:rPr>
          <w:lang w:eastAsia="en-AU"/>
        </w:rPr>
        <w:t xml:space="preserve">is </w:t>
      </w:r>
      <w:r>
        <w:rPr>
          <w:lang w:eastAsia="en-AU"/>
        </w:rPr>
        <w:t>defined in section 5 of the DFV</w:t>
      </w:r>
      <w:r w:rsidR="009C1B7F">
        <w:rPr>
          <w:lang w:eastAsia="en-AU"/>
        </w:rPr>
        <w:t> </w:t>
      </w:r>
      <w:r>
        <w:rPr>
          <w:lang w:eastAsia="en-AU"/>
        </w:rPr>
        <w:t>A</w:t>
      </w:r>
      <w:r w:rsidR="009C1B7F">
        <w:rPr>
          <w:lang w:eastAsia="en-AU"/>
        </w:rPr>
        <w:t>ct</w:t>
      </w:r>
      <w:r>
        <w:rPr>
          <w:lang w:eastAsia="en-AU"/>
        </w:rPr>
        <w:t xml:space="preserve"> as any of the following conduct committed by a person against someone with whom the person is in a domestic relationship:</w:t>
      </w:r>
    </w:p>
    <w:p w14:paraId="118DDFE8" w14:textId="51C1EC0E" w:rsidR="00FA4FCF" w:rsidRDefault="009C1B7F" w:rsidP="0067521E">
      <w:pPr>
        <w:pStyle w:val="ListParagraph"/>
        <w:numPr>
          <w:ilvl w:val="0"/>
          <w:numId w:val="69"/>
        </w:numPr>
        <w:ind w:left="1134" w:hanging="567"/>
        <w:rPr>
          <w:lang w:eastAsia="en-AU"/>
        </w:rPr>
      </w:pPr>
      <w:r>
        <w:rPr>
          <w:lang w:eastAsia="en-AU"/>
        </w:rPr>
        <w:t xml:space="preserve">conduct </w:t>
      </w:r>
      <w:r w:rsidR="00FA4FCF">
        <w:rPr>
          <w:lang w:eastAsia="en-AU"/>
        </w:rPr>
        <w:t>causing harm</w:t>
      </w:r>
      <w:r>
        <w:rPr>
          <w:lang w:eastAsia="en-AU"/>
        </w:rPr>
        <w:t>;</w:t>
      </w:r>
    </w:p>
    <w:p w14:paraId="0AD37D29" w14:textId="0483678B" w:rsidR="00FA4FCF" w:rsidRDefault="009C1B7F" w:rsidP="0067521E">
      <w:pPr>
        <w:pStyle w:val="ListParagraph"/>
        <w:numPr>
          <w:ilvl w:val="0"/>
          <w:numId w:val="69"/>
        </w:numPr>
        <w:ind w:left="1134" w:hanging="567"/>
        <w:rPr>
          <w:lang w:eastAsia="en-AU"/>
        </w:rPr>
      </w:pPr>
      <w:r>
        <w:rPr>
          <w:lang w:eastAsia="en-AU"/>
        </w:rPr>
        <w:t xml:space="preserve">damaging </w:t>
      </w:r>
      <w:r w:rsidR="00FA4FCF">
        <w:rPr>
          <w:lang w:eastAsia="en-AU"/>
        </w:rPr>
        <w:t>property, including the injury or death of an animal</w:t>
      </w:r>
      <w:r>
        <w:rPr>
          <w:lang w:eastAsia="en-AU"/>
        </w:rPr>
        <w:t>;</w:t>
      </w:r>
    </w:p>
    <w:p w14:paraId="6E753202" w14:textId="4752056F" w:rsidR="00FA4FCF" w:rsidRDefault="009C1B7F" w:rsidP="0067521E">
      <w:pPr>
        <w:pStyle w:val="ListParagraph"/>
        <w:numPr>
          <w:ilvl w:val="0"/>
          <w:numId w:val="69"/>
        </w:numPr>
        <w:ind w:left="1134" w:hanging="567"/>
        <w:rPr>
          <w:lang w:eastAsia="en-AU"/>
        </w:rPr>
      </w:pPr>
      <w:r>
        <w:rPr>
          <w:lang w:eastAsia="en-AU"/>
        </w:rPr>
        <w:t>intimidation;</w:t>
      </w:r>
    </w:p>
    <w:p w14:paraId="210C65B3" w14:textId="73B58AA0" w:rsidR="00FA4FCF" w:rsidRDefault="009C1B7F" w:rsidP="0067521E">
      <w:pPr>
        <w:pStyle w:val="ListParagraph"/>
        <w:numPr>
          <w:ilvl w:val="0"/>
          <w:numId w:val="69"/>
        </w:numPr>
        <w:ind w:left="1134" w:hanging="567"/>
        <w:rPr>
          <w:lang w:eastAsia="en-AU"/>
        </w:rPr>
      </w:pPr>
      <w:r>
        <w:rPr>
          <w:lang w:eastAsia="en-AU"/>
        </w:rPr>
        <w:t>stalking;</w:t>
      </w:r>
    </w:p>
    <w:p w14:paraId="73A637F3" w14:textId="3D29077C" w:rsidR="00FA4FCF" w:rsidRDefault="009C1B7F" w:rsidP="0067521E">
      <w:pPr>
        <w:pStyle w:val="ListParagraph"/>
        <w:numPr>
          <w:ilvl w:val="0"/>
          <w:numId w:val="69"/>
        </w:numPr>
        <w:ind w:left="1134" w:hanging="567"/>
        <w:rPr>
          <w:lang w:eastAsia="en-AU"/>
        </w:rPr>
      </w:pPr>
      <w:r>
        <w:rPr>
          <w:lang w:eastAsia="en-AU"/>
        </w:rPr>
        <w:t xml:space="preserve">economic </w:t>
      </w:r>
      <w:r w:rsidR="00FA4FCF">
        <w:rPr>
          <w:lang w:eastAsia="en-AU"/>
        </w:rPr>
        <w:t>abuse</w:t>
      </w:r>
      <w:r>
        <w:rPr>
          <w:lang w:eastAsia="en-AU"/>
        </w:rPr>
        <w:t>;</w:t>
      </w:r>
    </w:p>
    <w:p w14:paraId="4ABD60C2" w14:textId="430BEE3C" w:rsidR="00FA4FCF" w:rsidRDefault="009C1B7F" w:rsidP="0067521E">
      <w:pPr>
        <w:pStyle w:val="ListParagraph"/>
        <w:numPr>
          <w:ilvl w:val="0"/>
          <w:numId w:val="69"/>
        </w:numPr>
        <w:spacing w:after="200"/>
        <w:ind w:left="1134" w:hanging="567"/>
        <w:rPr>
          <w:lang w:eastAsia="en-AU"/>
        </w:rPr>
      </w:pPr>
      <w:r>
        <w:rPr>
          <w:lang w:eastAsia="en-AU"/>
        </w:rPr>
        <w:t xml:space="preserve">attempting </w:t>
      </w:r>
      <w:r w:rsidR="00FA4FCF">
        <w:rPr>
          <w:lang w:eastAsia="en-AU"/>
        </w:rPr>
        <w:t>or threatening to commit conduct mentioned in paragraphs (a) to (e).</w:t>
      </w:r>
    </w:p>
    <w:p w14:paraId="5E35D980" w14:textId="3C540D62" w:rsidR="00FA4FCF" w:rsidRDefault="00FA4FCF" w:rsidP="00FA4FCF">
      <w:pPr>
        <w:rPr>
          <w:lang w:eastAsia="en-AU"/>
        </w:rPr>
      </w:pPr>
      <w:r w:rsidRPr="002B1C9B">
        <w:rPr>
          <w:lang w:eastAsia="en-AU"/>
        </w:rPr>
        <w:t>Th</w:t>
      </w:r>
      <w:r>
        <w:rPr>
          <w:lang w:eastAsia="en-AU"/>
        </w:rPr>
        <w:t>is definition</w:t>
      </w:r>
      <w:r w:rsidRPr="002B1C9B">
        <w:rPr>
          <w:lang w:eastAsia="en-AU"/>
        </w:rPr>
        <w:t xml:space="preserve"> is outdated and needs to be mod</w:t>
      </w:r>
      <w:r>
        <w:rPr>
          <w:lang w:eastAsia="en-AU"/>
        </w:rPr>
        <w:t>ernised</w:t>
      </w:r>
      <w:r w:rsidRPr="002B1C9B">
        <w:rPr>
          <w:lang w:eastAsia="en-AU"/>
        </w:rPr>
        <w:t>.</w:t>
      </w:r>
      <w:r w:rsidR="009C1B7F">
        <w:rPr>
          <w:lang w:eastAsia="en-AU"/>
        </w:rPr>
        <w:t xml:space="preserve"> </w:t>
      </w:r>
      <w:r>
        <w:rPr>
          <w:lang w:eastAsia="en-AU"/>
        </w:rPr>
        <w:t xml:space="preserve"> It does</w:t>
      </w:r>
      <w:r w:rsidR="009C1B7F">
        <w:rPr>
          <w:lang w:eastAsia="en-AU"/>
        </w:rPr>
        <w:t xml:space="preserve"> </w:t>
      </w:r>
      <w:r>
        <w:rPr>
          <w:lang w:eastAsia="en-AU"/>
        </w:rPr>
        <w:t>n</w:t>
      </w:r>
      <w:r w:rsidR="009C1B7F">
        <w:rPr>
          <w:lang w:eastAsia="en-AU"/>
        </w:rPr>
        <w:t>o</w:t>
      </w:r>
      <w:r>
        <w:rPr>
          <w:lang w:eastAsia="en-AU"/>
        </w:rPr>
        <w:t xml:space="preserve">t accord with current understanding about the nature of DFV, and particularly the central role played by coercive control and non-physical forms of abuse.  It also relies on the </w:t>
      </w:r>
      <w:r w:rsidR="00213F99">
        <w:rPr>
          <w:lang w:eastAsia="en-AU"/>
        </w:rPr>
        <w:t>concept</w:t>
      </w:r>
      <w:r>
        <w:rPr>
          <w:lang w:eastAsia="en-AU"/>
        </w:rPr>
        <w:t xml:space="preserve"> of harm </w:t>
      </w:r>
      <w:r w:rsidR="00213F99">
        <w:rPr>
          <w:lang w:eastAsia="en-AU"/>
        </w:rPr>
        <w:t xml:space="preserve">as </w:t>
      </w:r>
      <w:r>
        <w:rPr>
          <w:lang w:eastAsia="en-AU"/>
        </w:rPr>
        <w:t>defined in the Criminal Code which does</w:t>
      </w:r>
      <w:r w:rsidR="009C1B7F">
        <w:rPr>
          <w:lang w:eastAsia="en-AU"/>
        </w:rPr>
        <w:t xml:space="preserve"> </w:t>
      </w:r>
      <w:r>
        <w:rPr>
          <w:lang w:eastAsia="en-AU"/>
        </w:rPr>
        <w:t>n</w:t>
      </w:r>
      <w:r w:rsidR="009C1B7F">
        <w:rPr>
          <w:lang w:eastAsia="en-AU"/>
        </w:rPr>
        <w:t>o</w:t>
      </w:r>
      <w:r>
        <w:rPr>
          <w:lang w:eastAsia="en-AU"/>
        </w:rPr>
        <w:t>t explicitly include the types of cumulative harm</w:t>
      </w:r>
      <w:r w:rsidR="007867C7">
        <w:rPr>
          <w:lang w:eastAsia="en-AU"/>
        </w:rPr>
        <w:t>s which are</w:t>
      </w:r>
      <w:r>
        <w:rPr>
          <w:lang w:eastAsia="en-AU"/>
        </w:rPr>
        <w:t xml:space="preserve"> common in DFV.</w:t>
      </w:r>
      <w:r w:rsidR="00213F99">
        <w:rPr>
          <w:lang w:eastAsia="en-AU"/>
        </w:rPr>
        <w:t xml:space="preserve"> </w:t>
      </w:r>
    </w:p>
    <w:p w14:paraId="52E5FA56" w14:textId="77294945" w:rsidR="00FA4FCF" w:rsidRDefault="00F44936" w:rsidP="009C1B7F">
      <w:pPr>
        <w:rPr>
          <w:lang w:eastAsia="en-AU"/>
        </w:rPr>
      </w:pPr>
      <w:r>
        <w:rPr>
          <w:lang w:eastAsia="en-AU"/>
        </w:rPr>
        <w:t>The ALRC Report recommended</w:t>
      </w:r>
      <w:r w:rsidR="00FA4FCF" w:rsidRPr="002B1C9B">
        <w:rPr>
          <w:lang w:eastAsia="en-AU"/>
        </w:rPr>
        <w:t xml:space="preserve"> a definition along the lines of the definition in Victoria’s </w:t>
      </w:r>
      <w:r w:rsidR="00FA4FCF" w:rsidRPr="002B1C9B">
        <w:rPr>
          <w:i/>
          <w:lang w:eastAsia="en-AU"/>
        </w:rPr>
        <w:t>Family Violence Protection Act 2008</w:t>
      </w:r>
      <w:r w:rsidR="00FA4FCF">
        <w:rPr>
          <w:i/>
          <w:lang w:eastAsia="en-AU"/>
        </w:rPr>
        <w:t xml:space="preserve"> </w:t>
      </w:r>
      <w:r w:rsidR="00FA4FCF">
        <w:rPr>
          <w:lang w:eastAsia="en-AU"/>
        </w:rPr>
        <w:t>(see ALRC Recommend</w:t>
      </w:r>
      <w:r w:rsidR="00FA4FCF" w:rsidRPr="00CD2DEB">
        <w:rPr>
          <w:lang w:eastAsia="en-AU"/>
        </w:rPr>
        <w:t>ation 6-1).</w:t>
      </w:r>
      <w:r w:rsidR="00FA4FCF">
        <w:rPr>
          <w:rStyle w:val="FootnoteReference"/>
          <w:lang w:eastAsia="en-AU"/>
        </w:rPr>
        <w:footnoteReference w:id="157"/>
      </w:r>
      <w:r w:rsidR="00FA4FCF">
        <w:rPr>
          <w:lang w:eastAsia="en-AU"/>
        </w:rPr>
        <w:t xml:space="preserve">  The Law Council of Australia has recently adopted a model definition along the lines of </w:t>
      </w:r>
      <w:r w:rsidR="00A94525">
        <w:rPr>
          <w:lang w:eastAsia="en-AU"/>
        </w:rPr>
        <w:t xml:space="preserve">the </w:t>
      </w:r>
      <w:r w:rsidR="00FA4FCF">
        <w:rPr>
          <w:lang w:eastAsia="en-AU"/>
        </w:rPr>
        <w:t>Victoria</w:t>
      </w:r>
      <w:r w:rsidR="00A94525">
        <w:rPr>
          <w:lang w:eastAsia="en-AU"/>
        </w:rPr>
        <w:t>n</w:t>
      </w:r>
      <w:r w:rsidR="00824790">
        <w:rPr>
          <w:lang w:eastAsia="en-AU"/>
        </w:rPr>
        <w:t xml:space="preserve"> definition</w:t>
      </w:r>
      <w:r>
        <w:rPr>
          <w:lang w:eastAsia="en-AU"/>
        </w:rPr>
        <w:t>, with some additional examples</w:t>
      </w:r>
      <w:r w:rsidR="00FA4FCF">
        <w:rPr>
          <w:lang w:eastAsia="en-AU"/>
        </w:rPr>
        <w:t>.</w:t>
      </w:r>
      <w:r w:rsidR="00FA4FCF">
        <w:rPr>
          <w:rStyle w:val="FootnoteReference"/>
          <w:lang w:eastAsia="en-AU"/>
        </w:rPr>
        <w:footnoteReference w:id="158"/>
      </w:r>
    </w:p>
    <w:p w14:paraId="67C77B52" w14:textId="6B41B97E" w:rsidR="00C06BC1" w:rsidRDefault="00C06BC1" w:rsidP="00FA4FCF">
      <w:pPr>
        <w:rPr>
          <w:lang w:eastAsia="en-AU"/>
        </w:rPr>
      </w:pPr>
      <w:r>
        <w:rPr>
          <w:lang w:eastAsia="en-AU"/>
        </w:rPr>
        <w:t>It is proposed to provide a clear modern definition of DFV that accords with current understanding of the nature of DFV, and incorporates coercive control.</w:t>
      </w:r>
      <w:r>
        <w:rPr>
          <w:rStyle w:val="FootnoteReference"/>
          <w:lang w:eastAsia="en-AU"/>
        </w:rPr>
        <w:footnoteReference w:id="159"/>
      </w:r>
    </w:p>
    <w:p w14:paraId="19F48353" w14:textId="629F11BD" w:rsidR="00C06BC1" w:rsidRPr="00C06BC1" w:rsidRDefault="00C06BC1" w:rsidP="00254808">
      <w:pPr>
        <w:pStyle w:val="Heading4"/>
        <w:keepNext/>
        <w:numPr>
          <w:ilvl w:val="0"/>
          <w:numId w:val="0"/>
        </w:numPr>
        <w:spacing w:after="0" w:line="259" w:lineRule="auto"/>
        <w:ind w:left="862" w:hanging="862"/>
        <w:rPr>
          <w:lang w:eastAsia="en-AU"/>
        </w:rPr>
      </w:pPr>
      <w:r w:rsidRPr="00C06BC1">
        <w:rPr>
          <w:lang w:eastAsia="en-AU"/>
        </w:rPr>
        <w:lastRenderedPageBreak/>
        <w:t xml:space="preserve">PROPOSAL </w:t>
      </w:r>
      <w:r w:rsidR="001804B8">
        <w:rPr>
          <w:lang w:eastAsia="en-AU"/>
        </w:rPr>
        <w:t xml:space="preserve">LR </w:t>
      </w:r>
      <w:r w:rsidRPr="00C06BC1">
        <w:rPr>
          <w:lang w:eastAsia="en-AU"/>
        </w:rPr>
        <w:t>5</w:t>
      </w:r>
    </w:p>
    <w:p w14:paraId="2C13A4DF" w14:textId="397E0541" w:rsidR="00FA4FCF" w:rsidRDefault="00FA4FCF" w:rsidP="00254808">
      <w:pPr>
        <w:spacing w:line="259" w:lineRule="auto"/>
        <w:rPr>
          <w:b/>
          <w:bCs/>
          <w:lang w:eastAsia="en-AU"/>
        </w:rPr>
      </w:pPr>
      <w:r w:rsidRPr="00C06BC1">
        <w:rPr>
          <w:b/>
          <w:bCs/>
          <w:lang w:eastAsia="en-AU"/>
        </w:rPr>
        <w:t xml:space="preserve">It is proposed that </w:t>
      </w:r>
      <w:r w:rsidR="00824790">
        <w:rPr>
          <w:b/>
          <w:bCs/>
          <w:lang w:eastAsia="en-AU"/>
        </w:rPr>
        <w:t xml:space="preserve">the </w:t>
      </w:r>
      <w:r w:rsidRPr="00C06BC1">
        <w:rPr>
          <w:b/>
          <w:bCs/>
          <w:lang w:eastAsia="en-AU"/>
        </w:rPr>
        <w:t>DFV</w:t>
      </w:r>
      <w:r w:rsidR="009C1B7F">
        <w:rPr>
          <w:b/>
          <w:bCs/>
          <w:lang w:eastAsia="en-AU"/>
        </w:rPr>
        <w:t> </w:t>
      </w:r>
      <w:r w:rsidRPr="00C06BC1">
        <w:rPr>
          <w:b/>
          <w:bCs/>
          <w:lang w:eastAsia="en-AU"/>
        </w:rPr>
        <w:t>A</w:t>
      </w:r>
      <w:r w:rsidR="009C1B7F">
        <w:rPr>
          <w:b/>
          <w:bCs/>
          <w:lang w:eastAsia="en-AU"/>
        </w:rPr>
        <w:t>ct</w:t>
      </w:r>
      <w:r w:rsidRPr="00C06BC1">
        <w:rPr>
          <w:b/>
          <w:bCs/>
          <w:lang w:eastAsia="en-AU"/>
        </w:rPr>
        <w:t xml:space="preserve"> be amended so that</w:t>
      </w:r>
      <w:r w:rsidR="00F44936">
        <w:rPr>
          <w:b/>
          <w:bCs/>
          <w:lang w:eastAsia="en-AU"/>
        </w:rPr>
        <w:t xml:space="preserve"> </w:t>
      </w:r>
      <w:r w:rsidRPr="00C06BC1">
        <w:rPr>
          <w:b/>
          <w:bCs/>
          <w:lang w:eastAsia="en-AU"/>
        </w:rPr>
        <w:t>the definition</w:t>
      </w:r>
      <w:r w:rsidR="007D7D8E">
        <w:rPr>
          <w:b/>
          <w:bCs/>
          <w:lang w:eastAsia="en-AU"/>
        </w:rPr>
        <w:t>s of domestic violence</w:t>
      </w:r>
      <w:r w:rsidR="00F44936">
        <w:rPr>
          <w:b/>
          <w:bCs/>
          <w:lang w:eastAsia="en-AU"/>
        </w:rPr>
        <w:t>, economic abuse and emotional and psychological abuse</w:t>
      </w:r>
      <w:r w:rsidR="007D7D8E">
        <w:rPr>
          <w:b/>
          <w:bCs/>
          <w:lang w:eastAsia="en-AU"/>
        </w:rPr>
        <w:t xml:space="preserve"> are</w:t>
      </w:r>
      <w:r w:rsidRPr="00C06BC1">
        <w:rPr>
          <w:b/>
          <w:bCs/>
          <w:lang w:eastAsia="en-AU"/>
        </w:rPr>
        <w:t xml:space="preserve"> modernised along the lines of the </w:t>
      </w:r>
      <w:r w:rsidR="00F44936">
        <w:rPr>
          <w:b/>
          <w:bCs/>
          <w:lang w:eastAsia="en-AU"/>
        </w:rPr>
        <w:t xml:space="preserve">Model Definition of Family Violence adopted by the Law Council of Australia (noting that this is substantially similar to the definitions </w:t>
      </w:r>
      <w:r w:rsidRPr="00C06BC1">
        <w:rPr>
          <w:b/>
          <w:bCs/>
          <w:lang w:eastAsia="en-AU"/>
        </w:rPr>
        <w:t>set out in section</w:t>
      </w:r>
      <w:r w:rsidR="009C1B7F">
        <w:rPr>
          <w:b/>
          <w:bCs/>
          <w:lang w:eastAsia="en-AU"/>
        </w:rPr>
        <w:t>s</w:t>
      </w:r>
      <w:r w:rsidRPr="00C06BC1">
        <w:rPr>
          <w:b/>
          <w:bCs/>
          <w:lang w:eastAsia="en-AU"/>
        </w:rPr>
        <w:t xml:space="preserve"> 5</w:t>
      </w:r>
      <w:r w:rsidR="00F44936">
        <w:rPr>
          <w:b/>
          <w:bCs/>
          <w:lang w:eastAsia="en-AU"/>
        </w:rPr>
        <w:t>, 6 and 7</w:t>
      </w:r>
      <w:r w:rsidRPr="00C06BC1">
        <w:rPr>
          <w:b/>
          <w:bCs/>
          <w:lang w:eastAsia="en-AU"/>
        </w:rPr>
        <w:t xml:space="preserve"> of the </w:t>
      </w:r>
      <w:r w:rsidRPr="00C06BC1">
        <w:rPr>
          <w:b/>
          <w:bCs/>
          <w:i/>
          <w:lang w:eastAsia="en-AU"/>
        </w:rPr>
        <w:t>Family Violence Protection Act 2008</w:t>
      </w:r>
      <w:r w:rsidR="00F44936">
        <w:rPr>
          <w:b/>
          <w:bCs/>
          <w:lang w:eastAsia="en-AU"/>
        </w:rPr>
        <w:t xml:space="preserve"> (Vic) with some additional examples).</w:t>
      </w:r>
    </w:p>
    <w:p w14:paraId="505F30F8" w14:textId="71E19A19" w:rsidR="009F57CA" w:rsidRDefault="007D7D8E" w:rsidP="009F57CA">
      <w:pPr>
        <w:rPr>
          <w:bCs/>
          <w:lang w:eastAsia="en-AU"/>
        </w:rPr>
      </w:pPr>
      <w:r w:rsidRPr="007D7D8E">
        <w:rPr>
          <w:bCs/>
          <w:lang w:eastAsia="en-AU"/>
        </w:rPr>
        <w:t xml:space="preserve">The Law Council of Australia’s definition is provided in </w:t>
      </w:r>
      <w:r w:rsidR="008A4C9F">
        <w:rPr>
          <w:bCs/>
          <w:lang w:eastAsia="en-AU"/>
        </w:rPr>
        <w:t>Attachment 7</w:t>
      </w:r>
      <w:r w:rsidRPr="009C1B7F">
        <w:rPr>
          <w:bCs/>
          <w:lang w:eastAsia="en-AU"/>
        </w:rPr>
        <w:t>.4.</w:t>
      </w:r>
    </w:p>
    <w:p w14:paraId="4AA579F7" w14:textId="3813CB0A" w:rsidR="009F57CA" w:rsidRDefault="009F57CA" w:rsidP="009F57CA">
      <w:pPr>
        <w:rPr>
          <w:bCs/>
          <w:lang w:eastAsia="en-AU"/>
        </w:rPr>
      </w:pPr>
      <w:r>
        <w:rPr>
          <w:bCs/>
          <w:lang w:eastAsia="en-AU"/>
        </w:rPr>
        <w:t>It is important to note that a</w:t>
      </w:r>
      <w:r w:rsidR="0029534E" w:rsidRPr="009F57CA">
        <w:rPr>
          <w:bCs/>
          <w:lang w:eastAsia="en-AU"/>
        </w:rPr>
        <w:t xml:space="preserve">mongst the examples </w:t>
      </w:r>
      <w:r>
        <w:rPr>
          <w:bCs/>
          <w:lang w:eastAsia="en-AU"/>
        </w:rPr>
        <w:t xml:space="preserve">provided in the Law Council Model Definition is that the following behaviour may constitute DFV: </w:t>
      </w:r>
    </w:p>
    <w:p w14:paraId="77FD32D6" w14:textId="77777777" w:rsidR="009F57CA" w:rsidRPr="009F57CA" w:rsidRDefault="009F57CA" w:rsidP="0067521E">
      <w:pPr>
        <w:pStyle w:val="ListParagraph"/>
        <w:widowControl w:val="0"/>
        <w:numPr>
          <w:ilvl w:val="0"/>
          <w:numId w:val="164"/>
        </w:numPr>
        <w:tabs>
          <w:tab w:val="left" w:pos="2370"/>
          <w:tab w:val="left" w:pos="2371"/>
        </w:tabs>
        <w:autoSpaceDE w:val="0"/>
        <w:autoSpaceDN w:val="0"/>
        <w:spacing w:before="120" w:after="0"/>
        <w:ind w:left="993" w:right="121" w:hanging="425"/>
      </w:pPr>
      <w:r w:rsidRPr="009F57CA">
        <w:t>using</w:t>
      </w:r>
      <w:r w:rsidRPr="009F57CA">
        <w:rPr>
          <w:spacing w:val="25"/>
        </w:rPr>
        <w:t xml:space="preserve"> </w:t>
      </w:r>
      <w:r w:rsidRPr="009F57CA">
        <w:t>coercion,</w:t>
      </w:r>
      <w:r w:rsidRPr="009F57CA">
        <w:rPr>
          <w:spacing w:val="25"/>
        </w:rPr>
        <w:t xml:space="preserve"> </w:t>
      </w:r>
      <w:r w:rsidRPr="009F57CA">
        <w:t>threats,</w:t>
      </w:r>
      <w:r w:rsidRPr="009F57CA">
        <w:rPr>
          <w:spacing w:val="25"/>
        </w:rPr>
        <w:t xml:space="preserve"> </w:t>
      </w:r>
      <w:r w:rsidRPr="009F57CA">
        <w:t>physical</w:t>
      </w:r>
      <w:r w:rsidRPr="009F57CA">
        <w:rPr>
          <w:spacing w:val="25"/>
        </w:rPr>
        <w:t xml:space="preserve"> </w:t>
      </w:r>
      <w:r w:rsidRPr="009F57CA">
        <w:t>abuse</w:t>
      </w:r>
      <w:r w:rsidRPr="009F57CA">
        <w:rPr>
          <w:spacing w:val="25"/>
        </w:rPr>
        <w:t xml:space="preserve"> </w:t>
      </w:r>
      <w:r w:rsidRPr="009F57CA">
        <w:t>or</w:t>
      </w:r>
      <w:r w:rsidRPr="009F57CA">
        <w:rPr>
          <w:spacing w:val="25"/>
        </w:rPr>
        <w:t xml:space="preserve"> </w:t>
      </w:r>
      <w:r w:rsidRPr="009F57CA">
        <w:t>emotional</w:t>
      </w:r>
      <w:r w:rsidRPr="009F57CA">
        <w:rPr>
          <w:spacing w:val="23"/>
        </w:rPr>
        <w:t xml:space="preserve"> </w:t>
      </w:r>
      <w:r w:rsidRPr="009F57CA">
        <w:t>or</w:t>
      </w:r>
      <w:r w:rsidRPr="009F57CA">
        <w:rPr>
          <w:spacing w:val="25"/>
        </w:rPr>
        <w:t xml:space="preserve"> </w:t>
      </w:r>
      <w:r w:rsidRPr="009F57CA">
        <w:t>psychological</w:t>
      </w:r>
      <w:r w:rsidRPr="009F57CA">
        <w:rPr>
          <w:spacing w:val="25"/>
        </w:rPr>
        <w:t xml:space="preserve"> </w:t>
      </w:r>
      <w:r w:rsidRPr="009F57CA">
        <w:t>abuse</w:t>
      </w:r>
      <w:r w:rsidRPr="009F57CA">
        <w:rPr>
          <w:spacing w:val="25"/>
        </w:rPr>
        <w:t xml:space="preserve"> </w:t>
      </w:r>
      <w:r w:rsidRPr="009F57CA">
        <w:t>to cause or attempt to cause a person to enter into a marriage;</w:t>
      </w:r>
    </w:p>
    <w:p w14:paraId="72B3A421" w14:textId="41971AB5" w:rsidR="0029534E" w:rsidRPr="009F57CA" w:rsidRDefault="009F57CA" w:rsidP="0067521E">
      <w:pPr>
        <w:pStyle w:val="ListParagraph"/>
        <w:widowControl w:val="0"/>
        <w:numPr>
          <w:ilvl w:val="0"/>
          <w:numId w:val="164"/>
        </w:numPr>
        <w:tabs>
          <w:tab w:val="left" w:pos="2370"/>
          <w:tab w:val="left" w:pos="2371"/>
        </w:tabs>
        <w:autoSpaceDE w:val="0"/>
        <w:autoSpaceDN w:val="0"/>
        <w:spacing w:before="119" w:after="0"/>
        <w:ind w:left="993" w:right="117" w:hanging="425"/>
      </w:pPr>
      <w:r w:rsidRPr="009F57CA">
        <w:t>using</w:t>
      </w:r>
      <w:r w:rsidRPr="009F57CA">
        <w:rPr>
          <w:spacing w:val="26"/>
        </w:rPr>
        <w:t xml:space="preserve"> </w:t>
      </w:r>
      <w:r w:rsidRPr="009F57CA">
        <w:t>coercion,</w:t>
      </w:r>
      <w:r w:rsidRPr="009F57CA">
        <w:rPr>
          <w:spacing w:val="26"/>
        </w:rPr>
        <w:t xml:space="preserve"> </w:t>
      </w:r>
      <w:r w:rsidRPr="009F57CA">
        <w:t>threats,</w:t>
      </w:r>
      <w:r w:rsidRPr="009F57CA">
        <w:rPr>
          <w:spacing w:val="26"/>
        </w:rPr>
        <w:t xml:space="preserve"> </w:t>
      </w:r>
      <w:r w:rsidRPr="009F57CA">
        <w:t>physical</w:t>
      </w:r>
      <w:r w:rsidRPr="009F57CA">
        <w:rPr>
          <w:spacing w:val="26"/>
        </w:rPr>
        <w:t xml:space="preserve"> </w:t>
      </w:r>
      <w:r w:rsidRPr="009F57CA">
        <w:t>abuse</w:t>
      </w:r>
      <w:r w:rsidRPr="009F57CA">
        <w:rPr>
          <w:spacing w:val="26"/>
        </w:rPr>
        <w:t xml:space="preserve"> </w:t>
      </w:r>
      <w:r w:rsidRPr="009F57CA">
        <w:t>or</w:t>
      </w:r>
      <w:r w:rsidRPr="009F57CA">
        <w:rPr>
          <w:spacing w:val="26"/>
        </w:rPr>
        <w:t xml:space="preserve"> </w:t>
      </w:r>
      <w:r w:rsidRPr="009F57CA">
        <w:t>emotional</w:t>
      </w:r>
      <w:r w:rsidRPr="009F57CA">
        <w:rPr>
          <w:spacing w:val="24"/>
        </w:rPr>
        <w:t xml:space="preserve"> </w:t>
      </w:r>
      <w:r w:rsidRPr="009F57CA">
        <w:t>or</w:t>
      </w:r>
      <w:r w:rsidRPr="009F57CA">
        <w:rPr>
          <w:spacing w:val="26"/>
        </w:rPr>
        <w:t xml:space="preserve"> </w:t>
      </w:r>
      <w:r w:rsidRPr="009F57CA">
        <w:t>psychological</w:t>
      </w:r>
      <w:r w:rsidRPr="009F57CA">
        <w:rPr>
          <w:spacing w:val="26"/>
        </w:rPr>
        <w:t xml:space="preserve"> </w:t>
      </w:r>
      <w:r w:rsidRPr="009F57CA">
        <w:t>abuse</w:t>
      </w:r>
      <w:r w:rsidRPr="009F57CA">
        <w:rPr>
          <w:spacing w:val="26"/>
        </w:rPr>
        <w:t xml:space="preserve"> </w:t>
      </w:r>
      <w:r w:rsidRPr="009F57CA">
        <w:t>to demand or receive dowry, either before or after a marriage.</w:t>
      </w:r>
    </w:p>
    <w:p w14:paraId="294B97C9" w14:textId="77777777" w:rsidR="003E2DF3" w:rsidRDefault="003E2DF3" w:rsidP="009C1B7F">
      <w:pPr>
        <w:pStyle w:val="Heading4"/>
        <w:keepNext/>
        <w:ind w:left="862" w:hanging="862"/>
        <w:rPr>
          <w:lang w:eastAsia="en-AU"/>
        </w:rPr>
      </w:pPr>
      <w:r>
        <w:rPr>
          <w:lang w:eastAsia="en-AU"/>
        </w:rPr>
        <w:t>Definition of coercive control</w:t>
      </w:r>
    </w:p>
    <w:p w14:paraId="372A8A36" w14:textId="2F48C38F" w:rsidR="007B7D96" w:rsidRDefault="007B7D96" w:rsidP="00FA4FCF">
      <w:pPr>
        <w:rPr>
          <w:lang w:eastAsia="en-AU"/>
        </w:rPr>
      </w:pPr>
      <w:r w:rsidRPr="007B7D96">
        <w:rPr>
          <w:lang w:eastAsia="en-AU"/>
        </w:rPr>
        <w:t>The issues</w:t>
      </w:r>
      <w:r>
        <w:rPr>
          <w:lang w:eastAsia="en-AU"/>
        </w:rPr>
        <w:t xml:space="preserve"> in relation to coercive control are set out in </w:t>
      </w:r>
      <w:r w:rsidR="009C1B7F">
        <w:rPr>
          <w:lang w:eastAsia="en-AU"/>
        </w:rPr>
        <w:t xml:space="preserve">Part </w:t>
      </w:r>
      <w:r>
        <w:rPr>
          <w:lang w:eastAsia="en-AU"/>
        </w:rPr>
        <w:t>4 of this paper.</w:t>
      </w:r>
    </w:p>
    <w:p w14:paraId="43B9E787" w14:textId="5D8F6DEE" w:rsidR="00C35F2F" w:rsidRDefault="006C7B04" w:rsidP="00FA4FCF">
      <w:pPr>
        <w:rPr>
          <w:lang w:eastAsia="en-AU"/>
        </w:rPr>
      </w:pPr>
      <w:r>
        <w:rPr>
          <w:lang w:eastAsia="en-AU"/>
        </w:rPr>
        <w:t>To</w:t>
      </w:r>
      <w:r w:rsidR="008F5186">
        <w:rPr>
          <w:lang w:eastAsia="en-AU"/>
        </w:rPr>
        <w:t xml:space="preserve"> </w:t>
      </w:r>
      <w:r>
        <w:rPr>
          <w:lang w:eastAsia="en-AU"/>
        </w:rPr>
        <w:t>ensure that the concept of coercive control underpin</w:t>
      </w:r>
      <w:r w:rsidR="006E01DF">
        <w:rPr>
          <w:lang w:eastAsia="en-AU"/>
        </w:rPr>
        <w:t>s</w:t>
      </w:r>
      <w:r>
        <w:rPr>
          <w:lang w:eastAsia="en-AU"/>
        </w:rPr>
        <w:t xml:space="preserve"> the application of the DFV</w:t>
      </w:r>
      <w:r w:rsidR="009C1B7F">
        <w:rPr>
          <w:lang w:eastAsia="en-AU"/>
        </w:rPr>
        <w:t> </w:t>
      </w:r>
      <w:r>
        <w:rPr>
          <w:lang w:eastAsia="en-AU"/>
        </w:rPr>
        <w:t>A</w:t>
      </w:r>
      <w:r w:rsidR="009C1B7F">
        <w:rPr>
          <w:lang w:eastAsia="en-AU"/>
        </w:rPr>
        <w:t>ct,</w:t>
      </w:r>
      <w:r>
        <w:rPr>
          <w:lang w:eastAsia="en-AU"/>
        </w:rPr>
        <w:t xml:space="preserve"> it would be helpful to have a </w:t>
      </w:r>
      <w:r w:rsidR="006E01DF">
        <w:rPr>
          <w:lang w:eastAsia="en-AU"/>
        </w:rPr>
        <w:t xml:space="preserve">legislative </w:t>
      </w:r>
      <w:r>
        <w:rPr>
          <w:lang w:eastAsia="en-AU"/>
        </w:rPr>
        <w:t xml:space="preserve">definition of coercive control </w:t>
      </w:r>
      <w:r w:rsidR="008F5186">
        <w:rPr>
          <w:lang w:eastAsia="en-AU"/>
        </w:rPr>
        <w:t xml:space="preserve">and </w:t>
      </w:r>
      <w:r w:rsidR="006E01DF">
        <w:rPr>
          <w:lang w:eastAsia="en-AU"/>
        </w:rPr>
        <w:t xml:space="preserve">some </w:t>
      </w:r>
      <w:r w:rsidR="008F5186">
        <w:rPr>
          <w:lang w:eastAsia="en-AU"/>
        </w:rPr>
        <w:t xml:space="preserve">guidance </w:t>
      </w:r>
      <w:r w:rsidR="006E01DF">
        <w:rPr>
          <w:lang w:eastAsia="en-AU"/>
        </w:rPr>
        <w:t xml:space="preserve">for </w:t>
      </w:r>
      <w:r w:rsidR="00651E30">
        <w:rPr>
          <w:lang w:eastAsia="en-AU"/>
        </w:rPr>
        <w:t xml:space="preserve">first responders in </w:t>
      </w:r>
      <w:r w:rsidR="006E01DF">
        <w:rPr>
          <w:lang w:eastAsia="en-AU"/>
        </w:rPr>
        <w:t>applying the concept of</w:t>
      </w:r>
      <w:r w:rsidR="00651E30">
        <w:rPr>
          <w:lang w:eastAsia="en-AU"/>
        </w:rPr>
        <w:t xml:space="preserve"> coercive control</w:t>
      </w:r>
      <w:r w:rsidR="006E01DF">
        <w:rPr>
          <w:lang w:eastAsia="en-AU"/>
        </w:rPr>
        <w:t xml:space="preserve"> in DFVA proceedings.</w:t>
      </w:r>
    </w:p>
    <w:p w14:paraId="7E75CE3D" w14:textId="13696B58" w:rsidR="006C7B04" w:rsidRDefault="006C7B04" w:rsidP="00FA4FCF">
      <w:pPr>
        <w:rPr>
          <w:lang w:eastAsia="en-AU"/>
        </w:rPr>
      </w:pPr>
      <w:r>
        <w:rPr>
          <w:lang w:eastAsia="en-AU"/>
        </w:rPr>
        <w:t xml:space="preserve">The </w:t>
      </w:r>
      <w:r w:rsidR="00A94525">
        <w:rPr>
          <w:lang w:eastAsia="en-AU"/>
        </w:rPr>
        <w:t>United Kingdom</w:t>
      </w:r>
      <w:r w:rsidR="006E01DF">
        <w:rPr>
          <w:lang w:eastAsia="en-AU"/>
        </w:rPr>
        <w:t xml:space="preserve"> has a </w:t>
      </w:r>
      <w:r>
        <w:rPr>
          <w:lang w:eastAsia="en-AU"/>
        </w:rPr>
        <w:t>statutory guidance framework on coercive control</w:t>
      </w:r>
      <w:r w:rsidR="006E01DF">
        <w:rPr>
          <w:lang w:eastAsia="en-AU"/>
        </w:rPr>
        <w:t>.</w:t>
      </w:r>
      <w:r>
        <w:rPr>
          <w:rStyle w:val="FootnoteReference"/>
          <w:lang w:eastAsia="en-AU"/>
        </w:rPr>
        <w:footnoteReference w:id="160"/>
      </w:r>
      <w:r>
        <w:rPr>
          <w:lang w:eastAsia="en-AU"/>
        </w:rPr>
        <w:t xml:space="preserve"> </w:t>
      </w:r>
      <w:r w:rsidR="006E01DF">
        <w:rPr>
          <w:lang w:eastAsia="en-AU"/>
        </w:rPr>
        <w:t xml:space="preserve"> </w:t>
      </w:r>
      <w:r w:rsidR="00E06833">
        <w:rPr>
          <w:lang w:eastAsia="en-AU"/>
        </w:rPr>
        <w:t>While the UK framework is for the purpose of investigating a criminal offence of coercive controlling behaviour, a statutory guidance framework may be useful in the NT to guide the application of the DFV</w:t>
      </w:r>
      <w:r w:rsidR="009C1B7F">
        <w:rPr>
          <w:lang w:eastAsia="en-AU"/>
        </w:rPr>
        <w:t> </w:t>
      </w:r>
      <w:r w:rsidR="00E06833">
        <w:rPr>
          <w:lang w:eastAsia="en-AU"/>
        </w:rPr>
        <w:t>A</w:t>
      </w:r>
      <w:r w:rsidR="009C1B7F">
        <w:rPr>
          <w:lang w:eastAsia="en-AU"/>
        </w:rPr>
        <w:t>ct</w:t>
      </w:r>
      <w:r w:rsidR="00E06833">
        <w:rPr>
          <w:lang w:eastAsia="en-AU"/>
        </w:rPr>
        <w:t xml:space="preserve"> </w:t>
      </w:r>
      <w:r>
        <w:rPr>
          <w:lang w:eastAsia="en-AU"/>
        </w:rPr>
        <w:t>in the absence of a criminal offence</w:t>
      </w:r>
      <w:r w:rsidR="00E06833">
        <w:rPr>
          <w:lang w:eastAsia="en-AU"/>
        </w:rPr>
        <w:t xml:space="preserve">. </w:t>
      </w:r>
      <w:r w:rsidR="009C1B7F">
        <w:rPr>
          <w:lang w:eastAsia="en-AU"/>
        </w:rPr>
        <w:t xml:space="preserve"> </w:t>
      </w:r>
      <w:r w:rsidR="00E06833">
        <w:rPr>
          <w:lang w:eastAsia="en-AU"/>
        </w:rPr>
        <w:t xml:space="preserve">This is because there are a large number of professionals who fail to identify coercive control </w:t>
      </w:r>
      <w:r w:rsidR="00824790">
        <w:rPr>
          <w:lang w:eastAsia="en-AU"/>
        </w:rPr>
        <w:t>as a central element of DFV or appreciate the</w:t>
      </w:r>
      <w:r w:rsidR="00E06833">
        <w:rPr>
          <w:lang w:eastAsia="en-AU"/>
        </w:rPr>
        <w:t xml:space="preserve"> severity</w:t>
      </w:r>
      <w:r w:rsidR="00824790">
        <w:rPr>
          <w:lang w:eastAsia="en-AU"/>
        </w:rPr>
        <w:t xml:space="preserve"> of its impact on victim-survivors</w:t>
      </w:r>
      <w:r w:rsidR="00E06833">
        <w:rPr>
          <w:lang w:eastAsia="en-AU"/>
        </w:rPr>
        <w:t>.</w:t>
      </w:r>
    </w:p>
    <w:p w14:paraId="253A2103" w14:textId="520F2D54" w:rsidR="00BC37DE" w:rsidRDefault="00C35F2F" w:rsidP="00562C83">
      <w:pPr>
        <w:rPr>
          <w:lang w:eastAsia="en-AU"/>
        </w:rPr>
      </w:pPr>
      <w:r>
        <w:rPr>
          <w:lang w:eastAsia="en-AU"/>
        </w:rPr>
        <w:t>The definition of coercive control is required for proposed chang</w:t>
      </w:r>
      <w:r w:rsidR="00562C83">
        <w:rPr>
          <w:lang w:eastAsia="en-AU"/>
        </w:rPr>
        <w:t>es to section 19 outlined below.</w:t>
      </w:r>
    </w:p>
    <w:p w14:paraId="519CD034" w14:textId="6B9C5B25" w:rsidR="007B7D96" w:rsidRPr="007B7D96" w:rsidRDefault="007B7D96" w:rsidP="00254808">
      <w:pPr>
        <w:pStyle w:val="Heading4"/>
        <w:keepNext/>
        <w:numPr>
          <w:ilvl w:val="0"/>
          <w:numId w:val="0"/>
        </w:numPr>
        <w:spacing w:after="0" w:line="252" w:lineRule="auto"/>
        <w:ind w:left="862" w:hanging="862"/>
        <w:rPr>
          <w:lang w:eastAsia="en-AU"/>
        </w:rPr>
      </w:pPr>
      <w:r w:rsidRPr="007B7D96">
        <w:rPr>
          <w:lang w:eastAsia="en-AU"/>
        </w:rPr>
        <w:t>PROPOSAL</w:t>
      </w:r>
      <w:r w:rsidR="001804B8">
        <w:rPr>
          <w:lang w:eastAsia="en-AU"/>
        </w:rPr>
        <w:t xml:space="preserve"> LR</w:t>
      </w:r>
      <w:r w:rsidRPr="007B7D96">
        <w:rPr>
          <w:lang w:eastAsia="en-AU"/>
        </w:rPr>
        <w:t xml:space="preserve"> 6</w:t>
      </w:r>
    </w:p>
    <w:p w14:paraId="386F231B" w14:textId="17D5F8B8" w:rsidR="00C35F2F" w:rsidRPr="004A434B" w:rsidRDefault="00FA4FCF" w:rsidP="00254808">
      <w:pPr>
        <w:spacing w:after="0" w:line="252" w:lineRule="auto"/>
        <w:rPr>
          <w:b/>
          <w:bCs/>
          <w:lang w:eastAsia="en-AU"/>
        </w:rPr>
      </w:pPr>
      <w:r w:rsidRPr="00C35F2F">
        <w:rPr>
          <w:b/>
          <w:bCs/>
          <w:lang w:eastAsia="en-AU"/>
        </w:rPr>
        <w:t>It is proposed to</w:t>
      </w:r>
      <w:r w:rsidR="004A434B">
        <w:rPr>
          <w:b/>
          <w:bCs/>
          <w:lang w:eastAsia="en-AU"/>
        </w:rPr>
        <w:t xml:space="preserve"> i</w:t>
      </w:r>
      <w:r w:rsidR="007B7D96" w:rsidRPr="004A434B">
        <w:rPr>
          <w:b/>
          <w:bCs/>
          <w:lang w:eastAsia="en-AU"/>
        </w:rPr>
        <w:t>nsert</w:t>
      </w:r>
      <w:r w:rsidRPr="004A434B">
        <w:rPr>
          <w:b/>
          <w:bCs/>
          <w:lang w:eastAsia="en-AU"/>
        </w:rPr>
        <w:t xml:space="preserve"> a definition of coercive contro</w:t>
      </w:r>
      <w:r w:rsidR="00C35F2F" w:rsidRPr="004A434B">
        <w:rPr>
          <w:b/>
          <w:bCs/>
          <w:lang w:eastAsia="en-AU"/>
        </w:rPr>
        <w:t>l in the DFV</w:t>
      </w:r>
      <w:r w:rsidR="009C1B7F">
        <w:rPr>
          <w:b/>
          <w:bCs/>
          <w:lang w:eastAsia="en-AU"/>
        </w:rPr>
        <w:t> </w:t>
      </w:r>
      <w:r w:rsidR="00C35F2F" w:rsidRPr="004A434B">
        <w:rPr>
          <w:b/>
          <w:bCs/>
          <w:lang w:eastAsia="en-AU"/>
        </w:rPr>
        <w:t>A</w:t>
      </w:r>
      <w:r w:rsidR="009C1B7F">
        <w:rPr>
          <w:b/>
          <w:bCs/>
          <w:lang w:eastAsia="en-AU"/>
        </w:rPr>
        <w:t>ct</w:t>
      </w:r>
      <w:r w:rsidR="00651E30" w:rsidRPr="004A434B">
        <w:rPr>
          <w:b/>
          <w:bCs/>
          <w:lang w:eastAsia="en-AU"/>
        </w:rPr>
        <w:t xml:space="preserve"> </w:t>
      </w:r>
      <w:r w:rsidR="00651E30" w:rsidRPr="004665A7">
        <w:rPr>
          <w:b/>
          <w:bCs/>
          <w:lang w:eastAsia="en-AU"/>
        </w:rPr>
        <w:t>along the lines:</w:t>
      </w:r>
    </w:p>
    <w:p w14:paraId="47A0BC62" w14:textId="05410F78" w:rsidR="00651E30" w:rsidRPr="00651E30" w:rsidRDefault="00651E30" w:rsidP="00254808">
      <w:pPr>
        <w:spacing w:after="0" w:line="252" w:lineRule="auto"/>
        <w:ind w:left="284"/>
        <w:rPr>
          <w:b/>
          <w:bCs/>
        </w:rPr>
      </w:pPr>
      <w:r w:rsidRPr="00651E30">
        <w:rPr>
          <w:b/>
          <w:bCs/>
        </w:rPr>
        <w:t xml:space="preserve">Coercive control is </w:t>
      </w:r>
      <w:r w:rsidR="009B407B">
        <w:rPr>
          <w:b/>
          <w:bCs/>
        </w:rPr>
        <w:t xml:space="preserve">a pattern of behaviour </w:t>
      </w:r>
      <w:r w:rsidRPr="00651E30">
        <w:rPr>
          <w:b/>
          <w:bCs/>
        </w:rPr>
        <w:t xml:space="preserve">that is </w:t>
      </w:r>
      <w:r w:rsidR="00DC3140">
        <w:rPr>
          <w:b/>
          <w:bCs/>
        </w:rPr>
        <w:t xml:space="preserve">coercive or in any other way controls or dominates </w:t>
      </w:r>
      <w:r w:rsidRPr="00651E30">
        <w:rPr>
          <w:b/>
          <w:bCs/>
        </w:rPr>
        <w:t xml:space="preserve">the protected person </w:t>
      </w:r>
      <w:r w:rsidR="00DC3140">
        <w:rPr>
          <w:b/>
          <w:bCs/>
        </w:rPr>
        <w:t xml:space="preserve">and causes the protected person to feel fear </w:t>
      </w:r>
      <w:r w:rsidR="009B407B">
        <w:rPr>
          <w:b/>
          <w:bCs/>
        </w:rPr>
        <w:t>for</w:t>
      </w:r>
      <w:r w:rsidR="00DC3140">
        <w:rPr>
          <w:b/>
          <w:bCs/>
        </w:rPr>
        <w:t xml:space="preserve"> the safety and wellbeing of the protected person or another person.  Coercive control </w:t>
      </w:r>
      <w:r w:rsidR="009B407B">
        <w:rPr>
          <w:b/>
          <w:bCs/>
        </w:rPr>
        <w:t xml:space="preserve">may have </w:t>
      </w:r>
      <w:r w:rsidR="00FC373E">
        <w:rPr>
          <w:b/>
          <w:bCs/>
        </w:rPr>
        <w:t xml:space="preserve">one or more of </w:t>
      </w:r>
      <w:r w:rsidR="009B407B">
        <w:rPr>
          <w:b/>
          <w:bCs/>
        </w:rPr>
        <w:t>the following effects</w:t>
      </w:r>
      <w:r w:rsidRPr="00651E30">
        <w:rPr>
          <w:b/>
          <w:bCs/>
        </w:rPr>
        <w:t>:</w:t>
      </w:r>
    </w:p>
    <w:p w14:paraId="7C67E0FA" w14:textId="15E19AEC" w:rsidR="00651E30" w:rsidRPr="009C1B7F" w:rsidRDefault="00651E30" w:rsidP="0067521E">
      <w:pPr>
        <w:pStyle w:val="ListParagraph"/>
        <w:numPr>
          <w:ilvl w:val="0"/>
          <w:numId w:val="175"/>
        </w:numPr>
        <w:spacing w:after="160" w:line="252" w:lineRule="auto"/>
        <w:ind w:left="993"/>
        <w:contextualSpacing/>
        <w:rPr>
          <w:b/>
          <w:bCs/>
        </w:rPr>
      </w:pPr>
      <w:r w:rsidRPr="009C1B7F">
        <w:rPr>
          <w:b/>
          <w:bCs/>
        </w:rPr>
        <w:t>It makes the protected person dependent on, or subordinate to the defendant</w:t>
      </w:r>
      <w:r w:rsidR="00DC3140" w:rsidRPr="009C1B7F">
        <w:rPr>
          <w:b/>
          <w:bCs/>
        </w:rPr>
        <w:t>,</w:t>
      </w:r>
    </w:p>
    <w:p w14:paraId="382ECDCF" w14:textId="77777777" w:rsidR="00651E30" w:rsidRPr="009C1B7F" w:rsidRDefault="00651E30" w:rsidP="0067521E">
      <w:pPr>
        <w:pStyle w:val="ListParagraph"/>
        <w:numPr>
          <w:ilvl w:val="0"/>
          <w:numId w:val="175"/>
        </w:numPr>
        <w:spacing w:after="160" w:line="252" w:lineRule="auto"/>
        <w:ind w:left="993"/>
        <w:contextualSpacing/>
        <w:rPr>
          <w:b/>
          <w:bCs/>
        </w:rPr>
      </w:pPr>
      <w:r w:rsidRPr="009C1B7F">
        <w:rPr>
          <w:b/>
          <w:bCs/>
        </w:rPr>
        <w:t>It isolates the protected person from friends, relatives or other sources of support</w:t>
      </w:r>
    </w:p>
    <w:p w14:paraId="769A42C1" w14:textId="77777777" w:rsidR="00651E30" w:rsidRPr="009C1B7F" w:rsidRDefault="00651E30" w:rsidP="0067521E">
      <w:pPr>
        <w:pStyle w:val="ListParagraph"/>
        <w:numPr>
          <w:ilvl w:val="0"/>
          <w:numId w:val="175"/>
        </w:numPr>
        <w:spacing w:after="160" w:line="252" w:lineRule="auto"/>
        <w:ind w:left="993"/>
        <w:contextualSpacing/>
        <w:rPr>
          <w:b/>
          <w:bCs/>
        </w:rPr>
      </w:pPr>
      <w:r w:rsidRPr="009C1B7F">
        <w:rPr>
          <w:b/>
          <w:bCs/>
        </w:rPr>
        <w:t>It controls, regulates or monitors the protected person’s day to day activities</w:t>
      </w:r>
    </w:p>
    <w:p w14:paraId="16FFEE09" w14:textId="77777777" w:rsidR="00651E30" w:rsidRPr="009C1B7F" w:rsidRDefault="00651E30" w:rsidP="0067521E">
      <w:pPr>
        <w:pStyle w:val="ListParagraph"/>
        <w:numPr>
          <w:ilvl w:val="0"/>
          <w:numId w:val="175"/>
        </w:numPr>
        <w:spacing w:after="160" w:line="252" w:lineRule="auto"/>
        <w:ind w:left="993"/>
        <w:contextualSpacing/>
        <w:rPr>
          <w:b/>
          <w:bCs/>
        </w:rPr>
      </w:pPr>
      <w:r w:rsidRPr="009C1B7F">
        <w:rPr>
          <w:b/>
          <w:bCs/>
        </w:rPr>
        <w:t>It deprives the protected person of, or restricts the protected person’s, freedom of action</w:t>
      </w:r>
    </w:p>
    <w:p w14:paraId="35E9B181" w14:textId="4BBB7D3D" w:rsidR="004A434B" w:rsidRPr="009C1B7F" w:rsidRDefault="00651E30" w:rsidP="0067521E">
      <w:pPr>
        <w:pStyle w:val="ListParagraph"/>
        <w:numPr>
          <w:ilvl w:val="0"/>
          <w:numId w:val="175"/>
        </w:numPr>
        <w:spacing w:after="0" w:line="252" w:lineRule="auto"/>
        <w:ind w:left="993" w:hanging="357"/>
        <w:rPr>
          <w:b/>
          <w:bCs/>
          <w:lang w:eastAsia="en-AU"/>
        </w:rPr>
      </w:pPr>
      <w:r w:rsidRPr="009C1B7F">
        <w:rPr>
          <w:b/>
          <w:bCs/>
        </w:rPr>
        <w:t>It frightens, humiliates, degrades or punishes the protected person.</w:t>
      </w:r>
      <w:r w:rsidR="009B407B">
        <w:rPr>
          <w:rStyle w:val="FootnoteReference"/>
          <w:b/>
          <w:bCs/>
        </w:rPr>
        <w:footnoteReference w:id="161"/>
      </w:r>
    </w:p>
    <w:p w14:paraId="2866E1AB" w14:textId="3D04D94A" w:rsidR="00DC3140" w:rsidRDefault="00F95125" w:rsidP="00254808">
      <w:pPr>
        <w:spacing w:line="252" w:lineRule="auto"/>
        <w:rPr>
          <w:b/>
          <w:bCs/>
        </w:rPr>
      </w:pPr>
      <w:r w:rsidRPr="00F95125">
        <w:rPr>
          <w:b/>
          <w:bCs/>
        </w:rPr>
        <w:t xml:space="preserve">It is further proposed to </w:t>
      </w:r>
      <w:r>
        <w:rPr>
          <w:b/>
          <w:bCs/>
        </w:rPr>
        <w:t>insert</w:t>
      </w:r>
      <w:r w:rsidRPr="00F95125">
        <w:rPr>
          <w:b/>
          <w:bCs/>
        </w:rPr>
        <w:t xml:space="preserve"> a note </w:t>
      </w:r>
      <w:r>
        <w:rPr>
          <w:b/>
          <w:bCs/>
        </w:rPr>
        <w:t xml:space="preserve">following the definition </w:t>
      </w:r>
      <w:r w:rsidRPr="00F95125">
        <w:rPr>
          <w:b/>
          <w:bCs/>
        </w:rPr>
        <w:t>along the lines that: ‘Coercive control may occur with physical violence, or in the absence of physical violence.</w:t>
      </w:r>
      <w:r w:rsidR="006C7B04">
        <w:rPr>
          <w:b/>
          <w:bCs/>
        </w:rPr>
        <w:t>’</w:t>
      </w:r>
    </w:p>
    <w:p w14:paraId="360070F9" w14:textId="350F3EB8" w:rsidR="004A434B" w:rsidRDefault="004A434B" w:rsidP="00254808">
      <w:pPr>
        <w:pStyle w:val="Heading4"/>
        <w:keepNext/>
        <w:numPr>
          <w:ilvl w:val="0"/>
          <w:numId w:val="0"/>
        </w:numPr>
        <w:spacing w:after="0" w:line="259" w:lineRule="auto"/>
        <w:ind w:left="862" w:hanging="862"/>
        <w:rPr>
          <w:lang w:eastAsia="en-AU"/>
        </w:rPr>
      </w:pPr>
      <w:r>
        <w:rPr>
          <w:lang w:eastAsia="en-AU"/>
        </w:rPr>
        <w:lastRenderedPageBreak/>
        <w:t xml:space="preserve">PROPOSAL </w:t>
      </w:r>
      <w:r w:rsidR="001804B8">
        <w:rPr>
          <w:lang w:eastAsia="en-AU"/>
        </w:rPr>
        <w:t xml:space="preserve">LR </w:t>
      </w:r>
      <w:r>
        <w:rPr>
          <w:lang w:eastAsia="en-AU"/>
        </w:rPr>
        <w:t>7</w:t>
      </w:r>
    </w:p>
    <w:p w14:paraId="4E61159A" w14:textId="7EF7F083" w:rsidR="00BC37DE" w:rsidRPr="004A434B" w:rsidRDefault="004A434B" w:rsidP="00254808">
      <w:pPr>
        <w:spacing w:after="0" w:line="259" w:lineRule="auto"/>
        <w:rPr>
          <w:b/>
          <w:bCs/>
          <w:lang w:eastAsia="en-AU"/>
        </w:rPr>
      </w:pPr>
      <w:r>
        <w:rPr>
          <w:b/>
          <w:bCs/>
          <w:lang w:eastAsia="en-AU"/>
        </w:rPr>
        <w:t>It is proposed to c</w:t>
      </w:r>
      <w:r w:rsidR="00C35F2F" w:rsidRPr="004A434B">
        <w:rPr>
          <w:b/>
          <w:bCs/>
          <w:lang w:eastAsia="en-AU"/>
        </w:rPr>
        <w:t xml:space="preserve">reate a statutory guidance framework </w:t>
      </w:r>
      <w:r w:rsidR="00CA02C8">
        <w:rPr>
          <w:b/>
          <w:bCs/>
          <w:lang w:eastAsia="en-AU"/>
        </w:rPr>
        <w:t xml:space="preserve">on coercive control to guide proceedings under the </w:t>
      </w:r>
      <w:r w:rsidR="00B10E99">
        <w:rPr>
          <w:b/>
          <w:bCs/>
          <w:lang w:eastAsia="en-AU"/>
        </w:rPr>
        <w:t>DFV</w:t>
      </w:r>
      <w:r w:rsidR="00CF0555">
        <w:rPr>
          <w:b/>
          <w:bCs/>
          <w:lang w:eastAsia="en-AU"/>
        </w:rPr>
        <w:t> </w:t>
      </w:r>
      <w:r w:rsidR="00B10E99">
        <w:rPr>
          <w:b/>
          <w:bCs/>
          <w:lang w:eastAsia="en-AU"/>
        </w:rPr>
        <w:t>A</w:t>
      </w:r>
      <w:r w:rsidR="00CF0555">
        <w:rPr>
          <w:b/>
          <w:bCs/>
          <w:lang w:eastAsia="en-AU"/>
        </w:rPr>
        <w:t>ct</w:t>
      </w:r>
      <w:r w:rsidR="00B10E99">
        <w:rPr>
          <w:b/>
          <w:bCs/>
          <w:lang w:eastAsia="en-AU"/>
        </w:rPr>
        <w:t>, including to reduce the misidentification of the person most in need of protection.</w:t>
      </w:r>
    </w:p>
    <w:p w14:paraId="433A8A3C" w14:textId="29569DF9" w:rsidR="00FA4FCF" w:rsidRDefault="00FA4FCF" w:rsidP="00CF0555">
      <w:pPr>
        <w:pStyle w:val="Heading4"/>
        <w:keepNext/>
        <w:rPr>
          <w:lang w:eastAsia="en-AU"/>
        </w:rPr>
      </w:pPr>
      <w:r>
        <w:rPr>
          <w:lang w:eastAsia="en-AU"/>
        </w:rPr>
        <w:t xml:space="preserve">Definition </w:t>
      </w:r>
      <w:r w:rsidR="003A1932">
        <w:rPr>
          <w:lang w:eastAsia="en-AU"/>
        </w:rPr>
        <w:t xml:space="preserve">of </w:t>
      </w:r>
      <w:r>
        <w:rPr>
          <w:lang w:eastAsia="en-AU"/>
        </w:rPr>
        <w:t>domestic relationship</w:t>
      </w:r>
    </w:p>
    <w:p w14:paraId="37D5F464" w14:textId="6F20A34D" w:rsidR="00FA4FCF" w:rsidRDefault="00FA4FCF" w:rsidP="00CF0555">
      <w:pPr>
        <w:keepNext/>
      </w:pPr>
      <w:r w:rsidRPr="003F6D27">
        <w:t xml:space="preserve">The </w:t>
      </w:r>
      <w:r w:rsidR="00CC73D2">
        <w:t>2016 Consultation Report</w:t>
      </w:r>
      <w:r w:rsidR="00C91426">
        <w:rPr>
          <w:rStyle w:val="FootnoteReference"/>
        </w:rPr>
        <w:footnoteReference w:id="162"/>
      </w:r>
      <w:r>
        <w:t xml:space="preserve"> identified a number of relationships that are not captured by the current definition of domestic relationship in the DFV</w:t>
      </w:r>
      <w:r w:rsidR="00CF0555">
        <w:t> </w:t>
      </w:r>
      <w:r>
        <w:t>A</w:t>
      </w:r>
      <w:r w:rsidR="00CF0555">
        <w:t>ct</w:t>
      </w:r>
      <w:r>
        <w:t xml:space="preserve"> but arguably should be. </w:t>
      </w:r>
      <w:r w:rsidR="00CF0555">
        <w:t xml:space="preserve"> </w:t>
      </w:r>
      <w:r>
        <w:t>Examples provided included:</w:t>
      </w:r>
    </w:p>
    <w:p w14:paraId="260D7CF1" w14:textId="658A063D" w:rsidR="00FA4FCF" w:rsidRPr="00CF0555" w:rsidRDefault="00FA4FCF" w:rsidP="00FA4FCF">
      <w:pPr>
        <w:ind w:left="568"/>
        <w:rPr>
          <w:rFonts w:cs="Arial"/>
        </w:rPr>
      </w:pPr>
      <w:r w:rsidRPr="00CF0555">
        <w:rPr>
          <w:rFonts w:cs="Arial"/>
        </w:rPr>
        <w:t>Bob and Jane dated for a couple of months until Jane ended the relationship. During the relationship, Jane lived with her parents and Bob had met them a number of times. After the break-up, Bob starts to harass and threaten Jane’s parents. Although Jane can establish a domestic relationship with Bob, as she was in an intimate personal relationship with him, her parents and other family are not covered under section 9(d)(ii) and thus cannot establish a domestic relationship. They are unable to seek relief under the DFV</w:t>
      </w:r>
      <w:r w:rsidR="00CF0555">
        <w:rPr>
          <w:rFonts w:cs="Arial"/>
        </w:rPr>
        <w:t> </w:t>
      </w:r>
      <w:r w:rsidRPr="00CF0555">
        <w:rPr>
          <w:rFonts w:cs="Arial"/>
        </w:rPr>
        <w:t>A</w:t>
      </w:r>
      <w:r w:rsidR="00CF0555">
        <w:rPr>
          <w:rFonts w:cs="Arial"/>
        </w:rPr>
        <w:t>ct</w:t>
      </w:r>
      <w:r w:rsidRPr="00CF0555">
        <w:rPr>
          <w:rFonts w:cs="Arial"/>
        </w:rPr>
        <w:t>.</w:t>
      </w:r>
    </w:p>
    <w:p w14:paraId="6E7EF081" w14:textId="7B3D3D8E" w:rsidR="00FA4FCF" w:rsidRPr="00CF0555" w:rsidRDefault="00FA4FCF" w:rsidP="00FA4FCF">
      <w:pPr>
        <w:ind w:left="568"/>
        <w:rPr>
          <w:rFonts w:cs="Arial"/>
        </w:rPr>
      </w:pPr>
      <w:r w:rsidRPr="00CF0555">
        <w:rPr>
          <w:rFonts w:cs="Arial"/>
        </w:rPr>
        <w:t xml:space="preserve">Ben and Chloe dated for a couple of months and then separated. Ben then commences a relationship with Sophie and they have a baby together. Chloe finds out about Sophie, becomes jealous, and begins threatening and stalking Sophie and making threats to harm the baby. Sophie’s connection with Chloe does not fall within the definition of domestic relationship under the </w:t>
      </w:r>
      <w:r w:rsidR="00CF0555">
        <w:rPr>
          <w:rFonts w:cs="Arial"/>
        </w:rPr>
        <w:t xml:space="preserve">DFV </w:t>
      </w:r>
      <w:r w:rsidRPr="00CF0555">
        <w:rPr>
          <w:rFonts w:cs="Arial"/>
        </w:rPr>
        <w:t>Act.</w:t>
      </w:r>
    </w:p>
    <w:p w14:paraId="16DD8598" w14:textId="2B5AAA62" w:rsidR="00FA4FCF" w:rsidRPr="00CF0555" w:rsidRDefault="00FA4FCF" w:rsidP="00FA4FCF">
      <w:pPr>
        <w:ind w:left="568"/>
        <w:rPr>
          <w:rFonts w:cs="Arial"/>
        </w:rPr>
      </w:pPr>
      <w:r w:rsidRPr="00CF0555">
        <w:rPr>
          <w:rFonts w:cs="Arial"/>
        </w:rPr>
        <w:t>Tom is in a long</w:t>
      </w:r>
      <w:r w:rsidRPr="00CF0555">
        <w:rPr>
          <w:rFonts w:cs="Arial"/>
        </w:rPr>
        <w:noBreakHyphen/>
        <w:t xml:space="preserve">term relationship with Marie and they have three children together. Tom goes out with the boys and has a one night stand with Naomi. Marie finds out about the one-night stand and begins sending threatening and abusive text messages to Naomi. Naomi (the ‘other woman’) has no avenue of obtaining relief under the </w:t>
      </w:r>
      <w:r w:rsidR="00CF0555">
        <w:rPr>
          <w:rFonts w:cs="Arial"/>
        </w:rPr>
        <w:t>DFV </w:t>
      </w:r>
      <w:r w:rsidRPr="00CF0555">
        <w:rPr>
          <w:rFonts w:cs="Arial"/>
        </w:rPr>
        <w:t>Act because Marie and Naomi have not been in a domestic relationship.</w:t>
      </w:r>
      <w:r w:rsidR="00EE2C4A" w:rsidRPr="00CF0555">
        <w:rPr>
          <w:rStyle w:val="FootnoteReference"/>
          <w:rFonts w:cs="Arial"/>
        </w:rPr>
        <w:footnoteReference w:id="163"/>
      </w:r>
    </w:p>
    <w:p w14:paraId="4B5ACE18" w14:textId="6DE34F1B" w:rsidR="00FA4FCF" w:rsidRPr="00362ECE" w:rsidRDefault="00FA4FCF" w:rsidP="00FA4FCF">
      <w:pPr>
        <w:rPr>
          <w:rFonts w:cs="Arial"/>
        </w:rPr>
      </w:pPr>
      <w:r w:rsidRPr="00744694">
        <w:rPr>
          <w:rFonts w:cs="Arial"/>
        </w:rPr>
        <w:t xml:space="preserve">In addition, it was proposed that persons who have </w:t>
      </w:r>
      <w:r w:rsidR="003A1932">
        <w:rPr>
          <w:rFonts w:cs="Arial"/>
        </w:rPr>
        <w:t>had a casual or one</w:t>
      </w:r>
      <w:r w:rsidR="003A1932">
        <w:rPr>
          <w:rFonts w:cs="Arial"/>
        </w:rPr>
        <w:noBreakHyphen/>
        <w:t>off sexual incident, whether consensual or</w:t>
      </w:r>
      <w:r w:rsidRPr="00744694">
        <w:rPr>
          <w:rFonts w:cs="Arial"/>
        </w:rPr>
        <w:t xml:space="preserve"> non</w:t>
      </w:r>
      <w:r w:rsidRPr="00744694">
        <w:rPr>
          <w:rFonts w:cs="Arial"/>
        </w:rPr>
        <w:noBreakHyphen/>
        <w:t xml:space="preserve">consensual, should be included in the definition.  This is because it is more appropriate for persons who experience abuse in the aftermath of a casual or one-off sexual encounter </w:t>
      </w:r>
      <w:r w:rsidR="00E245F0">
        <w:rPr>
          <w:rFonts w:cs="Arial"/>
        </w:rPr>
        <w:t xml:space="preserve">or abuse </w:t>
      </w:r>
      <w:r w:rsidRPr="00744694">
        <w:rPr>
          <w:rFonts w:cs="Arial"/>
        </w:rPr>
        <w:t>to be dealt with under the DFV</w:t>
      </w:r>
      <w:r w:rsidR="00CF0555">
        <w:rPr>
          <w:rFonts w:cs="Arial"/>
        </w:rPr>
        <w:t> </w:t>
      </w:r>
      <w:r w:rsidRPr="00744694">
        <w:rPr>
          <w:rFonts w:cs="Arial"/>
        </w:rPr>
        <w:t>A</w:t>
      </w:r>
      <w:r w:rsidR="00CF0555">
        <w:rPr>
          <w:rFonts w:cs="Arial"/>
        </w:rPr>
        <w:t>ct</w:t>
      </w:r>
      <w:r w:rsidRPr="00744694">
        <w:rPr>
          <w:rFonts w:cs="Arial"/>
        </w:rPr>
        <w:t xml:space="preserve"> than the</w:t>
      </w:r>
      <w:r w:rsidRPr="00744694">
        <w:rPr>
          <w:rFonts w:cs="Arial"/>
          <w:i/>
          <w:iCs/>
        </w:rPr>
        <w:t xml:space="preserve"> Personal Violence Restraining Orders Act 2016.</w:t>
      </w:r>
      <w:r w:rsidR="00CF0555">
        <w:rPr>
          <w:rFonts w:cs="Arial"/>
          <w:i/>
          <w:iCs/>
        </w:rPr>
        <w:t xml:space="preserve"> </w:t>
      </w:r>
      <w:r w:rsidRPr="00744694">
        <w:rPr>
          <w:rFonts w:cs="Arial"/>
          <w:i/>
          <w:iCs/>
        </w:rPr>
        <w:t xml:space="preserve"> </w:t>
      </w:r>
      <w:r w:rsidRPr="00744694">
        <w:rPr>
          <w:rFonts w:cs="Arial"/>
        </w:rPr>
        <w:t>The nature of the abuse is more akin to DFV and the applicant is likely to need some of the protections of the DFV</w:t>
      </w:r>
      <w:r w:rsidR="00CF0555">
        <w:rPr>
          <w:rFonts w:cs="Arial"/>
        </w:rPr>
        <w:t> </w:t>
      </w:r>
      <w:r w:rsidRPr="00744694">
        <w:rPr>
          <w:rFonts w:cs="Arial"/>
        </w:rPr>
        <w:t>A</w:t>
      </w:r>
      <w:r w:rsidR="00CF0555">
        <w:rPr>
          <w:rFonts w:cs="Arial"/>
        </w:rPr>
        <w:t>ct</w:t>
      </w:r>
      <w:r w:rsidRPr="00744694">
        <w:rPr>
          <w:rFonts w:cs="Arial"/>
        </w:rPr>
        <w:t>.</w:t>
      </w:r>
    </w:p>
    <w:p w14:paraId="75A13932" w14:textId="49655985" w:rsidR="00FA4FCF" w:rsidRDefault="00EE2C4A" w:rsidP="00FA4FCF">
      <w:r>
        <w:t>AGD</w:t>
      </w:r>
      <w:r w:rsidR="00824790">
        <w:t xml:space="preserve"> proposes that these relationships </w:t>
      </w:r>
      <w:r w:rsidR="00FA4FCF">
        <w:t>be covered by the DFV</w:t>
      </w:r>
      <w:r w:rsidR="00CF0555">
        <w:t> </w:t>
      </w:r>
      <w:r w:rsidR="00FA4FCF">
        <w:t>A</w:t>
      </w:r>
      <w:r w:rsidR="00CF0555">
        <w:t>ct</w:t>
      </w:r>
      <w:r w:rsidR="00FA4FCF">
        <w:t xml:space="preserve">. </w:t>
      </w:r>
    </w:p>
    <w:p w14:paraId="43709CFF" w14:textId="37B52116" w:rsidR="00CA02C8" w:rsidRPr="00CA02C8" w:rsidRDefault="00CA02C8" w:rsidP="00254808">
      <w:pPr>
        <w:pStyle w:val="Heading4"/>
        <w:keepNext/>
        <w:numPr>
          <w:ilvl w:val="0"/>
          <w:numId w:val="0"/>
        </w:numPr>
        <w:spacing w:after="0" w:line="259" w:lineRule="auto"/>
        <w:ind w:left="862" w:hanging="862"/>
      </w:pPr>
      <w:r w:rsidRPr="00CA02C8">
        <w:t xml:space="preserve">PROPOSAL </w:t>
      </w:r>
      <w:r w:rsidR="001804B8">
        <w:t xml:space="preserve">LR </w:t>
      </w:r>
      <w:r w:rsidRPr="00CA02C8">
        <w:t>8</w:t>
      </w:r>
    </w:p>
    <w:p w14:paraId="451C2222" w14:textId="38912950" w:rsidR="00FA4FCF" w:rsidRPr="00CA02C8" w:rsidRDefault="00FA4FCF" w:rsidP="00254808">
      <w:pPr>
        <w:keepNext/>
        <w:spacing w:after="0" w:line="259" w:lineRule="auto"/>
        <w:rPr>
          <w:b/>
          <w:bCs/>
        </w:rPr>
      </w:pPr>
      <w:r w:rsidRPr="00CA02C8">
        <w:rPr>
          <w:b/>
          <w:bCs/>
        </w:rPr>
        <w:t>It is proposed to amend the definitions in the DFV</w:t>
      </w:r>
      <w:r w:rsidR="00CF0555">
        <w:rPr>
          <w:b/>
          <w:bCs/>
        </w:rPr>
        <w:t> </w:t>
      </w:r>
      <w:r w:rsidRPr="00CA02C8">
        <w:rPr>
          <w:b/>
          <w:bCs/>
        </w:rPr>
        <w:t>A</w:t>
      </w:r>
      <w:r w:rsidR="00CF0555">
        <w:rPr>
          <w:b/>
          <w:bCs/>
        </w:rPr>
        <w:t>ct</w:t>
      </w:r>
      <w:r w:rsidRPr="00CA02C8">
        <w:rPr>
          <w:b/>
          <w:bCs/>
        </w:rPr>
        <w:t xml:space="preserve"> as follows:</w:t>
      </w:r>
    </w:p>
    <w:p w14:paraId="63564CA3" w14:textId="77777777" w:rsidR="00FA4FCF" w:rsidRPr="00CA02C8" w:rsidRDefault="00FA4FCF" w:rsidP="00254808">
      <w:pPr>
        <w:keepNext/>
        <w:spacing w:after="0" w:line="259" w:lineRule="auto"/>
        <w:rPr>
          <w:b/>
          <w:bCs/>
        </w:rPr>
      </w:pPr>
      <w:r w:rsidRPr="00CA02C8">
        <w:rPr>
          <w:b/>
          <w:bCs/>
        </w:rPr>
        <w:t>Domestic relationship (section 9)</w:t>
      </w:r>
    </w:p>
    <w:p w14:paraId="00C704B3" w14:textId="77777777" w:rsidR="00FA4FCF" w:rsidRPr="00CA02C8" w:rsidRDefault="00FA4FCF" w:rsidP="0067521E">
      <w:pPr>
        <w:pStyle w:val="DraftHeading2"/>
        <w:numPr>
          <w:ilvl w:val="0"/>
          <w:numId w:val="177"/>
        </w:numPr>
        <w:spacing w:before="0" w:line="259" w:lineRule="auto"/>
        <w:ind w:left="567" w:hanging="567"/>
        <w:rPr>
          <w:rFonts w:asciiTheme="minorHAnsi" w:hAnsiTheme="minorHAnsi" w:cstheme="minorHAnsi"/>
          <w:b/>
          <w:bCs/>
          <w:sz w:val="22"/>
          <w:szCs w:val="22"/>
        </w:rPr>
      </w:pPr>
      <w:r w:rsidRPr="00CA02C8">
        <w:rPr>
          <w:rFonts w:asciiTheme="minorHAnsi" w:hAnsiTheme="minorHAnsi" w:cstheme="minorHAnsi"/>
          <w:b/>
          <w:bCs/>
          <w:sz w:val="22"/>
          <w:szCs w:val="22"/>
        </w:rPr>
        <w:t xml:space="preserve">Amend section 9(d)(ii) along the lines ‘someone else who is </w:t>
      </w:r>
      <w:r w:rsidRPr="00CA02C8">
        <w:rPr>
          <w:rFonts w:asciiTheme="minorHAnsi" w:hAnsiTheme="minorHAnsi" w:cstheme="minorHAnsi"/>
          <w:b/>
          <w:bCs/>
          <w:i/>
          <w:sz w:val="22"/>
          <w:szCs w:val="22"/>
          <w:u w:val="single"/>
        </w:rPr>
        <w:t>or has been</w:t>
      </w:r>
      <w:r w:rsidRPr="00CA02C8">
        <w:rPr>
          <w:rFonts w:asciiTheme="minorHAnsi" w:hAnsiTheme="minorHAnsi" w:cstheme="minorHAnsi"/>
          <w:b/>
          <w:bCs/>
          <w:sz w:val="22"/>
          <w:szCs w:val="22"/>
        </w:rPr>
        <w:t xml:space="preserve"> in family relationship with the other person.’</w:t>
      </w:r>
    </w:p>
    <w:p w14:paraId="5E8FE1C6" w14:textId="77777777" w:rsidR="00FA4FCF" w:rsidRPr="00CA02C8" w:rsidRDefault="00FA4FCF" w:rsidP="00254808">
      <w:pPr>
        <w:keepNext/>
        <w:spacing w:after="0" w:line="259" w:lineRule="auto"/>
        <w:rPr>
          <w:b/>
          <w:bCs/>
        </w:rPr>
      </w:pPr>
      <w:r w:rsidRPr="00CA02C8">
        <w:rPr>
          <w:b/>
          <w:bCs/>
        </w:rPr>
        <w:t>Family relationship (section 10)</w:t>
      </w:r>
    </w:p>
    <w:p w14:paraId="50D55174" w14:textId="77777777" w:rsidR="00FA4FCF" w:rsidRPr="00CA02C8" w:rsidRDefault="00FA4FCF" w:rsidP="0067521E">
      <w:pPr>
        <w:pStyle w:val="DraftHeading2"/>
        <w:numPr>
          <w:ilvl w:val="0"/>
          <w:numId w:val="177"/>
        </w:numPr>
        <w:spacing w:before="0" w:line="259" w:lineRule="auto"/>
        <w:ind w:left="567" w:hanging="567"/>
        <w:rPr>
          <w:rFonts w:asciiTheme="minorHAnsi" w:hAnsiTheme="minorHAnsi" w:cstheme="minorHAnsi"/>
          <w:b/>
          <w:bCs/>
          <w:sz w:val="22"/>
          <w:szCs w:val="22"/>
        </w:rPr>
      </w:pPr>
      <w:r w:rsidRPr="00CA02C8">
        <w:rPr>
          <w:rFonts w:asciiTheme="minorHAnsi" w:hAnsiTheme="minorHAnsi" w:cstheme="minorHAnsi"/>
          <w:b/>
          <w:bCs/>
          <w:sz w:val="22"/>
          <w:szCs w:val="22"/>
        </w:rPr>
        <w:t>Amend the definition of family relationship to include the relationship between a person’s former spouse or defacto partner and their current spouse or defacto partner.</w:t>
      </w:r>
    </w:p>
    <w:p w14:paraId="22A2B7E4" w14:textId="77777777" w:rsidR="00FA4FCF" w:rsidRPr="00CA02C8" w:rsidRDefault="00FA4FCF" w:rsidP="00254808">
      <w:pPr>
        <w:keepNext/>
        <w:spacing w:after="0" w:line="259" w:lineRule="auto"/>
        <w:rPr>
          <w:rFonts w:cs="Arial"/>
          <w:b/>
          <w:bCs/>
        </w:rPr>
      </w:pPr>
      <w:r w:rsidRPr="00CA02C8">
        <w:rPr>
          <w:rFonts w:cs="Arial"/>
          <w:b/>
          <w:bCs/>
        </w:rPr>
        <w:lastRenderedPageBreak/>
        <w:t>Intimate personal relationship (section 11)</w:t>
      </w:r>
    </w:p>
    <w:p w14:paraId="57757D1E" w14:textId="49F6D539" w:rsidR="00FA4FCF" w:rsidRPr="00CF0555" w:rsidRDefault="00FA4FCF" w:rsidP="0067521E">
      <w:pPr>
        <w:pStyle w:val="ListParagraph"/>
        <w:numPr>
          <w:ilvl w:val="0"/>
          <w:numId w:val="176"/>
        </w:numPr>
        <w:spacing w:after="0" w:line="259" w:lineRule="auto"/>
        <w:ind w:left="567" w:hanging="567"/>
        <w:rPr>
          <w:rFonts w:eastAsia="Calibri" w:cs="Arial"/>
          <w:b/>
          <w:bCs/>
        </w:rPr>
      </w:pPr>
      <w:r w:rsidRPr="00CF0555">
        <w:rPr>
          <w:rFonts w:eastAsia="Calibri" w:cs="Arial"/>
          <w:b/>
          <w:bCs/>
        </w:rPr>
        <w:t>Amend the definition of intimate personal relationship to include the relationship between a person’s former ‘intimate personal relationship’ and their current ‘intimate personal relationship’.</w:t>
      </w:r>
    </w:p>
    <w:p w14:paraId="514DD930" w14:textId="77777777" w:rsidR="00FA4FCF" w:rsidRPr="00CF0555" w:rsidRDefault="00FA4FCF" w:rsidP="0067521E">
      <w:pPr>
        <w:pStyle w:val="ListParagraph"/>
        <w:numPr>
          <w:ilvl w:val="0"/>
          <w:numId w:val="176"/>
        </w:numPr>
        <w:spacing w:after="0" w:line="259" w:lineRule="auto"/>
        <w:ind w:left="567" w:hanging="567"/>
        <w:rPr>
          <w:rFonts w:eastAsia="Calibri" w:cs="Arial"/>
          <w:b/>
          <w:bCs/>
        </w:rPr>
      </w:pPr>
      <w:r w:rsidRPr="00CF0555">
        <w:rPr>
          <w:rFonts w:eastAsia="Calibri" w:cs="Arial"/>
          <w:b/>
          <w:bCs/>
        </w:rPr>
        <w:t>Amend the definition of intimate personal relationship to include the relationship between a person and the relatives of a person with whom they are engaged to be married or with whom they are having an intimate personal relationship.</w:t>
      </w:r>
    </w:p>
    <w:p w14:paraId="3291F8DB" w14:textId="1F3C23D8" w:rsidR="00FA4FCF" w:rsidRPr="00CF0555" w:rsidRDefault="00FA4FCF" w:rsidP="0067521E">
      <w:pPr>
        <w:pStyle w:val="ListParagraph"/>
        <w:numPr>
          <w:ilvl w:val="0"/>
          <w:numId w:val="176"/>
        </w:numPr>
        <w:spacing w:after="0" w:line="259" w:lineRule="auto"/>
        <w:ind w:left="567" w:hanging="567"/>
        <w:rPr>
          <w:rFonts w:eastAsia="Calibri" w:cs="Arial"/>
          <w:b/>
          <w:bCs/>
        </w:rPr>
      </w:pPr>
      <w:r w:rsidRPr="00CF0555">
        <w:rPr>
          <w:rFonts w:eastAsia="Calibri" w:cs="Arial"/>
          <w:b/>
          <w:bCs/>
        </w:rPr>
        <w:t>Amend the definition of intimate personal relationship to include persons who have had cas</w:t>
      </w:r>
      <w:r w:rsidR="003A1932" w:rsidRPr="00CF0555">
        <w:rPr>
          <w:rFonts w:eastAsia="Calibri" w:cs="Arial"/>
          <w:b/>
          <w:bCs/>
        </w:rPr>
        <w:t>ual or one-off sexual incidents</w:t>
      </w:r>
      <w:r w:rsidRPr="00CF0555">
        <w:rPr>
          <w:rFonts w:eastAsia="Calibri" w:cs="Arial"/>
          <w:b/>
          <w:bCs/>
        </w:rPr>
        <w:t>, whether consensual or not.</w:t>
      </w:r>
    </w:p>
    <w:p w14:paraId="3F22BBC2" w14:textId="3200EC69" w:rsidR="00FA4FCF" w:rsidRPr="00CF0555" w:rsidRDefault="00FA4FCF" w:rsidP="0067521E">
      <w:pPr>
        <w:pStyle w:val="ListParagraph"/>
        <w:numPr>
          <w:ilvl w:val="0"/>
          <w:numId w:val="176"/>
        </w:numPr>
        <w:spacing w:after="0" w:line="259" w:lineRule="auto"/>
        <w:ind w:left="567" w:hanging="567"/>
        <w:rPr>
          <w:b/>
          <w:bCs/>
        </w:rPr>
      </w:pPr>
      <w:r w:rsidRPr="00CF0555">
        <w:rPr>
          <w:b/>
          <w:bCs/>
        </w:rPr>
        <w:t xml:space="preserve">Amend section 11(4) to provide recognition that an intimate personal relationship may exist between people of the same or opposite sex, </w:t>
      </w:r>
      <w:r w:rsidRPr="00CF0555">
        <w:rPr>
          <w:b/>
          <w:bCs/>
          <w:u w:val="single"/>
        </w:rPr>
        <w:t>and regardless of the gender identity or sexual orientation of the persons</w:t>
      </w:r>
      <w:r w:rsidRPr="00CF0555">
        <w:rPr>
          <w:b/>
          <w:bCs/>
        </w:rPr>
        <w:t>.</w:t>
      </w:r>
      <w:r w:rsidR="00C47CC4" w:rsidRPr="00CF0555">
        <w:rPr>
          <w:b/>
          <w:bCs/>
        </w:rPr>
        <w:t xml:space="preserve"> </w:t>
      </w:r>
    </w:p>
    <w:p w14:paraId="687A56C7" w14:textId="77E50649" w:rsidR="00105AD9" w:rsidRDefault="00105AD9" w:rsidP="00254808">
      <w:pPr>
        <w:spacing w:line="259" w:lineRule="auto"/>
        <w:rPr>
          <w:b/>
          <w:bCs/>
        </w:rPr>
      </w:pPr>
      <w:r>
        <w:rPr>
          <w:b/>
          <w:bCs/>
        </w:rPr>
        <w:t xml:space="preserve">It is further proposed to </w:t>
      </w:r>
      <w:r w:rsidR="00471B1D">
        <w:rPr>
          <w:b/>
          <w:bCs/>
        </w:rPr>
        <w:t>insert</w:t>
      </w:r>
      <w:r>
        <w:rPr>
          <w:b/>
          <w:bCs/>
        </w:rPr>
        <w:t xml:space="preserve"> a note</w:t>
      </w:r>
      <w:r w:rsidR="00BC0C34">
        <w:rPr>
          <w:b/>
          <w:bCs/>
        </w:rPr>
        <w:t xml:space="preserve"> </w:t>
      </w:r>
      <w:r w:rsidR="006F4D95">
        <w:rPr>
          <w:b/>
          <w:bCs/>
        </w:rPr>
        <w:t xml:space="preserve">along the lines </w:t>
      </w:r>
      <w:r w:rsidR="00471B1D">
        <w:rPr>
          <w:b/>
          <w:bCs/>
        </w:rPr>
        <w:t>that conduct which meets the definition of</w:t>
      </w:r>
      <w:r w:rsidR="006F4D95">
        <w:rPr>
          <w:b/>
          <w:bCs/>
        </w:rPr>
        <w:t xml:space="preserve"> DFV in the </w:t>
      </w:r>
      <w:r w:rsidR="00471B1D">
        <w:rPr>
          <w:b/>
          <w:bCs/>
        </w:rPr>
        <w:t>DFV</w:t>
      </w:r>
      <w:r w:rsidR="00CF0555">
        <w:rPr>
          <w:b/>
          <w:bCs/>
        </w:rPr>
        <w:t> </w:t>
      </w:r>
      <w:r w:rsidR="00471B1D">
        <w:rPr>
          <w:b/>
          <w:bCs/>
        </w:rPr>
        <w:t>A</w:t>
      </w:r>
      <w:r w:rsidR="00CF0555">
        <w:rPr>
          <w:b/>
          <w:bCs/>
        </w:rPr>
        <w:t>ct</w:t>
      </w:r>
      <w:r w:rsidR="00BC0C34">
        <w:rPr>
          <w:b/>
          <w:bCs/>
        </w:rPr>
        <w:t xml:space="preserve"> directed </w:t>
      </w:r>
      <w:r w:rsidR="00471B1D">
        <w:rPr>
          <w:b/>
          <w:bCs/>
        </w:rPr>
        <w:t>towards a child is DFV</w:t>
      </w:r>
      <w:r w:rsidR="001F3E95">
        <w:rPr>
          <w:b/>
          <w:bCs/>
        </w:rPr>
        <w:t>.</w:t>
      </w:r>
    </w:p>
    <w:p w14:paraId="25CA675E" w14:textId="749B1390" w:rsidR="007A0C20" w:rsidRPr="007A0C20" w:rsidRDefault="00FA4FCF" w:rsidP="00CF0555">
      <w:pPr>
        <w:pStyle w:val="Heading4"/>
        <w:keepNext/>
        <w:rPr>
          <w:lang w:eastAsia="en-AU"/>
        </w:rPr>
      </w:pPr>
      <w:r>
        <w:rPr>
          <w:lang w:eastAsia="en-AU"/>
        </w:rPr>
        <w:t>Objects of the chapter</w:t>
      </w:r>
    </w:p>
    <w:p w14:paraId="1D27CE36" w14:textId="58439CBC" w:rsidR="00BC0C34" w:rsidRPr="00BC0C34" w:rsidRDefault="00BC0C34" w:rsidP="00254808">
      <w:pPr>
        <w:pStyle w:val="Heading4"/>
        <w:keepNext/>
        <w:numPr>
          <w:ilvl w:val="0"/>
          <w:numId w:val="0"/>
        </w:numPr>
        <w:spacing w:after="0" w:line="259" w:lineRule="auto"/>
        <w:rPr>
          <w:lang w:eastAsia="en-AU"/>
        </w:rPr>
      </w:pPr>
      <w:r w:rsidRPr="00BC0C34">
        <w:rPr>
          <w:lang w:eastAsia="en-AU"/>
        </w:rPr>
        <w:t xml:space="preserve">PROPOSAL </w:t>
      </w:r>
      <w:r w:rsidR="001804B8">
        <w:rPr>
          <w:lang w:eastAsia="en-AU"/>
        </w:rPr>
        <w:t xml:space="preserve">LR </w:t>
      </w:r>
      <w:r w:rsidRPr="00BC0C34">
        <w:rPr>
          <w:lang w:eastAsia="en-AU"/>
        </w:rPr>
        <w:t>9</w:t>
      </w:r>
    </w:p>
    <w:p w14:paraId="6D1CEAB1" w14:textId="1966D368" w:rsidR="00FA4FCF" w:rsidRPr="00BC0C34" w:rsidRDefault="00FA4FCF" w:rsidP="00254808">
      <w:pPr>
        <w:keepNext/>
        <w:spacing w:after="0" w:line="259" w:lineRule="auto"/>
        <w:rPr>
          <w:b/>
          <w:bCs/>
          <w:lang w:eastAsia="en-AU"/>
        </w:rPr>
      </w:pPr>
      <w:r w:rsidRPr="00BC0C34">
        <w:rPr>
          <w:b/>
          <w:bCs/>
          <w:lang w:eastAsia="en-AU"/>
        </w:rPr>
        <w:t>It is proposed to amend section 16 to align the object of this Chapter with the object of the DFV</w:t>
      </w:r>
      <w:r w:rsidR="00CF0555">
        <w:rPr>
          <w:b/>
          <w:bCs/>
          <w:lang w:eastAsia="en-AU"/>
        </w:rPr>
        <w:t> </w:t>
      </w:r>
      <w:r w:rsidRPr="00BC0C34">
        <w:rPr>
          <w:b/>
          <w:bCs/>
          <w:lang w:eastAsia="en-AU"/>
        </w:rPr>
        <w:t>A</w:t>
      </w:r>
      <w:r w:rsidR="00CF0555">
        <w:rPr>
          <w:b/>
          <w:bCs/>
          <w:lang w:eastAsia="en-AU"/>
        </w:rPr>
        <w:t>ct</w:t>
      </w:r>
      <w:r w:rsidR="007A0C20">
        <w:rPr>
          <w:b/>
          <w:bCs/>
          <w:lang w:eastAsia="en-AU"/>
        </w:rPr>
        <w:t xml:space="preserve"> along the lines:</w:t>
      </w:r>
    </w:p>
    <w:p w14:paraId="0964740D" w14:textId="65EBC193" w:rsidR="00FA4FCF" w:rsidRPr="00CF0555" w:rsidRDefault="00FA4FCF" w:rsidP="00254808">
      <w:pPr>
        <w:keepNext/>
        <w:spacing w:after="0" w:line="259" w:lineRule="auto"/>
        <w:rPr>
          <w:b/>
          <w:bCs/>
          <w:lang w:eastAsia="en-AU"/>
        </w:rPr>
      </w:pPr>
      <w:r w:rsidRPr="00CF0555">
        <w:rPr>
          <w:b/>
          <w:bCs/>
          <w:lang w:eastAsia="en-AU"/>
        </w:rPr>
        <w:t xml:space="preserve">The objects of this Chapter are to provide for: </w:t>
      </w:r>
    </w:p>
    <w:p w14:paraId="6DC4D1FD" w14:textId="77777777" w:rsidR="00FA4FCF" w:rsidRPr="00CF0555" w:rsidRDefault="00FA4FCF" w:rsidP="0067521E">
      <w:pPr>
        <w:pStyle w:val="ListParagraph"/>
        <w:numPr>
          <w:ilvl w:val="0"/>
          <w:numId w:val="40"/>
        </w:numPr>
        <w:spacing w:after="0" w:line="259" w:lineRule="auto"/>
        <w:ind w:left="567" w:hanging="567"/>
        <w:rPr>
          <w:b/>
          <w:bCs/>
        </w:rPr>
      </w:pPr>
      <w:r w:rsidRPr="00CF0555">
        <w:rPr>
          <w:b/>
          <w:bCs/>
        </w:rPr>
        <w:t>The making of domestic violence orders to:</w:t>
      </w:r>
    </w:p>
    <w:p w14:paraId="32B8CAC0" w14:textId="63430D5A" w:rsidR="00FA4FCF" w:rsidRPr="00CF0555" w:rsidRDefault="00387E62" w:rsidP="0067521E">
      <w:pPr>
        <w:pStyle w:val="ListParagraph"/>
        <w:numPr>
          <w:ilvl w:val="1"/>
          <w:numId w:val="41"/>
        </w:numPr>
        <w:spacing w:after="0" w:line="259" w:lineRule="auto"/>
        <w:ind w:left="1134" w:hanging="425"/>
        <w:rPr>
          <w:b/>
          <w:bCs/>
        </w:rPr>
      </w:pPr>
      <w:r w:rsidRPr="00CF0555">
        <w:rPr>
          <w:b/>
          <w:bCs/>
        </w:rPr>
        <w:t>increase</w:t>
      </w:r>
      <w:r w:rsidR="00FA4FCF" w:rsidRPr="00CF0555">
        <w:rPr>
          <w:b/>
          <w:bCs/>
        </w:rPr>
        <w:t xml:space="preserve"> the safety and protection of adults and children who have experienced domestic violence or are at risk of domestic violence, and </w:t>
      </w:r>
    </w:p>
    <w:p w14:paraId="7646FAB1" w14:textId="77777777" w:rsidR="00FA4FCF" w:rsidRPr="00CF0555" w:rsidRDefault="00FA4FCF" w:rsidP="0067521E">
      <w:pPr>
        <w:pStyle w:val="ListParagraph"/>
        <w:numPr>
          <w:ilvl w:val="1"/>
          <w:numId w:val="41"/>
        </w:numPr>
        <w:spacing w:after="0" w:line="259" w:lineRule="auto"/>
        <w:ind w:left="1134" w:hanging="425"/>
        <w:rPr>
          <w:b/>
          <w:bCs/>
        </w:rPr>
      </w:pPr>
      <w:r w:rsidRPr="00CF0555">
        <w:rPr>
          <w:b/>
          <w:bCs/>
        </w:rPr>
        <w:t>to increase the accountability of people who commit domestic violence and encourage them to accept responsibility for their actions, and</w:t>
      </w:r>
    </w:p>
    <w:p w14:paraId="211C39A5" w14:textId="0C892B5F" w:rsidR="00FA4FCF" w:rsidRPr="00CF0555" w:rsidRDefault="00FA4FCF" w:rsidP="0067521E">
      <w:pPr>
        <w:pStyle w:val="ListParagraph"/>
        <w:numPr>
          <w:ilvl w:val="0"/>
          <w:numId w:val="40"/>
        </w:numPr>
        <w:spacing w:line="259" w:lineRule="auto"/>
        <w:ind w:left="567" w:hanging="567"/>
        <w:rPr>
          <w:b/>
          <w:bCs/>
        </w:rPr>
      </w:pPr>
      <w:r w:rsidRPr="00CF0555">
        <w:rPr>
          <w:b/>
          <w:bCs/>
        </w:rPr>
        <w:t>the variation and revocation of domestic violence orders.</w:t>
      </w:r>
    </w:p>
    <w:p w14:paraId="52DC28A3" w14:textId="77777777" w:rsidR="00FA4FCF" w:rsidRDefault="00FA4FCF" w:rsidP="00CF0555">
      <w:pPr>
        <w:pStyle w:val="Heading4"/>
        <w:keepNext/>
        <w:rPr>
          <w:lang w:eastAsia="en-AU"/>
        </w:rPr>
      </w:pPr>
      <w:r>
        <w:rPr>
          <w:lang w:eastAsia="en-AU"/>
        </w:rPr>
        <w:t>When may a DVO be made</w:t>
      </w:r>
    </w:p>
    <w:p w14:paraId="630FC9CF" w14:textId="0DBB03FD" w:rsidR="00FA4FCF" w:rsidRPr="00BE22AC" w:rsidRDefault="00FA4FCF" w:rsidP="00CF0555">
      <w:pPr>
        <w:keepNext/>
        <w:spacing w:after="120"/>
        <w:rPr>
          <w:lang w:eastAsia="en-AU"/>
        </w:rPr>
      </w:pPr>
      <w:r>
        <w:rPr>
          <w:lang w:eastAsia="en-AU"/>
        </w:rPr>
        <w:t>Section 18 of the DFV</w:t>
      </w:r>
      <w:r w:rsidR="00CF0555">
        <w:rPr>
          <w:lang w:eastAsia="en-AU"/>
        </w:rPr>
        <w:t> </w:t>
      </w:r>
      <w:r>
        <w:rPr>
          <w:lang w:eastAsia="en-AU"/>
        </w:rPr>
        <w:t>A</w:t>
      </w:r>
      <w:r w:rsidR="00CF0555">
        <w:rPr>
          <w:lang w:eastAsia="en-AU"/>
        </w:rPr>
        <w:t>ct</w:t>
      </w:r>
      <w:r>
        <w:rPr>
          <w:lang w:eastAsia="en-AU"/>
        </w:rPr>
        <w:t xml:space="preserve"> outlines the test for when a DVO may be made as follows:</w:t>
      </w:r>
    </w:p>
    <w:p w14:paraId="6FBDE6CF" w14:textId="1C8F1C26" w:rsidR="00FA4FCF" w:rsidRPr="00CF0555" w:rsidRDefault="00FA4FCF" w:rsidP="00FD6D02">
      <w:pPr>
        <w:spacing w:after="120"/>
        <w:ind w:left="567" w:hanging="567"/>
      </w:pPr>
      <w:r w:rsidRPr="00CF0555">
        <w:t>(1)</w:t>
      </w:r>
      <w:r w:rsidRPr="00CF0555">
        <w:tab/>
      </w:r>
      <w:r w:rsidRPr="00CF0555">
        <w:tab/>
        <w:t>The issuing authority may make a DVO only if satisfied there are reasonable grounds for the protected person to fear the commission of domestic violence against the person by the defendant.</w:t>
      </w:r>
    </w:p>
    <w:p w14:paraId="634C8085" w14:textId="77777777" w:rsidR="00FA4FCF" w:rsidRPr="00CF0555" w:rsidRDefault="00FA4FCF" w:rsidP="00FD6D02">
      <w:pPr>
        <w:spacing w:after="120"/>
        <w:ind w:left="567"/>
      </w:pPr>
      <w:r w:rsidRPr="00CF0555">
        <w:t>Note</w:t>
      </w:r>
    </w:p>
    <w:p w14:paraId="08EB48C2" w14:textId="77777777" w:rsidR="00FA4FCF" w:rsidRPr="00CF0555" w:rsidRDefault="00FA4FCF" w:rsidP="00FD6D02">
      <w:pPr>
        <w:spacing w:after="120"/>
        <w:ind w:left="567"/>
      </w:pPr>
      <w:r w:rsidRPr="00CF0555">
        <w:t>Because of the objective nature of the test in subsection (1), the issuing authority may be satisfied on the balance of probabilities as to the reasonable grounds even if the protected person denies, or does not give evidence about, fearing the commission of domestic violence.</w:t>
      </w:r>
    </w:p>
    <w:p w14:paraId="1AE10B68" w14:textId="129FAA25" w:rsidR="00FA4FCF" w:rsidRPr="00CF0555" w:rsidRDefault="00FA4FCF" w:rsidP="00FD6D02">
      <w:pPr>
        <w:ind w:left="567" w:hanging="568"/>
      </w:pPr>
      <w:r w:rsidRPr="00CF0555">
        <w:t>(2)</w:t>
      </w:r>
      <w:r w:rsidRPr="00CF0555">
        <w:tab/>
        <w:t>In addition, if the protected person is a child, the authority may make a DVO if satisfied there are reasonable grounds to fear the child will be exposed to domestic violence committed by or against a person with whom the child is in a domestic relationship.</w:t>
      </w:r>
    </w:p>
    <w:p w14:paraId="467F6601" w14:textId="77777777" w:rsidR="00FA4FCF" w:rsidRDefault="00FA4FCF" w:rsidP="00FA4FCF">
      <w:pPr>
        <w:rPr>
          <w:lang w:eastAsia="en-AU"/>
        </w:rPr>
      </w:pPr>
      <w:r>
        <w:rPr>
          <w:lang w:eastAsia="en-AU"/>
        </w:rPr>
        <w:t xml:space="preserve">It is not proposed to change these tests. </w:t>
      </w:r>
    </w:p>
    <w:p w14:paraId="5E8D3949" w14:textId="404D4708" w:rsidR="00FA4FCF" w:rsidRDefault="00D3542C" w:rsidP="00FA4FCF">
      <w:pPr>
        <w:rPr>
          <w:lang w:eastAsia="en-AU"/>
        </w:rPr>
      </w:pPr>
      <w:r>
        <w:rPr>
          <w:lang w:eastAsia="en-AU"/>
        </w:rPr>
        <w:t>I</w:t>
      </w:r>
      <w:r w:rsidR="00FA4FCF">
        <w:rPr>
          <w:lang w:eastAsia="en-AU"/>
        </w:rPr>
        <w:t xml:space="preserve">t is proposed to provide further guidance to the </w:t>
      </w:r>
      <w:r w:rsidR="00FD6D02">
        <w:rPr>
          <w:lang w:eastAsia="en-AU"/>
        </w:rPr>
        <w:t xml:space="preserve">court </w:t>
      </w:r>
      <w:r w:rsidR="00FA4FCF">
        <w:rPr>
          <w:lang w:eastAsia="en-AU"/>
        </w:rPr>
        <w:t xml:space="preserve">in cases where there are cross-allegations of </w:t>
      </w:r>
      <w:r w:rsidR="00FA4FCF" w:rsidRPr="00CF0555">
        <w:rPr>
          <w:lang w:eastAsia="en-AU"/>
        </w:rPr>
        <w:t>violence or cross-applications for a DVO</w:t>
      </w:r>
      <w:r w:rsidR="00C47CC4" w:rsidRPr="00CF0555">
        <w:rPr>
          <w:lang w:eastAsia="en-AU"/>
        </w:rPr>
        <w:t>, and in relation to the protection of children (see below).</w:t>
      </w:r>
    </w:p>
    <w:p w14:paraId="043E75FA" w14:textId="77777777" w:rsidR="00FD6D02" w:rsidRDefault="00FD6D02">
      <w:pPr>
        <w:rPr>
          <w:rFonts w:asciiTheme="majorHAnsi" w:hAnsiTheme="majorHAnsi" w:cs="Arial"/>
          <w:bCs/>
          <w:color w:val="1F1F5F" w:themeColor="text1"/>
          <w:sz w:val="28"/>
          <w:szCs w:val="28"/>
          <w:lang w:eastAsia="en-AU"/>
        </w:rPr>
      </w:pPr>
      <w:r>
        <w:rPr>
          <w:lang w:eastAsia="en-AU"/>
        </w:rPr>
        <w:br w:type="page"/>
      </w:r>
    </w:p>
    <w:p w14:paraId="6ADB9563" w14:textId="6FB16A0D" w:rsidR="00FA4FCF" w:rsidRPr="00AA5F4B" w:rsidRDefault="00FA4FCF" w:rsidP="00FD6D02">
      <w:pPr>
        <w:pStyle w:val="Heading3"/>
        <w:keepNext/>
        <w:rPr>
          <w:lang w:eastAsia="en-AU"/>
        </w:rPr>
      </w:pPr>
      <w:bookmarkStart w:id="44" w:name="_Toc112051834"/>
      <w:r w:rsidRPr="00AA5F4B">
        <w:rPr>
          <w:lang w:eastAsia="en-AU"/>
        </w:rPr>
        <w:lastRenderedPageBreak/>
        <w:t xml:space="preserve">Matters </w:t>
      </w:r>
      <w:r w:rsidR="00C51BEF">
        <w:rPr>
          <w:lang w:eastAsia="en-AU"/>
        </w:rPr>
        <w:t xml:space="preserve">that must be </w:t>
      </w:r>
      <w:r w:rsidRPr="00AA5F4B">
        <w:rPr>
          <w:lang w:eastAsia="en-AU"/>
        </w:rPr>
        <w:t>considered in making a DVO</w:t>
      </w:r>
      <w:bookmarkEnd w:id="44"/>
    </w:p>
    <w:p w14:paraId="04FED813" w14:textId="13560653" w:rsidR="00FA4FCF" w:rsidRDefault="00FA4FCF" w:rsidP="00FD6D02">
      <w:pPr>
        <w:keepNext/>
        <w:spacing w:after="120"/>
        <w:rPr>
          <w:lang w:eastAsia="en-AU"/>
        </w:rPr>
      </w:pPr>
      <w:r>
        <w:rPr>
          <w:lang w:eastAsia="en-AU"/>
        </w:rPr>
        <w:t>Section 19 of the DFV</w:t>
      </w:r>
      <w:r w:rsidR="00FD6D02">
        <w:rPr>
          <w:lang w:eastAsia="en-AU"/>
        </w:rPr>
        <w:t> </w:t>
      </w:r>
      <w:r>
        <w:rPr>
          <w:lang w:eastAsia="en-AU"/>
        </w:rPr>
        <w:t>A</w:t>
      </w:r>
      <w:r w:rsidR="00FD6D02">
        <w:rPr>
          <w:lang w:eastAsia="en-AU"/>
        </w:rPr>
        <w:t>ct</w:t>
      </w:r>
      <w:r>
        <w:rPr>
          <w:lang w:eastAsia="en-AU"/>
        </w:rPr>
        <w:t xml:space="preserve"> </w:t>
      </w:r>
      <w:r w:rsidR="00704A39">
        <w:rPr>
          <w:lang w:eastAsia="en-AU"/>
        </w:rPr>
        <w:t xml:space="preserve">sets out </w:t>
      </w:r>
      <w:r>
        <w:rPr>
          <w:lang w:eastAsia="en-AU"/>
        </w:rPr>
        <w:t xml:space="preserve">the matters </w:t>
      </w:r>
      <w:r w:rsidR="00C51BEF">
        <w:rPr>
          <w:lang w:eastAsia="en-AU"/>
        </w:rPr>
        <w:t>that must be</w:t>
      </w:r>
      <w:r>
        <w:rPr>
          <w:lang w:eastAsia="en-AU"/>
        </w:rPr>
        <w:t xml:space="preserve"> considered in making a DVO:</w:t>
      </w:r>
    </w:p>
    <w:p w14:paraId="3FB413F7" w14:textId="2120AEE3" w:rsidR="00FA4FCF" w:rsidRPr="00FD6D02" w:rsidRDefault="00FA4FCF" w:rsidP="00FD6D02">
      <w:pPr>
        <w:pStyle w:val="Subsection"/>
        <w:tabs>
          <w:tab w:val="clear" w:pos="902"/>
        </w:tabs>
        <w:spacing w:after="120"/>
        <w:ind w:left="567" w:hanging="567"/>
        <w:rPr>
          <w:rFonts w:asciiTheme="minorHAnsi" w:hAnsiTheme="minorHAnsi"/>
          <w:sz w:val="22"/>
          <w:szCs w:val="22"/>
        </w:rPr>
      </w:pPr>
      <w:r w:rsidRPr="00FD6D02">
        <w:rPr>
          <w:rFonts w:ascii="Lato" w:hAnsi="Lato"/>
          <w:sz w:val="22"/>
          <w:szCs w:val="22"/>
        </w:rPr>
        <w:t>(1)</w:t>
      </w:r>
      <w:r w:rsidRPr="00FD6D02">
        <w:rPr>
          <w:sz w:val="22"/>
          <w:szCs w:val="22"/>
        </w:rPr>
        <w:tab/>
      </w:r>
      <w:r w:rsidRPr="00FD6D02">
        <w:rPr>
          <w:rFonts w:asciiTheme="minorHAnsi" w:hAnsiTheme="minorHAnsi"/>
          <w:sz w:val="22"/>
          <w:szCs w:val="22"/>
        </w:rPr>
        <w:t>In deciding whether to make a DVO, the issuing authority</w:t>
      </w:r>
      <w:bookmarkStart w:id="45" w:name="GS18@Gs1@Hpa@EN"/>
      <w:bookmarkEnd w:id="45"/>
      <w:r w:rsidRPr="00FD6D02">
        <w:rPr>
          <w:rFonts w:asciiTheme="minorHAnsi" w:hAnsiTheme="minorHAnsi"/>
          <w:sz w:val="22"/>
          <w:szCs w:val="22"/>
        </w:rPr>
        <w:t xml:space="preserve"> must consider the safety and protection of the protected person to be of paramount importance.</w:t>
      </w:r>
    </w:p>
    <w:p w14:paraId="7A6EB402" w14:textId="16456751" w:rsidR="00FA4FCF" w:rsidRPr="00FD6D02" w:rsidRDefault="00FA4FCF" w:rsidP="00FD6D02">
      <w:pPr>
        <w:pStyle w:val="Subsection"/>
        <w:keepNext/>
        <w:keepLines/>
        <w:tabs>
          <w:tab w:val="clear" w:pos="902"/>
        </w:tabs>
        <w:spacing w:after="120"/>
        <w:ind w:left="567" w:hanging="567"/>
        <w:rPr>
          <w:rFonts w:asciiTheme="minorHAnsi" w:hAnsiTheme="minorHAnsi"/>
          <w:bCs/>
          <w:sz w:val="22"/>
          <w:szCs w:val="22"/>
        </w:rPr>
      </w:pPr>
      <w:bookmarkStart w:id="46" w:name="GS18@Gs1@Hpb@EN"/>
      <w:bookmarkStart w:id="47" w:name="GS18@Gs1@Hpc@EN"/>
      <w:bookmarkEnd w:id="46"/>
      <w:bookmarkEnd w:id="47"/>
      <w:r w:rsidRPr="00FD6D02">
        <w:rPr>
          <w:rFonts w:asciiTheme="minorHAnsi" w:hAnsiTheme="minorHAnsi"/>
          <w:sz w:val="22"/>
          <w:szCs w:val="22"/>
        </w:rPr>
        <w:t>(2)</w:t>
      </w:r>
      <w:r w:rsidRPr="00FD6D02">
        <w:rPr>
          <w:rFonts w:asciiTheme="minorHAnsi" w:hAnsiTheme="minorHAnsi"/>
          <w:sz w:val="22"/>
          <w:szCs w:val="22"/>
        </w:rPr>
        <w:tab/>
        <w:t>In addition, the issuing authority must consider the following</w:t>
      </w:r>
      <w:r w:rsidRPr="00FD6D02">
        <w:rPr>
          <w:rFonts w:asciiTheme="minorHAnsi" w:hAnsiTheme="minorHAnsi"/>
          <w:bCs/>
          <w:sz w:val="22"/>
          <w:szCs w:val="22"/>
        </w:rPr>
        <w:t>:</w:t>
      </w:r>
    </w:p>
    <w:p w14:paraId="03FCA34C" w14:textId="77777777" w:rsidR="00FA4FCF" w:rsidRPr="00FD6D02" w:rsidRDefault="00FA4FCF" w:rsidP="00FD6D02">
      <w:pPr>
        <w:pStyle w:val="Paragraph"/>
        <w:keepLines/>
        <w:spacing w:after="120"/>
        <w:ind w:left="1134"/>
        <w:rPr>
          <w:rFonts w:asciiTheme="minorHAnsi" w:hAnsiTheme="minorHAnsi"/>
          <w:sz w:val="22"/>
          <w:szCs w:val="22"/>
        </w:rPr>
      </w:pPr>
      <w:r w:rsidRPr="00FD6D02">
        <w:rPr>
          <w:rFonts w:asciiTheme="minorHAnsi" w:hAnsiTheme="minorHAnsi"/>
          <w:bCs/>
          <w:sz w:val="22"/>
          <w:szCs w:val="22"/>
        </w:rPr>
        <w:t>(a)</w:t>
      </w:r>
      <w:r w:rsidRPr="00FD6D02">
        <w:rPr>
          <w:rFonts w:asciiTheme="minorHAnsi" w:hAnsiTheme="minorHAnsi"/>
          <w:sz w:val="22"/>
          <w:szCs w:val="22"/>
        </w:rPr>
        <w:tab/>
        <w:t>any family law orders in force in relation to the defendant, or any pending applications for family law orders in relation to the defendant, of which the issuing authority has been informed;</w:t>
      </w:r>
    </w:p>
    <w:p w14:paraId="0E1143C0" w14:textId="77777777" w:rsidR="00FA4FCF" w:rsidRPr="00FD6D02" w:rsidRDefault="00FA4FCF" w:rsidP="00FD6D02">
      <w:pPr>
        <w:pStyle w:val="Paragraph"/>
        <w:spacing w:after="120"/>
        <w:ind w:left="1134"/>
        <w:rPr>
          <w:rFonts w:asciiTheme="minorHAnsi" w:hAnsiTheme="minorHAnsi"/>
          <w:sz w:val="22"/>
          <w:szCs w:val="22"/>
        </w:rPr>
      </w:pPr>
      <w:r w:rsidRPr="00FD6D02">
        <w:rPr>
          <w:rFonts w:asciiTheme="minorHAnsi" w:hAnsiTheme="minorHAnsi"/>
          <w:sz w:val="22"/>
          <w:szCs w:val="22"/>
        </w:rPr>
        <w:t>(b)</w:t>
      </w:r>
      <w:r w:rsidRPr="00FD6D02">
        <w:rPr>
          <w:rFonts w:asciiTheme="minorHAnsi" w:hAnsiTheme="minorHAnsi"/>
          <w:sz w:val="22"/>
          <w:szCs w:val="22"/>
        </w:rPr>
        <w:tab/>
        <w:t>the accommodation needs of the protected person;</w:t>
      </w:r>
    </w:p>
    <w:p w14:paraId="4760C583" w14:textId="77777777" w:rsidR="00FA4FCF" w:rsidRPr="00FD6D02" w:rsidRDefault="00FA4FCF" w:rsidP="00FD6D02">
      <w:pPr>
        <w:pStyle w:val="Paragraph"/>
        <w:keepLines/>
        <w:spacing w:after="120"/>
        <w:ind w:left="1134"/>
        <w:rPr>
          <w:rFonts w:asciiTheme="minorHAnsi" w:hAnsiTheme="minorHAnsi"/>
          <w:sz w:val="22"/>
          <w:szCs w:val="22"/>
        </w:rPr>
      </w:pPr>
      <w:r w:rsidRPr="00FD6D02">
        <w:rPr>
          <w:rFonts w:asciiTheme="minorHAnsi" w:hAnsiTheme="minorHAnsi"/>
          <w:sz w:val="22"/>
          <w:szCs w:val="22"/>
        </w:rPr>
        <w:t>(c)</w:t>
      </w:r>
      <w:r w:rsidRPr="00FD6D02">
        <w:rPr>
          <w:rFonts w:asciiTheme="minorHAnsi" w:hAnsiTheme="minorHAnsi"/>
          <w:sz w:val="22"/>
          <w:szCs w:val="22"/>
        </w:rPr>
        <w:tab/>
        <w:t xml:space="preserve">the defendant's criminal record as defined in the </w:t>
      </w:r>
      <w:r w:rsidRPr="00FD6D02">
        <w:rPr>
          <w:rFonts w:asciiTheme="minorHAnsi" w:hAnsiTheme="minorHAnsi"/>
          <w:i/>
          <w:sz w:val="22"/>
          <w:szCs w:val="22"/>
        </w:rPr>
        <w:t>Criminal Records (Spent Convictions) Act 1992</w:t>
      </w:r>
      <w:r w:rsidRPr="00FD6D02">
        <w:rPr>
          <w:rFonts w:asciiTheme="minorHAnsi" w:hAnsiTheme="minorHAnsi"/>
          <w:sz w:val="22"/>
          <w:szCs w:val="22"/>
        </w:rPr>
        <w:t>;</w:t>
      </w:r>
    </w:p>
    <w:p w14:paraId="6686053C" w14:textId="77777777" w:rsidR="00FA4FCF" w:rsidRPr="00FD6D02" w:rsidRDefault="00FA4FCF" w:rsidP="00FD6D02">
      <w:pPr>
        <w:pStyle w:val="Paragraph"/>
        <w:spacing w:after="120"/>
        <w:ind w:left="1134"/>
        <w:rPr>
          <w:rFonts w:asciiTheme="minorHAnsi" w:hAnsiTheme="minorHAnsi"/>
          <w:sz w:val="22"/>
          <w:szCs w:val="22"/>
        </w:rPr>
      </w:pPr>
      <w:r w:rsidRPr="00FD6D02">
        <w:rPr>
          <w:rFonts w:asciiTheme="minorHAnsi" w:hAnsiTheme="minorHAnsi"/>
          <w:sz w:val="22"/>
          <w:szCs w:val="22"/>
        </w:rPr>
        <w:t>(d)</w:t>
      </w:r>
      <w:r w:rsidRPr="00FD6D02">
        <w:rPr>
          <w:rFonts w:asciiTheme="minorHAnsi" w:hAnsiTheme="minorHAnsi"/>
          <w:sz w:val="22"/>
          <w:szCs w:val="22"/>
        </w:rPr>
        <w:tab/>
        <w:t>the defendant's previous conduct whether in relation to the protected person or someone else;</w:t>
      </w:r>
    </w:p>
    <w:p w14:paraId="3E83B60C" w14:textId="77777777" w:rsidR="00FA4FCF" w:rsidRPr="00FD6D02" w:rsidRDefault="00FA4FCF" w:rsidP="00FD6D02">
      <w:pPr>
        <w:pStyle w:val="Paragraph"/>
        <w:ind w:left="1134"/>
        <w:rPr>
          <w:rFonts w:asciiTheme="minorHAnsi" w:hAnsiTheme="minorHAnsi"/>
          <w:sz w:val="22"/>
          <w:szCs w:val="22"/>
        </w:rPr>
      </w:pPr>
      <w:r w:rsidRPr="00FD6D02">
        <w:rPr>
          <w:rFonts w:asciiTheme="minorHAnsi" w:hAnsiTheme="minorHAnsi"/>
          <w:sz w:val="22"/>
          <w:szCs w:val="22"/>
        </w:rPr>
        <w:t>(e)</w:t>
      </w:r>
      <w:r w:rsidRPr="00FD6D02">
        <w:rPr>
          <w:rFonts w:asciiTheme="minorHAnsi" w:hAnsiTheme="minorHAnsi"/>
          <w:sz w:val="22"/>
          <w:szCs w:val="22"/>
        </w:rPr>
        <w:tab/>
        <w:t>other matters the authority considers relevant.</w:t>
      </w:r>
    </w:p>
    <w:p w14:paraId="5DEBCFBC" w14:textId="2694A0E2" w:rsidR="00FA4FCF" w:rsidRDefault="00FA4FCF" w:rsidP="00FD6D02">
      <w:pPr>
        <w:spacing w:after="120"/>
        <w:rPr>
          <w:lang w:eastAsia="en-AU"/>
        </w:rPr>
      </w:pPr>
      <w:r>
        <w:rPr>
          <w:lang w:eastAsia="en-AU"/>
        </w:rPr>
        <w:t xml:space="preserve">Stakeholders have raised a number of concerns </w:t>
      </w:r>
      <w:r w:rsidR="0091012F">
        <w:rPr>
          <w:lang w:eastAsia="en-AU"/>
        </w:rPr>
        <w:t>with section 19</w:t>
      </w:r>
      <w:r>
        <w:rPr>
          <w:lang w:eastAsia="en-AU"/>
        </w:rPr>
        <w:t>, in particular:</w:t>
      </w:r>
    </w:p>
    <w:p w14:paraId="3A8D5649" w14:textId="4B296695" w:rsidR="00FA4FCF" w:rsidRDefault="00FA4FCF" w:rsidP="0067521E">
      <w:pPr>
        <w:pStyle w:val="ListParagraph"/>
        <w:numPr>
          <w:ilvl w:val="0"/>
          <w:numId w:val="42"/>
        </w:numPr>
        <w:ind w:left="993" w:hanging="426"/>
        <w:rPr>
          <w:lang w:eastAsia="en-AU"/>
        </w:rPr>
      </w:pPr>
      <w:r>
        <w:rPr>
          <w:lang w:eastAsia="en-AU"/>
        </w:rPr>
        <w:t>Despite section 19(2)(d)</w:t>
      </w:r>
      <w:r w:rsidR="00FD6D02">
        <w:rPr>
          <w:lang w:eastAsia="en-AU"/>
        </w:rPr>
        <w:t>,</w:t>
      </w:r>
      <w:r>
        <w:rPr>
          <w:lang w:eastAsia="en-AU"/>
        </w:rPr>
        <w:t xml:space="preserve"> </w:t>
      </w:r>
      <w:r w:rsidR="00310DB9">
        <w:rPr>
          <w:lang w:eastAsia="en-AU"/>
        </w:rPr>
        <w:t>t</w:t>
      </w:r>
      <w:r>
        <w:rPr>
          <w:lang w:eastAsia="en-AU"/>
        </w:rPr>
        <w:t xml:space="preserve">here is no requirement for the </w:t>
      </w:r>
      <w:r w:rsidR="00FD6D02">
        <w:rPr>
          <w:lang w:eastAsia="en-AU"/>
        </w:rPr>
        <w:t xml:space="preserve">court </w:t>
      </w:r>
      <w:r>
        <w:rPr>
          <w:lang w:eastAsia="en-AU"/>
        </w:rPr>
        <w:t xml:space="preserve">to consider, or the police to provide, information in relation to DVOs </w:t>
      </w:r>
      <w:r w:rsidR="008348C9">
        <w:rPr>
          <w:lang w:eastAsia="en-AU"/>
        </w:rPr>
        <w:t xml:space="preserve">made </w:t>
      </w:r>
      <w:r>
        <w:rPr>
          <w:lang w:eastAsia="en-AU"/>
        </w:rPr>
        <w:t xml:space="preserve">against the defendant, </w:t>
      </w:r>
      <w:r w:rsidR="008348C9">
        <w:rPr>
          <w:lang w:eastAsia="en-AU"/>
        </w:rPr>
        <w:t>whether or not they are in force</w:t>
      </w:r>
      <w:r w:rsidR="00FD6D02">
        <w:rPr>
          <w:lang w:eastAsia="en-AU"/>
        </w:rPr>
        <w:t>.</w:t>
      </w:r>
    </w:p>
    <w:p w14:paraId="5B33F314" w14:textId="43E7E6D8" w:rsidR="008348C9" w:rsidRPr="008348C9" w:rsidRDefault="008348C9" w:rsidP="0067521E">
      <w:pPr>
        <w:pStyle w:val="ListParagraph"/>
        <w:numPr>
          <w:ilvl w:val="0"/>
          <w:numId w:val="42"/>
        </w:numPr>
        <w:ind w:left="993" w:hanging="426"/>
        <w:rPr>
          <w:lang w:eastAsia="en-AU"/>
        </w:rPr>
      </w:pPr>
      <w:r w:rsidRPr="008348C9">
        <w:t xml:space="preserve">Section 19(2)(a) provides that the </w:t>
      </w:r>
      <w:r w:rsidR="00FD6D02" w:rsidRPr="008348C9">
        <w:t xml:space="preserve">court </w:t>
      </w:r>
      <w:r w:rsidRPr="008348C9">
        <w:t xml:space="preserve">must consider any family law orders and applications yet there is no similar requirement for the </w:t>
      </w:r>
      <w:r w:rsidR="00FD6D02" w:rsidRPr="008348C9">
        <w:t xml:space="preserve">court </w:t>
      </w:r>
      <w:r w:rsidRPr="008348C9">
        <w:t xml:space="preserve">to consider orders and applications under </w:t>
      </w:r>
      <w:r w:rsidRPr="008348C9">
        <w:rPr>
          <w:i/>
        </w:rPr>
        <w:t>Care and Protection of Children Act 2007</w:t>
      </w:r>
      <w:r w:rsidRPr="008348C9">
        <w:t xml:space="preserve">.  </w:t>
      </w:r>
    </w:p>
    <w:p w14:paraId="730127D2" w14:textId="4DDDBAD3" w:rsidR="00FA4FCF" w:rsidRDefault="00FA4FCF" w:rsidP="00FA4FCF">
      <w:pPr>
        <w:rPr>
          <w:lang w:eastAsia="en-AU"/>
        </w:rPr>
      </w:pPr>
      <w:r>
        <w:rPr>
          <w:lang w:eastAsia="en-AU"/>
        </w:rPr>
        <w:t xml:space="preserve">Stakeholders and members of the judiciary have indicated that this means that orders are being made without important information being before the </w:t>
      </w:r>
      <w:r w:rsidR="00FD6D02">
        <w:rPr>
          <w:lang w:eastAsia="en-AU"/>
        </w:rPr>
        <w:t>court</w:t>
      </w:r>
      <w:r>
        <w:rPr>
          <w:lang w:eastAsia="en-AU"/>
        </w:rPr>
        <w:t>.</w:t>
      </w:r>
    </w:p>
    <w:p w14:paraId="0E61902A" w14:textId="6C05C14E" w:rsidR="00FA4FCF" w:rsidRDefault="00FA4FCF" w:rsidP="00FA4FCF">
      <w:pPr>
        <w:rPr>
          <w:lang w:eastAsia="en-AU"/>
        </w:rPr>
      </w:pPr>
      <w:r>
        <w:rPr>
          <w:lang w:eastAsia="en-AU"/>
        </w:rPr>
        <w:t xml:space="preserve">In addition, stakeholders have raised concerns that despite section 18(2) which provides a specific test in relation to making DVOs for children, the needs of children in the care of the protected person or the defendant are frequently not fully considered when the </w:t>
      </w:r>
      <w:r w:rsidR="00FD6D02">
        <w:rPr>
          <w:lang w:eastAsia="en-AU"/>
        </w:rPr>
        <w:t xml:space="preserve">court </w:t>
      </w:r>
      <w:r>
        <w:rPr>
          <w:lang w:eastAsia="en-AU"/>
        </w:rPr>
        <w:t xml:space="preserve">is considering orders for an adult protected person. </w:t>
      </w:r>
    </w:p>
    <w:p w14:paraId="400B519F" w14:textId="2F65F08F" w:rsidR="00387E62" w:rsidRDefault="00387E62" w:rsidP="00FA4FCF">
      <w:r>
        <w:t xml:space="preserve">Section 80 of the </w:t>
      </w:r>
      <w:r w:rsidRPr="00353E40">
        <w:rPr>
          <w:i/>
        </w:rPr>
        <w:t xml:space="preserve">Family Violence Protection Act 2008 (Vic) </w:t>
      </w:r>
      <w:r w:rsidRPr="00DC020D">
        <w:t>provides that the</w:t>
      </w:r>
      <w:r>
        <w:t xml:space="preserve"> safety of the protected person and children must be the paramount consideration in deciding on the conditions in a DVO.</w:t>
      </w:r>
    </w:p>
    <w:p w14:paraId="669E9635" w14:textId="7FECCE29" w:rsidR="00D23F9C" w:rsidRPr="00D23F9C" w:rsidRDefault="00D23F9C" w:rsidP="00FD6D02">
      <w:pPr>
        <w:pStyle w:val="Heading4"/>
        <w:keepNext/>
        <w:numPr>
          <w:ilvl w:val="0"/>
          <w:numId w:val="0"/>
        </w:numPr>
        <w:spacing w:after="0"/>
        <w:ind w:left="862" w:hanging="862"/>
        <w:rPr>
          <w:lang w:eastAsia="en-AU"/>
        </w:rPr>
      </w:pPr>
      <w:r w:rsidRPr="00D23F9C">
        <w:rPr>
          <w:lang w:eastAsia="en-AU"/>
        </w:rPr>
        <w:t xml:space="preserve">PROPOSAL </w:t>
      </w:r>
      <w:r w:rsidR="001804B8">
        <w:rPr>
          <w:lang w:eastAsia="en-AU"/>
        </w:rPr>
        <w:t xml:space="preserve">LR </w:t>
      </w:r>
      <w:r w:rsidRPr="00D23F9C">
        <w:rPr>
          <w:lang w:eastAsia="en-AU"/>
        </w:rPr>
        <w:t>10</w:t>
      </w:r>
    </w:p>
    <w:p w14:paraId="4FE44BE3" w14:textId="1CF99C3C" w:rsidR="00FA4FCF" w:rsidRPr="00D23F9C" w:rsidRDefault="00FA4FCF" w:rsidP="00FD6D02">
      <w:pPr>
        <w:keepNext/>
        <w:spacing w:after="0"/>
        <w:rPr>
          <w:b/>
          <w:bCs/>
          <w:lang w:eastAsia="en-AU"/>
        </w:rPr>
      </w:pPr>
      <w:r w:rsidRPr="00D23F9C">
        <w:rPr>
          <w:b/>
          <w:bCs/>
          <w:lang w:eastAsia="en-AU"/>
        </w:rPr>
        <w:t>It is proposed to:</w:t>
      </w:r>
    </w:p>
    <w:p w14:paraId="044018E3" w14:textId="77777777" w:rsidR="00FA4FCF" w:rsidRPr="00D23F9C" w:rsidRDefault="00FA4FCF" w:rsidP="0067521E">
      <w:pPr>
        <w:pStyle w:val="ListParagraph"/>
        <w:numPr>
          <w:ilvl w:val="0"/>
          <w:numId w:val="43"/>
        </w:numPr>
        <w:spacing w:after="0"/>
        <w:ind w:left="567" w:hanging="567"/>
        <w:rPr>
          <w:b/>
          <w:bCs/>
        </w:rPr>
      </w:pPr>
      <w:r w:rsidRPr="00D23F9C">
        <w:rPr>
          <w:b/>
          <w:bCs/>
          <w:lang w:eastAsia="en-AU"/>
        </w:rPr>
        <w:t xml:space="preserve">Amend section 19(1) </w:t>
      </w:r>
      <w:r w:rsidRPr="00D23F9C">
        <w:rPr>
          <w:b/>
          <w:bCs/>
        </w:rPr>
        <w:t>along the lines:</w:t>
      </w:r>
    </w:p>
    <w:p w14:paraId="2A0772A4" w14:textId="77777777" w:rsidR="00FA4FCF" w:rsidRPr="00D23F9C" w:rsidRDefault="00FA4FCF" w:rsidP="00FD6D02">
      <w:pPr>
        <w:spacing w:after="0"/>
        <w:ind w:left="567"/>
        <w:rPr>
          <w:b/>
          <w:bCs/>
        </w:rPr>
      </w:pPr>
      <w:r w:rsidRPr="00D23F9C">
        <w:rPr>
          <w:b/>
          <w:bCs/>
        </w:rPr>
        <w:t xml:space="preserve">“In deciding whether to make a DVO, and in deciding the terms of a DVO, the issuing authority must consider the safety and protection of the protected person and any children to be of paramount importance.”  </w:t>
      </w:r>
    </w:p>
    <w:p w14:paraId="0F06422A" w14:textId="19CD695E" w:rsidR="00FA4FCF" w:rsidRPr="00D3542C" w:rsidRDefault="00FA4FCF" w:rsidP="0067521E">
      <w:pPr>
        <w:pStyle w:val="ListParagraph"/>
        <w:numPr>
          <w:ilvl w:val="0"/>
          <w:numId w:val="43"/>
        </w:numPr>
        <w:spacing w:after="0"/>
        <w:ind w:left="567" w:hanging="567"/>
        <w:rPr>
          <w:b/>
          <w:bCs/>
        </w:rPr>
      </w:pPr>
      <w:r w:rsidRPr="00D3542C">
        <w:rPr>
          <w:b/>
          <w:bCs/>
        </w:rPr>
        <w:t xml:space="preserve">Amend section 19(2) to include the following additional </w:t>
      </w:r>
      <w:r w:rsidR="00704A39" w:rsidRPr="00D3542C">
        <w:rPr>
          <w:b/>
          <w:bCs/>
        </w:rPr>
        <w:t>matters that must be considered in making a DVO</w:t>
      </w:r>
      <w:r w:rsidRPr="00D3542C">
        <w:rPr>
          <w:b/>
          <w:bCs/>
        </w:rPr>
        <w:t>:</w:t>
      </w:r>
    </w:p>
    <w:p w14:paraId="7E24FAAE" w14:textId="1C20AA07" w:rsidR="00FA4FCF" w:rsidRPr="00D23F9C" w:rsidRDefault="00FA4FCF" w:rsidP="0067521E">
      <w:pPr>
        <w:pStyle w:val="Paragraph"/>
        <w:numPr>
          <w:ilvl w:val="1"/>
          <w:numId w:val="43"/>
        </w:numPr>
        <w:spacing w:after="0"/>
        <w:ind w:left="1134" w:hanging="567"/>
        <w:rPr>
          <w:rFonts w:asciiTheme="minorHAnsi" w:hAnsiTheme="minorHAnsi" w:cstheme="minorHAnsi"/>
          <w:b/>
          <w:bCs/>
          <w:sz w:val="22"/>
          <w:szCs w:val="22"/>
        </w:rPr>
      </w:pPr>
      <w:r w:rsidRPr="00D23F9C">
        <w:rPr>
          <w:rFonts w:asciiTheme="minorHAnsi" w:hAnsiTheme="minorHAnsi" w:cstheme="minorHAnsi"/>
          <w:b/>
          <w:bCs/>
          <w:sz w:val="22"/>
          <w:szCs w:val="22"/>
        </w:rPr>
        <w:t>any DVOs made against the defendant, whether or not they are currently in force</w:t>
      </w:r>
      <w:r w:rsidR="00FD6D02">
        <w:rPr>
          <w:rFonts w:asciiTheme="minorHAnsi" w:hAnsiTheme="minorHAnsi" w:cstheme="minorHAnsi"/>
          <w:b/>
          <w:bCs/>
          <w:sz w:val="22"/>
          <w:szCs w:val="22"/>
        </w:rPr>
        <w:t>;</w:t>
      </w:r>
    </w:p>
    <w:p w14:paraId="1FE965A5" w14:textId="2AD5F6EC" w:rsidR="00FA4FCF" w:rsidRPr="00D23F9C" w:rsidRDefault="00FA4FCF" w:rsidP="0067521E">
      <w:pPr>
        <w:pStyle w:val="Paragraph"/>
        <w:numPr>
          <w:ilvl w:val="1"/>
          <w:numId w:val="43"/>
        </w:numPr>
        <w:spacing w:after="0"/>
        <w:ind w:left="1134" w:hanging="567"/>
        <w:rPr>
          <w:rFonts w:asciiTheme="minorHAnsi" w:hAnsiTheme="minorHAnsi" w:cstheme="minorHAnsi"/>
          <w:b/>
          <w:bCs/>
          <w:sz w:val="22"/>
          <w:szCs w:val="22"/>
        </w:rPr>
      </w:pPr>
      <w:r w:rsidRPr="00D23F9C">
        <w:rPr>
          <w:rFonts w:asciiTheme="minorHAnsi" w:hAnsiTheme="minorHAnsi" w:cstheme="minorHAnsi"/>
          <w:b/>
          <w:bCs/>
          <w:sz w:val="22"/>
          <w:szCs w:val="22"/>
        </w:rPr>
        <w:t>other current legal proceedings involving the defendant or the protected person</w:t>
      </w:r>
      <w:r w:rsidR="00FD6D02">
        <w:rPr>
          <w:rFonts w:asciiTheme="minorHAnsi" w:hAnsiTheme="minorHAnsi" w:cstheme="minorHAnsi"/>
          <w:b/>
          <w:bCs/>
          <w:sz w:val="22"/>
          <w:szCs w:val="22"/>
        </w:rPr>
        <w:t>;</w:t>
      </w:r>
    </w:p>
    <w:p w14:paraId="57ED1C9E" w14:textId="518359A5" w:rsidR="00C51BEF" w:rsidRPr="00D23F9C" w:rsidRDefault="00C51BEF" w:rsidP="0067521E">
      <w:pPr>
        <w:pStyle w:val="ListParagraph"/>
        <w:numPr>
          <w:ilvl w:val="1"/>
          <w:numId w:val="43"/>
        </w:numPr>
        <w:spacing w:after="0"/>
        <w:ind w:left="1134" w:hanging="567"/>
        <w:rPr>
          <w:rFonts w:asciiTheme="minorHAnsi" w:hAnsiTheme="minorHAnsi" w:cstheme="minorHAnsi"/>
          <w:b/>
          <w:bCs/>
        </w:rPr>
      </w:pPr>
      <w:r w:rsidRPr="00D23F9C">
        <w:rPr>
          <w:b/>
          <w:bCs/>
        </w:rPr>
        <w:t xml:space="preserve">orders and applications under </w:t>
      </w:r>
      <w:r w:rsidRPr="00D23F9C">
        <w:rPr>
          <w:b/>
          <w:bCs/>
          <w:i/>
        </w:rPr>
        <w:t>Care and Protection of Children Act 2007</w:t>
      </w:r>
      <w:r w:rsidR="00FD6D02">
        <w:rPr>
          <w:b/>
          <w:bCs/>
          <w:i/>
        </w:rPr>
        <w:t>.</w:t>
      </w:r>
      <w:r w:rsidRPr="00D23F9C">
        <w:rPr>
          <w:b/>
          <w:bCs/>
        </w:rPr>
        <w:t xml:space="preserve"> </w:t>
      </w:r>
    </w:p>
    <w:p w14:paraId="60B18082" w14:textId="170E7065" w:rsidR="00FA4FCF" w:rsidRPr="00D23F9C" w:rsidRDefault="00D23F9C" w:rsidP="0067521E">
      <w:pPr>
        <w:pStyle w:val="ListParagraph"/>
        <w:numPr>
          <w:ilvl w:val="0"/>
          <w:numId w:val="43"/>
        </w:numPr>
        <w:ind w:left="567" w:hanging="567"/>
        <w:rPr>
          <w:b/>
          <w:bCs/>
        </w:rPr>
      </w:pPr>
      <w:r>
        <w:rPr>
          <w:b/>
          <w:bCs/>
        </w:rPr>
        <w:t>Insert</w:t>
      </w:r>
      <w:r w:rsidR="00FA4FCF" w:rsidRPr="00D23F9C">
        <w:rPr>
          <w:b/>
          <w:bCs/>
        </w:rPr>
        <w:t xml:space="preserve"> a new </w:t>
      </w:r>
      <w:r w:rsidR="002C6ED4" w:rsidRPr="00D23F9C">
        <w:rPr>
          <w:b/>
          <w:bCs/>
        </w:rPr>
        <w:t xml:space="preserve">mandatory </w:t>
      </w:r>
      <w:r w:rsidR="00FA4FCF" w:rsidRPr="00D23F9C">
        <w:rPr>
          <w:b/>
          <w:bCs/>
        </w:rPr>
        <w:t xml:space="preserve">requirement </w:t>
      </w:r>
      <w:r>
        <w:rPr>
          <w:b/>
          <w:bCs/>
        </w:rPr>
        <w:t>in</w:t>
      </w:r>
      <w:r w:rsidR="00FA4FCF" w:rsidRPr="00D23F9C">
        <w:rPr>
          <w:b/>
          <w:bCs/>
        </w:rPr>
        <w:t xml:space="preserve"> section 19, along the lines that if there are children in the care of, or who have regular contact with, a protected person or the defendant</w:t>
      </w:r>
      <w:r w:rsidR="00FD6D02">
        <w:rPr>
          <w:b/>
          <w:bCs/>
        </w:rPr>
        <w:t>,</w:t>
      </w:r>
      <w:r w:rsidR="00FA4FCF" w:rsidRPr="00D23F9C">
        <w:rPr>
          <w:b/>
          <w:bCs/>
        </w:rPr>
        <w:t xml:space="preserve"> the </w:t>
      </w:r>
      <w:r w:rsidR="00FD6D02" w:rsidRPr="00D23F9C">
        <w:rPr>
          <w:b/>
          <w:bCs/>
        </w:rPr>
        <w:t xml:space="preserve">court </w:t>
      </w:r>
      <w:r w:rsidR="00FA4FCF" w:rsidRPr="00D23F9C">
        <w:rPr>
          <w:b/>
          <w:bCs/>
        </w:rPr>
        <w:t>must consider whether section 18(2) applies in relation to the children, and must consider whether the children should be included as protected persons on the adult protected persons DVO or require their own DVO.</w:t>
      </w:r>
    </w:p>
    <w:p w14:paraId="39E45A16" w14:textId="54468A20" w:rsidR="00D23F9C" w:rsidRPr="00D23F9C" w:rsidRDefault="00D23F9C" w:rsidP="00254808">
      <w:pPr>
        <w:pStyle w:val="Heading4"/>
        <w:keepNext/>
        <w:numPr>
          <w:ilvl w:val="0"/>
          <w:numId w:val="0"/>
        </w:numPr>
        <w:spacing w:after="0" w:line="259" w:lineRule="auto"/>
        <w:ind w:left="862" w:hanging="862"/>
      </w:pPr>
      <w:r w:rsidRPr="00D23F9C">
        <w:lastRenderedPageBreak/>
        <w:t xml:space="preserve">PROPOSAL </w:t>
      </w:r>
      <w:r w:rsidR="002756AF">
        <w:t xml:space="preserve">LR </w:t>
      </w:r>
      <w:r w:rsidRPr="00D23F9C">
        <w:t>11</w:t>
      </w:r>
    </w:p>
    <w:p w14:paraId="004FAD03" w14:textId="68EEC36C" w:rsidR="00D23F9C" w:rsidRDefault="008348C9" w:rsidP="00254808">
      <w:pPr>
        <w:spacing w:line="259" w:lineRule="auto"/>
        <w:rPr>
          <w:rFonts w:cs="Arial"/>
          <w:b/>
          <w:bCs/>
          <w:lang w:val="en-US"/>
        </w:rPr>
      </w:pPr>
      <w:r w:rsidRPr="00D23F9C">
        <w:rPr>
          <w:b/>
          <w:bCs/>
        </w:rPr>
        <w:t xml:space="preserve">It is proposed to add </w:t>
      </w:r>
      <w:r w:rsidR="00FA4FCF" w:rsidRPr="00D23F9C">
        <w:rPr>
          <w:b/>
          <w:bCs/>
        </w:rPr>
        <w:t xml:space="preserve">a new requirement to </w:t>
      </w:r>
      <w:r w:rsidRPr="00D23F9C">
        <w:rPr>
          <w:b/>
          <w:bCs/>
        </w:rPr>
        <w:t>the DFV</w:t>
      </w:r>
      <w:r w:rsidR="00FD6D02">
        <w:rPr>
          <w:b/>
          <w:bCs/>
        </w:rPr>
        <w:t> </w:t>
      </w:r>
      <w:r w:rsidRPr="00D23F9C">
        <w:rPr>
          <w:b/>
          <w:bCs/>
        </w:rPr>
        <w:t>A</w:t>
      </w:r>
      <w:r w:rsidR="00FD6D02">
        <w:rPr>
          <w:b/>
          <w:bCs/>
        </w:rPr>
        <w:t>ct</w:t>
      </w:r>
      <w:r w:rsidR="00FA4FCF" w:rsidRPr="00D23F9C">
        <w:rPr>
          <w:b/>
          <w:bCs/>
        </w:rPr>
        <w:t xml:space="preserve"> that for all applications for DVOs (police or private) a </w:t>
      </w:r>
      <w:r w:rsidR="002C6ED4" w:rsidRPr="00D23F9C">
        <w:rPr>
          <w:b/>
          <w:bCs/>
        </w:rPr>
        <w:t>certificate</w:t>
      </w:r>
      <w:r w:rsidR="00FA4FCF" w:rsidRPr="00D23F9C">
        <w:rPr>
          <w:b/>
          <w:bCs/>
        </w:rPr>
        <w:t xml:space="preserve"> from police o</w:t>
      </w:r>
      <w:r w:rsidR="002C6ED4" w:rsidRPr="00D23F9C">
        <w:rPr>
          <w:b/>
          <w:bCs/>
        </w:rPr>
        <w:t>utlining t</w:t>
      </w:r>
      <w:r w:rsidR="00FA4FCF" w:rsidRPr="00D23F9C">
        <w:rPr>
          <w:b/>
          <w:bCs/>
        </w:rPr>
        <w:t>he defendant’s criminal history and any</w:t>
      </w:r>
      <w:r w:rsidR="00C51BEF" w:rsidRPr="00D23F9C">
        <w:rPr>
          <w:b/>
          <w:bCs/>
        </w:rPr>
        <w:t xml:space="preserve"> </w:t>
      </w:r>
      <w:r w:rsidR="00FA4FCF" w:rsidRPr="00D23F9C">
        <w:rPr>
          <w:b/>
          <w:bCs/>
        </w:rPr>
        <w:t>DVOs</w:t>
      </w:r>
      <w:r w:rsidR="00C51BEF" w:rsidRPr="00D23F9C">
        <w:rPr>
          <w:b/>
          <w:bCs/>
        </w:rPr>
        <w:t xml:space="preserve"> made against the defendant</w:t>
      </w:r>
      <w:r w:rsidRPr="00D23F9C">
        <w:rPr>
          <w:b/>
          <w:bCs/>
        </w:rPr>
        <w:t>,</w:t>
      </w:r>
      <w:r w:rsidR="00FA4FCF" w:rsidRPr="00D23F9C">
        <w:rPr>
          <w:b/>
          <w:bCs/>
        </w:rPr>
        <w:t xml:space="preserve"> </w:t>
      </w:r>
      <w:r w:rsidR="00C51BEF" w:rsidRPr="00D23F9C">
        <w:rPr>
          <w:b/>
          <w:bCs/>
        </w:rPr>
        <w:t xml:space="preserve">whether or not they are currently in force, </w:t>
      </w:r>
      <w:r w:rsidR="00FA4FCF" w:rsidRPr="00D23F9C">
        <w:rPr>
          <w:b/>
          <w:bCs/>
        </w:rPr>
        <w:t xml:space="preserve">must </w:t>
      </w:r>
      <w:r w:rsidR="00C51BEF" w:rsidRPr="00D23F9C">
        <w:rPr>
          <w:b/>
          <w:bCs/>
        </w:rPr>
        <w:t xml:space="preserve">be </w:t>
      </w:r>
      <w:r w:rsidR="00FA4FCF" w:rsidRPr="00D23F9C">
        <w:rPr>
          <w:b/>
          <w:bCs/>
        </w:rPr>
        <w:t xml:space="preserve">put on the </w:t>
      </w:r>
      <w:r w:rsidR="00FD6D02" w:rsidRPr="00D23F9C">
        <w:rPr>
          <w:b/>
          <w:bCs/>
        </w:rPr>
        <w:t xml:space="preserve">court </w:t>
      </w:r>
      <w:r w:rsidR="00FA4FCF" w:rsidRPr="00D23F9C">
        <w:rPr>
          <w:b/>
          <w:bCs/>
        </w:rPr>
        <w:t xml:space="preserve">file at the first mention (along the lines of section 10F in the </w:t>
      </w:r>
      <w:r w:rsidR="00FA4FCF" w:rsidRPr="00D23F9C">
        <w:rPr>
          <w:rFonts w:cs="Arial"/>
          <w:b/>
          <w:bCs/>
          <w:i/>
          <w:lang w:val="en-US"/>
        </w:rPr>
        <w:t>Restraining Orders Act 1997</w:t>
      </w:r>
      <w:r w:rsidR="00FA4FCF" w:rsidRPr="00D23F9C">
        <w:rPr>
          <w:rFonts w:cs="Arial"/>
          <w:b/>
          <w:bCs/>
          <w:lang w:val="en-US"/>
        </w:rPr>
        <w:t xml:space="preserve"> (WA)).</w:t>
      </w:r>
      <w:r w:rsidRPr="00D23F9C">
        <w:rPr>
          <w:rFonts w:cs="Arial"/>
          <w:b/>
          <w:bCs/>
          <w:lang w:val="en-US"/>
        </w:rPr>
        <w:t xml:space="preserve">  </w:t>
      </w:r>
    </w:p>
    <w:p w14:paraId="3BF30033" w14:textId="5723CC2A" w:rsidR="00FA4FCF" w:rsidRPr="00D23F9C" w:rsidRDefault="008348C9" w:rsidP="00FA4FCF">
      <w:pPr>
        <w:rPr>
          <w:rFonts w:cs="Arial"/>
          <w:lang w:val="en-US"/>
        </w:rPr>
      </w:pPr>
      <w:r w:rsidRPr="00D23F9C">
        <w:rPr>
          <w:rFonts w:cs="Arial"/>
          <w:lang w:val="en-US"/>
        </w:rPr>
        <w:t>This will provide th</w:t>
      </w:r>
      <w:r w:rsidR="00D3542C">
        <w:rPr>
          <w:rFonts w:cs="Arial"/>
          <w:lang w:val="en-US"/>
        </w:rPr>
        <w:t xml:space="preserve">e </w:t>
      </w:r>
      <w:r w:rsidR="00FD6D02">
        <w:rPr>
          <w:rFonts w:cs="Arial"/>
          <w:lang w:val="en-US"/>
        </w:rPr>
        <w:t xml:space="preserve">court </w:t>
      </w:r>
      <w:r w:rsidR="00D3542C">
        <w:rPr>
          <w:rFonts w:cs="Arial"/>
          <w:lang w:val="en-US"/>
        </w:rPr>
        <w:t>with information relevant to</w:t>
      </w:r>
      <w:r w:rsidRPr="00D23F9C">
        <w:rPr>
          <w:rFonts w:cs="Arial"/>
          <w:lang w:val="en-US"/>
        </w:rPr>
        <w:t xml:space="preserve"> the requirements of section 19 about what must be considered in making a DVO.</w:t>
      </w:r>
      <w:r w:rsidR="00D3542C">
        <w:rPr>
          <w:rFonts w:cs="Arial"/>
          <w:lang w:val="en-US"/>
        </w:rPr>
        <w:t xml:space="preserve">  It is proposed to create a</w:t>
      </w:r>
      <w:r w:rsidR="00387E62" w:rsidRPr="00D23F9C">
        <w:rPr>
          <w:rFonts w:cs="Arial"/>
          <w:lang w:val="en-US"/>
        </w:rPr>
        <w:t xml:space="preserve"> standard form </w:t>
      </w:r>
      <w:r w:rsidR="00D3542C">
        <w:rPr>
          <w:rFonts w:cs="Arial"/>
          <w:lang w:val="en-US"/>
        </w:rPr>
        <w:t>to minimise the administration involved in providing the certificate.</w:t>
      </w:r>
    </w:p>
    <w:p w14:paraId="745B6C4E" w14:textId="46D6D542" w:rsidR="00FA4FCF" w:rsidRDefault="009C08C1" w:rsidP="00FD6D02">
      <w:pPr>
        <w:pStyle w:val="Heading3"/>
        <w:keepNext/>
        <w:rPr>
          <w:lang w:eastAsia="en-AU"/>
        </w:rPr>
      </w:pPr>
      <w:bookmarkStart w:id="48" w:name="_Toc112051835"/>
      <w:r>
        <w:rPr>
          <w:lang w:eastAsia="en-AU"/>
        </w:rPr>
        <w:t>M</w:t>
      </w:r>
      <w:r w:rsidR="00FA4FCF">
        <w:rPr>
          <w:lang w:eastAsia="en-AU"/>
        </w:rPr>
        <w:t>isidentification of the ‘person most in need of protection’</w:t>
      </w:r>
      <w:bookmarkEnd w:id="48"/>
    </w:p>
    <w:p w14:paraId="6BC0D9E2" w14:textId="4B01808D" w:rsidR="004566BE" w:rsidRDefault="00103AB3" w:rsidP="004566BE">
      <w:pPr>
        <w:rPr>
          <w:lang w:eastAsia="en-AU"/>
        </w:rPr>
      </w:pPr>
      <w:r>
        <w:rPr>
          <w:lang w:eastAsia="en-AU"/>
        </w:rPr>
        <w:t xml:space="preserve">The misidentification </w:t>
      </w:r>
      <w:r w:rsidR="007946DA">
        <w:rPr>
          <w:lang w:eastAsia="en-AU"/>
        </w:rPr>
        <w:t xml:space="preserve">of the person most in need of protection has been discussed in </w:t>
      </w:r>
      <w:r w:rsidR="00FD6D02" w:rsidRPr="00FD6D02">
        <w:rPr>
          <w:lang w:eastAsia="en-AU"/>
        </w:rPr>
        <w:t xml:space="preserve">Part </w:t>
      </w:r>
      <w:r w:rsidR="00A034EC" w:rsidRPr="00FD6D02">
        <w:rPr>
          <w:lang w:eastAsia="en-AU"/>
        </w:rPr>
        <w:t>3.</w:t>
      </w:r>
      <w:r w:rsidR="003A59D4" w:rsidRPr="00FD6D02">
        <w:rPr>
          <w:lang w:eastAsia="en-AU"/>
        </w:rPr>
        <w:t>6</w:t>
      </w:r>
      <w:r w:rsidR="00A034EC">
        <w:rPr>
          <w:lang w:eastAsia="en-AU"/>
        </w:rPr>
        <w:t xml:space="preserve"> above.</w:t>
      </w:r>
      <w:r w:rsidR="004566BE">
        <w:rPr>
          <w:lang w:eastAsia="en-AU"/>
        </w:rPr>
        <w:t xml:space="preserve">  </w:t>
      </w:r>
      <w:r w:rsidR="00A034EC">
        <w:rPr>
          <w:lang w:eastAsia="en-AU"/>
        </w:rPr>
        <w:t xml:space="preserve">It refers to </w:t>
      </w:r>
      <w:r w:rsidR="0078016D">
        <w:t>the growing number of w</w:t>
      </w:r>
      <w:r w:rsidR="00A034EC">
        <w:t xml:space="preserve">omen who are both (1) </w:t>
      </w:r>
      <w:r w:rsidR="0078016D">
        <w:t>victim-survivors of DFV and (2) named as defendants in DVO applications or orders</w:t>
      </w:r>
      <w:r w:rsidR="00A034EC">
        <w:t xml:space="preserve">. </w:t>
      </w:r>
      <w:r w:rsidR="0078016D">
        <w:rPr>
          <w:rStyle w:val="FootnoteReference"/>
          <w:lang w:eastAsia="en-AU"/>
        </w:rPr>
        <w:footnoteReference w:id="164"/>
      </w:r>
      <w:r w:rsidR="0078016D">
        <w:rPr>
          <w:lang w:eastAsia="en-AU"/>
        </w:rPr>
        <w:t xml:space="preserve">   </w:t>
      </w:r>
    </w:p>
    <w:p w14:paraId="7FDB62EF" w14:textId="2D4D4F57" w:rsidR="001C45CA" w:rsidRDefault="004566BE" w:rsidP="004566BE">
      <w:r>
        <w:t>There are various reasons for misidentification of a victim-survivor</w:t>
      </w:r>
      <w:r w:rsidR="009C08C1">
        <w:t xml:space="preserve"> as a defendant</w:t>
      </w:r>
      <w:r>
        <w:t xml:space="preserve">. </w:t>
      </w:r>
      <w:r w:rsidR="00FD6D02">
        <w:t xml:space="preserve"> </w:t>
      </w:r>
      <w:r>
        <w:t xml:space="preserve">One reason may be that a long-term victim of violence, uses violence themselves in self-defence or retaliation. </w:t>
      </w:r>
      <w:r w:rsidR="00FD6D02">
        <w:t xml:space="preserve"> </w:t>
      </w:r>
      <w:r>
        <w:t xml:space="preserve">However, in other cases the victim may have used no or little violence. </w:t>
      </w:r>
      <w:r w:rsidR="00FD6D02">
        <w:t xml:space="preserve"> </w:t>
      </w:r>
      <w:r>
        <w:t xml:space="preserve">There is a growing number of cases in which a long-term offender uses the legal system as a vehicle to continue to harass, intimidate or control the victim (often referred to ‘systems abuse’).  For example, some long-term offenders contact the police first (or apply for their own DVO) alleging they are the victim of violence, as a tactic to gain the upper hand, or to deflect attention away from their own offending. </w:t>
      </w:r>
      <w:r>
        <w:rPr>
          <w:rStyle w:val="FootnoteReference"/>
        </w:rPr>
        <w:footnoteReference w:id="165"/>
      </w:r>
    </w:p>
    <w:p w14:paraId="6DC42728" w14:textId="2D1F3108" w:rsidR="00A32D80" w:rsidRDefault="004566BE" w:rsidP="004566BE">
      <w:r>
        <w:t>In these circumstances</w:t>
      </w:r>
      <w:r w:rsidR="00FD6D02">
        <w:t>,</w:t>
      </w:r>
      <w:r>
        <w:t xml:space="preserve"> police or courts may issue a DVO protecting a person who is actually the predominant aggressor.  Police may also issue mutual DVOs against both parties because they are uncertain who is the victim and the offender. Without the full history of the relationship</w:t>
      </w:r>
      <w:r w:rsidR="00FD6D02">
        <w:t>,</w:t>
      </w:r>
      <w:r>
        <w:t xml:space="preserve"> the police make a judgment that the parties are equally at fault and are equally in need of protection.  </w:t>
      </w:r>
      <w:r w:rsidR="00A32D80">
        <w:t xml:space="preserve">However, DFV experts argue that DFV is rarely symmetrical in this way.  </w:t>
      </w:r>
    </w:p>
    <w:p w14:paraId="5F85722A" w14:textId="2DBECFD0" w:rsidR="009C08C1" w:rsidRDefault="004566BE" w:rsidP="004566BE">
      <w:r>
        <w:t xml:space="preserve">Often the initial view formed by police is perpetuated by the </w:t>
      </w:r>
      <w:r w:rsidR="00FD6D02">
        <w:t xml:space="preserve">court </w:t>
      </w:r>
      <w:r>
        <w:t xml:space="preserve">which is relying, to a large extent, on evidence and submissions made by the police. </w:t>
      </w:r>
      <w:r w:rsidR="00FD6D02">
        <w:t xml:space="preserve"> </w:t>
      </w:r>
      <w:r w:rsidR="001C45CA">
        <w:t>Misidentification</w:t>
      </w:r>
      <w:r w:rsidR="00A32D80">
        <w:t xml:space="preserve"> can follow the victim-survivor through the system without being properly scrutinised or challenged. </w:t>
      </w:r>
      <w:r w:rsidR="00FD6D02">
        <w:t xml:space="preserve"> </w:t>
      </w:r>
      <w:r w:rsidR="00A32D80">
        <w:t>This has been found to be particularly true for Aboriginal victim-survivors.</w:t>
      </w:r>
      <w:r w:rsidR="00A32D80">
        <w:rPr>
          <w:rStyle w:val="FootnoteReference"/>
        </w:rPr>
        <w:footnoteReference w:id="166"/>
      </w:r>
    </w:p>
    <w:p w14:paraId="18F8732A" w14:textId="77777777" w:rsidR="001C45CA" w:rsidRDefault="009C08C1" w:rsidP="004566BE">
      <w:r>
        <w:t>In cases where there are cross-allegations of violence or it appears that both parties have used violence, i</w:t>
      </w:r>
      <w:r w:rsidR="00A32D80">
        <w:t xml:space="preserve">t has been proposed that </w:t>
      </w:r>
      <w:r>
        <w:t>police and courts should seek to identify ‘</w:t>
      </w:r>
      <w:r w:rsidR="00A32D80">
        <w:t>the person most in need of protection</w:t>
      </w:r>
      <w:r>
        <w:t>’.</w:t>
      </w:r>
      <w:r w:rsidR="00A32D80">
        <w:t xml:space="preserve"> </w:t>
      </w:r>
    </w:p>
    <w:p w14:paraId="39E5B1A3" w14:textId="54AD573C" w:rsidR="004566BE" w:rsidRDefault="00A32D80" w:rsidP="004566BE">
      <w:r>
        <w:t xml:space="preserve">This </w:t>
      </w:r>
      <w:r w:rsidR="009C08C1">
        <w:t xml:space="preserve">concept </w:t>
      </w:r>
      <w:r>
        <w:t>has been incorporated into law in Queensland and Western Australia.</w:t>
      </w:r>
    </w:p>
    <w:p w14:paraId="4C8FB685" w14:textId="7EE277E2" w:rsidR="00FA4FCF" w:rsidRDefault="00FA4FCF" w:rsidP="00FA4FCF">
      <w:pPr>
        <w:rPr>
          <w:lang w:eastAsia="en-AU"/>
        </w:rPr>
      </w:pPr>
      <w:r>
        <w:rPr>
          <w:lang w:eastAsia="en-AU"/>
        </w:rPr>
        <w:t xml:space="preserve">In the </w:t>
      </w:r>
      <w:r w:rsidRPr="00EB6525">
        <w:rPr>
          <w:i/>
          <w:lang w:eastAsia="en-AU"/>
        </w:rPr>
        <w:t>Domestic and Family Violence Protection Act 2012</w:t>
      </w:r>
      <w:r>
        <w:rPr>
          <w:lang w:eastAsia="en-AU"/>
        </w:rPr>
        <w:t xml:space="preserve"> (Qld) the principles for administering the Act include a principle stating that ‘in circumstances in which there are conflicting allegations of domestic violence or indications that both persons in a relationship are committing acts of violence, including for their self-protection, the person most in need of protection should be identified’ (section 4(2)(e)). </w:t>
      </w:r>
    </w:p>
    <w:p w14:paraId="4059F5F7" w14:textId="04F7BB51" w:rsidR="00FA4FCF" w:rsidRDefault="00FA4FCF" w:rsidP="001B3161">
      <w:pPr>
        <w:keepLines/>
        <w:spacing w:after="160"/>
        <w:rPr>
          <w:lang w:eastAsia="en-AU"/>
        </w:rPr>
      </w:pPr>
      <w:r>
        <w:rPr>
          <w:lang w:eastAsia="en-AU"/>
        </w:rPr>
        <w:lastRenderedPageBreak/>
        <w:t xml:space="preserve">In addition, Queensland has provisions to ensure that cross applications are disclosed by the parties, and are heard before the same court unless the court considers it necessary to hear the applications separately for </w:t>
      </w:r>
      <w:r w:rsidR="00034CD9">
        <w:rPr>
          <w:lang w:eastAsia="en-AU"/>
        </w:rPr>
        <w:t xml:space="preserve">the </w:t>
      </w:r>
      <w:r>
        <w:rPr>
          <w:lang w:eastAsia="en-AU"/>
        </w:rPr>
        <w:t>safety, protection and well-being of the protected person.  In hearing the applications</w:t>
      </w:r>
      <w:r w:rsidR="00FD6D02">
        <w:rPr>
          <w:lang w:eastAsia="en-AU"/>
        </w:rPr>
        <w:t>,</w:t>
      </w:r>
      <w:r>
        <w:rPr>
          <w:lang w:eastAsia="en-AU"/>
        </w:rPr>
        <w:t xml:space="preserve"> the </w:t>
      </w:r>
      <w:r w:rsidR="00FD6D02">
        <w:rPr>
          <w:lang w:eastAsia="en-AU"/>
        </w:rPr>
        <w:t xml:space="preserve">court </w:t>
      </w:r>
      <w:r>
        <w:rPr>
          <w:lang w:eastAsia="en-AU"/>
        </w:rPr>
        <w:t xml:space="preserve">must consider the principle in section </w:t>
      </w:r>
      <w:r w:rsidR="00034CD9">
        <w:rPr>
          <w:lang w:eastAsia="en-AU"/>
        </w:rPr>
        <w:t>4</w:t>
      </w:r>
      <w:r>
        <w:rPr>
          <w:lang w:eastAsia="en-AU"/>
        </w:rPr>
        <w:t>(2)(e), that is, the person most in need of protection should be identified.</w:t>
      </w:r>
    </w:p>
    <w:p w14:paraId="563DE2EA" w14:textId="4514BF93" w:rsidR="00F60520" w:rsidRDefault="00F60520" w:rsidP="001B3161">
      <w:pPr>
        <w:spacing w:after="160"/>
        <w:rPr>
          <w:lang w:eastAsia="en-AU"/>
        </w:rPr>
      </w:pPr>
      <w:r w:rsidRPr="007F32F8">
        <w:rPr>
          <w:lang w:eastAsia="en-AU"/>
        </w:rPr>
        <w:t xml:space="preserve">However, despite this principle there have been </w:t>
      </w:r>
      <w:r w:rsidR="00A32D80">
        <w:rPr>
          <w:lang w:eastAsia="en-AU"/>
        </w:rPr>
        <w:t xml:space="preserve">cases in which Queensland </w:t>
      </w:r>
      <w:r w:rsidR="00E90491">
        <w:rPr>
          <w:lang w:eastAsia="en-AU"/>
        </w:rPr>
        <w:t>courts</w:t>
      </w:r>
      <w:r w:rsidR="00E90491" w:rsidRPr="007F32F8">
        <w:rPr>
          <w:lang w:eastAsia="en-AU"/>
        </w:rPr>
        <w:t xml:space="preserve"> </w:t>
      </w:r>
      <w:r w:rsidRPr="007F32F8">
        <w:rPr>
          <w:lang w:eastAsia="en-AU"/>
        </w:rPr>
        <w:t>have identified a person as ‘the person most in need of protection’ but s</w:t>
      </w:r>
      <w:r w:rsidR="009C08C1">
        <w:rPr>
          <w:lang w:eastAsia="en-AU"/>
        </w:rPr>
        <w:t xml:space="preserve">till made an order against that person </w:t>
      </w:r>
      <w:r w:rsidRPr="007F32F8">
        <w:rPr>
          <w:lang w:eastAsia="en-AU"/>
        </w:rPr>
        <w:t>because the tes</w:t>
      </w:r>
      <w:r w:rsidR="00A32D80">
        <w:rPr>
          <w:lang w:eastAsia="en-AU"/>
        </w:rPr>
        <w:t xml:space="preserve">t for making an order was </w:t>
      </w:r>
      <w:r w:rsidRPr="007F32F8">
        <w:rPr>
          <w:lang w:eastAsia="en-AU"/>
        </w:rPr>
        <w:t>met for each party.</w:t>
      </w:r>
      <w:r w:rsidR="007F32F8">
        <w:rPr>
          <w:rStyle w:val="FootnoteReference"/>
          <w:lang w:eastAsia="en-AU"/>
        </w:rPr>
        <w:footnoteReference w:id="167"/>
      </w:r>
      <w:r>
        <w:rPr>
          <w:lang w:eastAsia="en-AU"/>
        </w:rPr>
        <w:t xml:space="preserve"> </w:t>
      </w:r>
    </w:p>
    <w:p w14:paraId="1F371136" w14:textId="5298BDED" w:rsidR="00FA4FCF" w:rsidRPr="00FB7C34" w:rsidRDefault="00F96CF5" w:rsidP="001B3161">
      <w:pPr>
        <w:spacing w:after="120"/>
        <w:rPr>
          <w:lang w:eastAsia="en-AU"/>
        </w:rPr>
      </w:pPr>
      <w:r>
        <w:rPr>
          <w:lang w:eastAsia="en-AU"/>
        </w:rPr>
        <w:t>T</w:t>
      </w:r>
      <w:r w:rsidR="00FA4FCF">
        <w:rPr>
          <w:lang w:eastAsia="en-AU"/>
        </w:rPr>
        <w:t xml:space="preserve">he Western Australian </w:t>
      </w:r>
      <w:r w:rsidR="00FA4FCF" w:rsidRPr="00E25D54">
        <w:rPr>
          <w:i/>
          <w:lang w:eastAsia="en-AU"/>
        </w:rPr>
        <w:t>Restraining Orders Act 1997</w:t>
      </w:r>
      <w:r w:rsidR="00FA4FCF">
        <w:rPr>
          <w:lang w:eastAsia="en-AU"/>
        </w:rPr>
        <w:t xml:space="preserve"> (WA) also makes use of th</w:t>
      </w:r>
      <w:r w:rsidR="00F60520">
        <w:rPr>
          <w:lang w:eastAsia="en-AU"/>
        </w:rPr>
        <w:t>e</w:t>
      </w:r>
      <w:r w:rsidR="00FA4FCF">
        <w:rPr>
          <w:lang w:eastAsia="en-AU"/>
        </w:rPr>
        <w:t xml:space="preserve"> concept </w:t>
      </w:r>
      <w:r w:rsidR="00F60520">
        <w:rPr>
          <w:lang w:eastAsia="en-AU"/>
        </w:rPr>
        <w:t xml:space="preserve">of ‘the person most in need of protection’ </w:t>
      </w:r>
      <w:r w:rsidR="00FA4FCF">
        <w:rPr>
          <w:lang w:eastAsia="en-AU"/>
        </w:rPr>
        <w:t>in the principles to be observed in performing functions in relation to family violence restraining orders</w:t>
      </w:r>
      <w:r w:rsidR="003021E9">
        <w:rPr>
          <w:lang w:eastAsia="en-AU"/>
        </w:rPr>
        <w:t xml:space="preserve">. </w:t>
      </w:r>
      <w:r w:rsidR="00E90491">
        <w:rPr>
          <w:lang w:eastAsia="en-AU"/>
        </w:rPr>
        <w:t xml:space="preserve"> </w:t>
      </w:r>
      <w:r w:rsidR="003021E9">
        <w:rPr>
          <w:lang w:eastAsia="en-AU"/>
        </w:rPr>
        <w:t>The relevant principles are set out in section 10B as follows</w:t>
      </w:r>
      <w:r w:rsidR="00FA4FCF">
        <w:rPr>
          <w:lang w:eastAsia="en-AU"/>
        </w:rPr>
        <w:t>:</w:t>
      </w:r>
    </w:p>
    <w:p w14:paraId="1E9C152B" w14:textId="77774863" w:rsidR="00FA4FCF" w:rsidRPr="00E90491" w:rsidRDefault="00FA4FCF" w:rsidP="001B3161">
      <w:pPr>
        <w:pStyle w:val="Indenta"/>
        <w:tabs>
          <w:tab w:val="clear" w:pos="1332"/>
          <w:tab w:val="clear" w:pos="1616"/>
        </w:tabs>
        <w:spacing w:after="80" w:line="240" w:lineRule="auto"/>
        <w:ind w:left="1134" w:hanging="567"/>
        <w:rPr>
          <w:rFonts w:asciiTheme="minorHAnsi" w:hAnsiTheme="minorHAnsi"/>
          <w:sz w:val="22"/>
          <w:szCs w:val="22"/>
        </w:rPr>
      </w:pPr>
      <w:r w:rsidRPr="00E90491">
        <w:rPr>
          <w:rFonts w:asciiTheme="minorHAnsi" w:hAnsiTheme="minorHAnsi"/>
          <w:sz w:val="22"/>
          <w:szCs w:val="22"/>
        </w:rPr>
        <w:t>(h)</w:t>
      </w:r>
      <w:r w:rsidRPr="00E90491">
        <w:rPr>
          <w:rFonts w:asciiTheme="minorHAnsi" w:hAnsiTheme="minorHAnsi"/>
          <w:sz w:val="22"/>
          <w:szCs w:val="22"/>
        </w:rPr>
        <w:tab/>
        <w:t>the need to identify, to the extent possible, the person or persons in a family relationship most in need of protection from family violence, including in situations where 2 or more family members are committing that violence;</w:t>
      </w:r>
    </w:p>
    <w:p w14:paraId="64E4D036" w14:textId="27D74395" w:rsidR="00FA4FCF" w:rsidRPr="00E90491" w:rsidRDefault="00FA4FCF" w:rsidP="001B3161">
      <w:pPr>
        <w:pStyle w:val="Indenta"/>
        <w:tabs>
          <w:tab w:val="clear" w:pos="1332"/>
          <w:tab w:val="clear" w:pos="1616"/>
        </w:tabs>
        <w:spacing w:after="80" w:line="240" w:lineRule="auto"/>
        <w:ind w:left="1134" w:hanging="567"/>
        <w:rPr>
          <w:rFonts w:asciiTheme="minorHAnsi" w:hAnsiTheme="minorHAnsi"/>
          <w:sz w:val="22"/>
          <w:szCs w:val="22"/>
        </w:rPr>
      </w:pPr>
      <w:r w:rsidRPr="00E90491">
        <w:rPr>
          <w:rFonts w:asciiTheme="minorHAnsi" w:hAnsiTheme="minorHAnsi"/>
          <w:sz w:val="22"/>
          <w:szCs w:val="22"/>
        </w:rPr>
        <w:t>(i)</w:t>
      </w:r>
      <w:r w:rsidRPr="00E90491">
        <w:rPr>
          <w:rFonts w:asciiTheme="minorHAnsi" w:hAnsiTheme="minorHAnsi"/>
          <w:sz w:val="22"/>
          <w:szCs w:val="22"/>
        </w:rPr>
        <w:tab/>
        <w:t>the need to recognise that perpetrators of family violence might seek to misuse the protections available under this Act to further their violence, and the need to prevent that misuse;</w:t>
      </w:r>
    </w:p>
    <w:p w14:paraId="5C17995E" w14:textId="71D6A25C" w:rsidR="00BA4BA3" w:rsidRPr="00E90491" w:rsidRDefault="00FA4FCF" w:rsidP="001B3161">
      <w:pPr>
        <w:pStyle w:val="Indenta"/>
        <w:tabs>
          <w:tab w:val="clear" w:pos="1332"/>
          <w:tab w:val="clear" w:pos="1616"/>
        </w:tabs>
        <w:spacing w:before="0" w:after="200"/>
        <w:ind w:left="1134" w:hanging="567"/>
        <w:rPr>
          <w:rFonts w:asciiTheme="minorHAnsi" w:hAnsiTheme="minorHAnsi"/>
          <w:sz w:val="22"/>
          <w:szCs w:val="22"/>
        </w:rPr>
      </w:pPr>
      <w:r w:rsidRPr="00E90491">
        <w:rPr>
          <w:rFonts w:asciiTheme="minorHAnsi" w:hAnsiTheme="minorHAnsi"/>
          <w:sz w:val="22"/>
          <w:szCs w:val="22"/>
        </w:rPr>
        <w:t>(j)</w:t>
      </w:r>
      <w:r w:rsidRPr="00E90491">
        <w:rPr>
          <w:rFonts w:asciiTheme="minorHAnsi" w:hAnsiTheme="minorHAnsi"/>
          <w:sz w:val="22"/>
          <w:szCs w:val="22"/>
        </w:rPr>
        <w:tab/>
        <w:t>that in order to encourage victims of family violence to report that violence and seek help, proceedings under this Act should be conducted in a way that treats victims with respect and dignity and endeavours to reduce the degree to which victims might be subject to re</w:t>
      </w:r>
      <w:r w:rsidRPr="00E90491">
        <w:rPr>
          <w:rFonts w:asciiTheme="minorHAnsi" w:hAnsiTheme="minorHAnsi"/>
          <w:sz w:val="22"/>
          <w:szCs w:val="22"/>
        </w:rPr>
        <w:noBreakHyphen/>
        <w:t>traumatis</w:t>
      </w:r>
      <w:r w:rsidR="00BD15AE" w:rsidRPr="00E90491">
        <w:rPr>
          <w:rFonts w:asciiTheme="minorHAnsi" w:hAnsiTheme="minorHAnsi"/>
          <w:sz w:val="22"/>
          <w:szCs w:val="22"/>
        </w:rPr>
        <w:t>ation during those proceedings.</w:t>
      </w:r>
    </w:p>
    <w:p w14:paraId="7102500A" w14:textId="0CE7A453" w:rsidR="00A32D80" w:rsidRPr="003021E9" w:rsidRDefault="00E05863" w:rsidP="001B3161">
      <w:pPr>
        <w:keepNext/>
        <w:spacing w:after="120"/>
        <w:rPr>
          <w:lang w:eastAsia="en-AU"/>
        </w:rPr>
      </w:pPr>
      <w:r>
        <w:rPr>
          <w:lang w:eastAsia="en-AU"/>
        </w:rPr>
        <w:t>Research s</w:t>
      </w:r>
      <w:r w:rsidR="00513B79">
        <w:rPr>
          <w:lang w:eastAsia="en-AU"/>
        </w:rPr>
        <w:t>uggests that the following will</w:t>
      </w:r>
      <w:r w:rsidR="00BD15AE">
        <w:rPr>
          <w:lang w:eastAsia="en-AU"/>
        </w:rPr>
        <w:t xml:space="preserve"> help</w:t>
      </w:r>
      <w:r w:rsidR="00513B79">
        <w:rPr>
          <w:lang w:eastAsia="en-AU"/>
        </w:rPr>
        <w:t xml:space="preserve"> reduce misidentification</w:t>
      </w:r>
      <w:r>
        <w:rPr>
          <w:lang w:eastAsia="en-AU"/>
        </w:rPr>
        <w:t>:</w:t>
      </w:r>
    </w:p>
    <w:p w14:paraId="5D0FDFBA" w14:textId="6A8CBF20" w:rsidR="00BA4BA3" w:rsidRDefault="00E05863" w:rsidP="0067521E">
      <w:pPr>
        <w:pStyle w:val="ListParagraph"/>
        <w:numPr>
          <w:ilvl w:val="0"/>
          <w:numId w:val="33"/>
        </w:numPr>
        <w:ind w:left="992" w:hanging="425"/>
      </w:pPr>
      <w:r>
        <w:t xml:space="preserve">WLSV suggested that </w:t>
      </w:r>
      <w:r w:rsidR="00513B79">
        <w:t>one factor in misidentification is p</w:t>
      </w:r>
      <w:r w:rsidR="00BA4BA3" w:rsidRPr="003021E9">
        <w:t>olice forming an early view that there is mutual and equal violence between the parties, without understanding the history of domestic violence and coercive control between the partie</w:t>
      </w:r>
      <w:r w:rsidR="00513B79">
        <w:t>s</w:t>
      </w:r>
      <w:r>
        <w:t xml:space="preserve">. </w:t>
      </w:r>
      <w:r w:rsidR="00E90491">
        <w:t xml:space="preserve"> </w:t>
      </w:r>
      <w:r>
        <w:t>Ensuring police</w:t>
      </w:r>
      <w:r w:rsidR="00513B79">
        <w:t xml:space="preserve"> understand coercive control and consider the history of DFV and coercive control in the relationship will help reduce misidentification. </w:t>
      </w:r>
    </w:p>
    <w:p w14:paraId="243DAB57" w14:textId="07CBF6D9" w:rsidR="00BA4BA3" w:rsidRDefault="00BD15AE" w:rsidP="0067521E">
      <w:pPr>
        <w:pStyle w:val="ListParagraph"/>
        <w:numPr>
          <w:ilvl w:val="0"/>
          <w:numId w:val="33"/>
        </w:numPr>
        <w:ind w:left="992" w:hanging="425"/>
      </w:pPr>
      <w:r>
        <w:t xml:space="preserve">WLSV </w:t>
      </w:r>
      <w:r w:rsidRPr="00E05863">
        <w:t xml:space="preserve">research showed that where the primary aggressor is wrongly identified it often occurred because police were not familiar with duties required of them in DFV situations as outlined in Victoria Police’s </w:t>
      </w:r>
      <w:r w:rsidRPr="00E05863">
        <w:rPr>
          <w:i/>
        </w:rPr>
        <w:t>Code of Practice for the Investigation of Family Violence</w:t>
      </w:r>
      <w:r>
        <w:rPr>
          <w:i/>
        </w:rPr>
        <w:t xml:space="preserve">.  </w:t>
      </w:r>
      <w:r w:rsidR="00513B79">
        <w:t>WLSV suggest that p</w:t>
      </w:r>
      <w:r w:rsidR="00BA4BA3" w:rsidRPr="003021E9">
        <w:t>olice failure to interview both parties, or to i</w:t>
      </w:r>
      <w:r w:rsidR="00513B79">
        <w:t xml:space="preserve">nterview the parties separately is a significant factor in misidentification because </w:t>
      </w:r>
      <w:r>
        <w:t xml:space="preserve">in the presence of the perpetrator </w:t>
      </w:r>
      <w:r w:rsidR="00513B79">
        <w:t>vi</w:t>
      </w:r>
      <w:r>
        <w:t xml:space="preserve">ctim-survivors are not safe to communicate </w:t>
      </w:r>
      <w:r w:rsidR="00513B79">
        <w:t>what has occurred.</w:t>
      </w:r>
      <w:r w:rsidR="00BA4BA3" w:rsidRPr="003021E9">
        <w:rPr>
          <w:rStyle w:val="FootnoteReference"/>
        </w:rPr>
        <w:t xml:space="preserve"> </w:t>
      </w:r>
      <w:r w:rsidR="00BA4BA3" w:rsidRPr="003021E9">
        <w:rPr>
          <w:rStyle w:val="FootnoteReference"/>
        </w:rPr>
        <w:footnoteReference w:id="168"/>
      </w:r>
      <w:r w:rsidR="002A1E12">
        <w:rPr>
          <w:rStyle w:val="FootnoteReference"/>
        </w:rPr>
        <w:t xml:space="preserve">  </w:t>
      </w:r>
      <w:r w:rsidR="00E90491">
        <w:t xml:space="preserve"> </w:t>
      </w:r>
      <w:r w:rsidR="00513B79">
        <w:t>Ensuring that both parties are interviewed and are interviewed separately is important to reduce misidentification.</w:t>
      </w:r>
      <w:r w:rsidR="002A1E12">
        <w:t xml:space="preserve"> </w:t>
      </w:r>
    </w:p>
    <w:p w14:paraId="67C026E0" w14:textId="1F494370" w:rsidR="00BD15AE" w:rsidRDefault="00BD15AE" w:rsidP="0067521E">
      <w:pPr>
        <w:pStyle w:val="ListParagraph"/>
        <w:numPr>
          <w:ilvl w:val="0"/>
          <w:numId w:val="33"/>
        </w:numPr>
        <w:ind w:left="992" w:hanging="425"/>
      </w:pPr>
      <w:r>
        <w:t xml:space="preserve">Police </w:t>
      </w:r>
      <w:r w:rsidR="00017F0C">
        <w:t xml:space="preserve">usually </w:t>
      </w:r>
      <w:r w:rsidR="00513B79" w:rsidRPr="00E05863">
        <w:t>focus on single incidents of</w:t>
      </w:r>
      <w:r w:rsidR="002A1E12">
        <w:t xml:space="preserve"> visible or physical vio</w:t>
      </w:r>
      <w:r>
        <w:t xml:space="preserve">lence. </w:t>
      </w:r>
      <w:r w:rsidR="00E90491">
        <w:t xml:space="preserve"> </w:t>
      </w:r>
      <w:r>
        <w:t>Nancarrow and others</w:t>
      </w:r>
      <w:r w:rsidR="002A1E12">
        <w:rPr>
          <w:rStyle w:val="FootnoteReference"/>
        </w:rPr>
        <w:footnoteReference w:id="169"/>
      </w:r>
      <w:r>
        <w:t xml:space="preserve"> have</w:t>
      </w:r>
      <w:r w:rsidR="002A1E12">
        <w:t xml:space="preserve"> argued that </w:t>
      </w:r>
      <w:r w:rsidR="00513B79" w:rsidRPr="00E05863">
        <w:t>his focus does not always support the appropriate application of DFV legislation where violence should be considered in context in order to assess the need for protection from future harm.</w:t>
      </w:r>
      <w:r w:rsidR="002A1E12">
        <w:t xml:space="preserve">  </w:t>
      </w:r>
      <w:r>
        <w:t>Obtaining the history of violence o</w:t>
      </w:r>
      <w:r w:rsidR="00D3542C">
        <w:t>f the defendant is important to</w:t>
      </w:r>
      <w:r>
        <w:t xml:space="preserve"> correctly identify which party is most in need of protection.  This should include the history of physical violence and coercive control.</w:t>
      </w:r>
    </w:p>
    <w:p w14:paraId="39488966" w14:textId="6C7067EF" w:rsidR="00513B79" w:rsidRDefault="00513B79" w:rsidP="0067521E">
      <w:pPr>
        <w:pStyle w:val="ListParagraph"/>
        <w:numPr>
          <w:ilvl w:val="0"/>
          <w:numId w:val="33"/>
        </w:numPr>
        <w:spacing w:line="276" w:lineRule="auto"/>
        <w:ind w:left="993" w:hanging="426"/>
      </w:pPr>
      <w:r w:rsidRPr="00E05863">
        <w:lastRenderedPageBreak/>
        <w:t>Police</w:t>
      </w:r>
      <w:r w:rsidR="00BD15AE">
        <w:t xml:space="preserve"> often make an order in the immediate circumstances, but</w:t>
      </w:r>
      <w:r w:rsidRPr="00E05863">
        <w:t xml:space="preserve"> defer</w:t>
      </w:r>
      <w:r w:rsidR="00BD15AE">
        <w:t xml:space="preserve"> to </w:t>
      </w:r>
      <w:r w:rsidR="00E90491">
        <w:t xml:space="preserve">magistrates </w:t>
      </w:r>
      <w:r w:rsidR="00BD15AE">
        <w:t>as to whether a final</w:t>
      </w:r>
      <w:r w:rsidRPr="00E05863">
        <w:t xml:space="preserve"> order is needed</w:t>
      </w:r>
      <w:r w:rsidR="00BD15AE">
        <w:t xml:space="preserve">.  However, </w:t>
      </w:r>
      <w:r w:rsidR="00E90491">
        <w:t xml:space="preserve">magistrates </w:t>
      </w:r>
      <w:r w:rsidR="00BD15AE">
        <w:t xml:space="preserve">often </w:t>
      </w:r>
      <w:r w:rsidRPr="00E05863">
        <w:t>rely on the initial assessment by police, whic</w:t>
      </w:r>
      <w:r w:rsidR="00BD15AE">
        <w:t xml:space="preserve">h can lead to misidentification that travels through the system and is difficult to correct.  It is important for </w:t>
      </w:r>
      <w:r w:rsidR="00E90491">
        <w:t xml:space="preserve">courts </w:t>
      </w:r>
      <w:r w:rsidR="00BD15AE">
        <w:t>to have the power to not proceed with an application where they believe that misidentification has occurred.</w:t>
      </w:r>
      <w:r w:rsidR="00BD15AE" w:rsidRPr="00BD15AE">
        <w:rPr>
          <w:rStyle w:val="FootnoteReference"/>
        </w:rPr>
        <w:t xml:space="preserve"> </w:t>
      </w:r>
      <w:r w:rsidR="00BD15AE">
        <w:rPr>
          <w:rStyle w:val="FootnoteReference"/>
        </w:rPr>
        <w:footnoteReference w:id="170"/>
      </w:r>
    </w:p>
    <w:p w14:paraId="3F388F53" w14:textId="20319A21" w:rsidR="00BA4BA3" w:rsidRPr="00E05863" w:rsidRDefault="00BA4BA3" w:rsidP="0067521E">
      <w:pPr>
        <w:pStyle w:val="ListParagraph"/>
        <w:numPr>
          <w:ilvl w:val="0"/>
          <w:numId w:val="24"/>
        </w:numPr>
        <w:spacing w:after="200" w:line="276" w:lineRule="auto"/>
        <w:ind w:left="992" w:hanging="425"/>
      </w:pPr>
      <w:r w:rsidRPr="00E05863">
        <w:t>The use of an evidence-based DFV Risk Assessment and Management Tool and Framework</w:t>
      </w:r>
      <w:r w:rsidR="00BD15AE">
        <w:t xml:space="preserve"> may assist in reducing misidentification</w:t>
      </w:r>
      <w:r w:rsidRPr="00E05863">
        <w:t xml:space="preserve">.  The </w:t>
      </w:r>
      <w:r w:rsidR="00017F0C">
        <w:t>TFH</w:t>
      </w:r>
      <w:r w:rsidR="00E90491">
        <w:t>C</w:t>
      </w:r>
      <w:r w:rsidR="00017F0C">
        <w:t xml:space="preserve"> </w:t>
      </w:r>
      <w:r w:rsidRPr="00E05863">
        <w:t>has developed and authorised such a multi-disciplinary tool for use in the N</w:t>
      </w:r>
      <w:r w:rsidR="00017F0C">
        <w:t>T</w:t>
      </w:r>
      <w:r w:rsidRPr="00E05863">
        <w:t>.</w:t>
      </w:r>
      <w:r w:rsidRPr="00E05863">
        <w:rPr>
          <w:rStyle w:val="FootnoteReference"/>
        </w:rPr>
        <w:footnoteReference w:id="171"/>
      </w:r>
      <w:r w:rsidRPr="00E05863">
        <w:t xml:space="preserve"> </w:t>
      </w:r>
      <w:r w:rsidR="00E90491">
        <w:t xml:space="preserve"> </w:t>
      </w:r>
      <w:r w:rsidRPr="00E05863">
        <w:t>However, it needs to be translated into a tool that police can readily and efficiently use when called to an incident.</w:t>
      </w:r>
    </w:p>
    <w:p w14:paraId="5F511C3C" w14:textId="17BB1746" w:rsidR="00CD54A4" w:rsidRDefault="00BA4BA3" w:rsidP="00CD54A4">
      <w:pPr>
        <w:spacing w:after="0" w:line="276" w:lineRule="auto"/>
      </w:pPr>
      <w:r w:rsidRPr="00E05863">
        <w:t xml:space="preserve">The implications of misidentification are extremely significant for the victim as the ANROWS and WLSV research highlights.  When police or courts incorrectly identify a long-term victim as a defendant in a DVO application, it causes the victim to lose confidence in the system and dissuades them from reporting further incidents to the police.  An initial erroneous assessment about who is the victim and who is the perpetrator can also follow the victim through the system to create doubt that they have been subjected to violence which allows the abuse to continue. </w:t>
      </w:r>
      <w:r w:rsidR="00E90491">
        <w:t xml:space="preserve"> </w:t>
      </w:r>
      <w:r w:rsidRPr="00E05863">
        <w:t xml:space="preserve">In this way, mutual orders can result in families being </w:t>
      </w:r>
      <w:r w:rsidRPr="00E05863">
        <w:rPr>
          <w:i/>
        </w:rPr>
        <w:t xml:space="preserve">less safe </w:t>
      </w:r>
      <w:r w:rsidRPr="00E05863">
        <w:t>because victim-survivors named as defendants will be reluctant to call police for help.</w:t>
      </w:r>
    </w:p>
    <w:p w14:paraId="2A4742D9" w14:textId="644B5BD2" w:rsidR="00017F0C" w:rsidRPr="00017F0C" w:rsidRDefault="00017F0C" w:rsidP="001B3161">
      <w:pPr>
        <w:pStyle w:val="Heading4"/>
        <w:keepNext/>
        <w:numPr>
          <w:ilvl w:val="0"/>
          <w:numId w:val="0"/>
        </w:numPr>
        <w:spacing w:after="0" w:line="259" w:lineRule="auto"/>
        <w:ind w:left="864" w:hanging="864"/>
        <w:rPr>
          <w:lang w:eastAsia="en-AU"/>
        </w:rPr>
      </w:pPr>
      <w:r w:rsidRPr="00017F0C">
        <w:rPr>
          <w:lang w:eastAsia="en-AU"/>
        </w:rPr>
        <w:t xml:space="preserve">PROPOSAL </w:t>
      </w:r>
      <w:r w:rsidR="001804B8">
        <w:rPr>
          <w:lang w:eastAsia="en-AU"/>
        </w:rPr>
        <w:t xml:space="preserve">LR </w:t>
      </w:r>
      <w:r w:rsidRPr="00017F0C">
        <w:rPr>
          <w:lang w:eastAsia="en-AU"/>
        </w:rPr>
        <w:t>12</w:t>
      </w:r>
    </w:p>
    <w:p w14:paraId="260D058A" w14:textId="01EE2DA3" w:rsidR="009243BD" w:rsidRPr="00B11BA7" w:rsidRDefault="00FA4FCF" w:rsidP="001B3161">
      <w:pPr>
        <w:keepNext/>
        <w:spacing w:after="0" w:line="259" w:lineRule="auto"/>
        <w:rPr>
          <w:b/>
          <w:bCs/>
          <w:lang w:eastAsia="en-AU"/>
        </w:rPr>
      </w:pPr>
      <w:r w:rsidRPr="00017F0C">
        <w:rPr>
          <w:b/>
          <w:bCs/>
          <w:lang w:eastAsia="en-AU"/>
        </w:rPr>
        <w:t>It is proposed to amend section 19 of the DFV</w:t>
      </w:r>
      <w:r w:rsidR="00E90491">
        <w:rPr>
          <w:b/>
          <w:bCs/>
          <w:lang w:eastAsia="en-AU"/>
        </w:rPr>
        <w:t> </w:t>
      </w:r>
      <w:r w:rsidRPr="00017F0C">
        <w:rPr>
          <w:b/>
          <w:bCs/>
          <w:lang w:eastAsia="en-AU"/>
        </w:rPr>
        <w:t>A</w:t>
      </w:r>
      <w:r w:rsidR="00E90491">
        <w:rPr>
          <w:b/>
          <w:bCs/>
          <w:lang w:eastAsia="en-AU"/>
        </w:rPr>
        <w:t>ct</w:t>
      </w:r>
      <w:r w:rsidR="00B11BA7">
        <w:rPr>
          <w:b/>
          <w:bCs/>
          <w:lang w:eastAsia="en-AU"/>
        </w:rPr>
        <w:t xml:space="preserve"> to introduce an add</w:t>
      </w:r>
      <w:r w:rsidR="00E90491">
        <w:rPr>
          <w:b/>
          <w:bCs/>
          <w:lang w:eastAsia="en-AU"/>
        </w:rPr>
        <w:t xml:space="preserve">itional test if there are cross </w:t>
      </w:r>
      <w:r w:rsidR="00B11BA7">
        <w:rPr>
          <w:b/>
          <w:bCs/>
          <w:lang w:eastAsia="en-AU"/>
        </w:rPr>
        <w:t>allegations of DFV</w:t>
      </w:r>
      <w:r w:rsidR="00E90491">
        <w:rPr>
          <w:b/>
          <w:bCs/>
          <w:lang w:eastAsia="en-AU"/>
        </w:rPr>
        <w:t xml:space="preserve"> or cross </w:t>
      </w:r>
      <w:r w:rsidR="00A47A4A">
        <w:rPr>
          <w:b/>
          <w:bCs/>
          <w:lang w:eastAsia="en-AU"/>
        </w:rPr>
        <w:t>applications for a DVO</w:t>
      </w:r>
      <w:r w:rsidR="00B11BA7">
        <w:rPr>
          <w:b/>
          <w:bCs/>
          <w:lang w:eastAsia="en-AU"/>
        </w:rPr>
        <w:t>:</w:t>
      </w:r>
    </w:p>
    <w:p w14:paraId="5C9A5513" w14:textId="19711E63" w:rsidR="009243BD" w:rsidRPr="00B11BA7" w:rsidRDefault="00E90491" w:rsidP="0067521E">
      <w:pPr>
        <w:pStyle w:val="PlainText"/>
        <w:numPr>
          <w:ilvl w:val="0"/>
          <w:numId w:val="100"/>
        </w:numPr>
        <w:spacing w:line="259" w:lineRule="auto"/>
        <w:ind w:left="567" w:hanging="567"/>
        <w:rPr>
          <w:rFonts w:asciiTheme="minorHAnsi" w:hAnsiTheme="minorHAnsi"/>
          <w:b/>
          <w:bCs/>
        </w:rPr>
      </w:pPr>
      <w:r>
        <w:rPr>
          <w:rFonts w:asciiTheme="minorHAnsi" w:hAnsiTheme="minorHAnsi"/>
          <w:b/>
          <w:bCs/>
        </w:rPr>
        <w:t xml:space="preserve">If there are cross </w:t>
      </w:r>
      <w:r w:rsidR="009243BD" w:rsidRPr="00B11BA7">
        <w:rPr>
          <w:rFonts w:asciiTheme="minorHAnsi" w:hAnsiTheme="minorHAnsi"/>
          <w:b/>
          <w:bCs/>
        </w:rPr>
        <w:t xml:space="preserve">allegations of </w:t>
      </w:r>
      <w:r w:rsidR="00CD54A4">
        <w:rPr>
          <w:rFonts w:asciiTheme="minorHAnsi" w:hAnsiTheme="minorHAnsi"/>
          <w:b/>
          <w:bCs/>
        </w:rPr>
        <w:t>DFV</w:t>
      </w:r>
      <w:r w:rsidR="00B53000">
        <w:rPr>
          <w:rFonts w:asciiTheme="minorHAnsi" w:hAnsiTheme="minorHAnsi"/>
          <w:b/>
          <w:bCs/>
        </w:rPr>
        <w:t xml:space="preserve"> and </w:t>
      </w:r>
      <w:r w:rsidR="009243BD" w:rsidRPr="00B11BA7">
        <w:rPr>
          <w:rFonts w:asciiTheme="minorHAnsi" w:hAnsiTheme="minorHAnsi"/>
          <w:b/>
          <w:bCs/>
        </w:rPr>
        <w:t>the requirements of s</w:t>
      </w:r>
      <w:r>
        <w:rPr>
          <w:rFonts w:asciiTheme="minorHAnsi" w:hAnsiTheme="minorHAnsi"/>
          <w:b/>
          <w:bCs/>
        </w:rPr>
        <w:t>ection </w:t>
      </w:r>
      <w:r w:rsidR="009243BD" w:rsidRPr="00B11BA7">
        <w:rPr>
          <w:rFonts w:asciiTheme="minorHAnsi" w:hAnsiTheme="minorHAnsi"/>
          <w:b/>
          <w:bCs/>
        </w:rPr>
        <w:t xml:space="preserve">18(1) </w:t>
      </w:r>
      <w:r w:rsidR="00B53000">
        <w:rPr>
          <w:rFonts w:asciiTheme="minorHAnsi" w:hAnsiTheme="minorHAnsi"/>
          <w:b/>
          <w:bCs/>
        </w:rPr>
        <w:t>are likely to be</w:t>
      </w:r>
      <w:r w:rsidR="009243BD" w:rsidRPr="00B11BA7">
        <w:rPr>
          <w:rFonts w:asciiTheme="minorHAnsi" w:hAnsiTheme="minorHAnsi"/>
          <w:b/>
          <w:bCs/>
        </w:rPr>
        <w:t xml:space="preserve"> met for both parties, the </w:t>
      </w:r>
      <w:r w:rsidRPr="00B11BA7">
        <w:rPr>
          <w:rFonts w:asciiTheme="minorHAnsi" w:hAnsiTheme="minorHAnsi"/>
          <w:b/>
          <w:bCs/>
        </w:rPr>
        <w:t xml:space="preserve">court </w:t>
      </w:r>
      <w:r w:rsidR="009243BD" w:rsidRPr="00B11BA7">
        <w:rPr>
          <w:rFonts w:asciiTheme="minorHAnsi" w:hAnsiTheme="minorHAnsi"/>
          <w:b/>
          <w:bCs/>
        </w:rPr>
        <w:t>must consider the nature of the DFV in the relationship between the parties to identify if one party is the person most in need of protection.</w:t>
      </w:r>
    </w:p>
    <w:p w14:paraId="572DBB10" w14:textId="6D0823C0" w:rsidR="009243BD" w:rsidRPr="00B11BA7" w:rsidRDefault="009243BD" w:rsidP="0067521E">
      <w:pPr>
        <w:pStyle w:val="PlainText"/>
        <w:numPr>
          <w:ilvl w:val="0"/>
          <w:numId w:val="100"/>
        </w:numPr>
        <w:spacing w:line="259" w:lineRule="auto"/>
        <w:ind w:left="567" w:hanging="567"/>
        <w:rPr>
          <w:rFonts w:asciiTheme="minorHAnsi" w:hAnsiTheme="minorHAnsi"/>
          <w:b/>
          <w:bCs/>
        </w:rPr>
      </w:pPr>
      <w:r w:rsidRPr="00B11BA7">
        <w:rPr>
          <w:rFonts w:asciiTheme="minorHAnsi" w:hAnsiTheme="minorHAnsi"/>
          <w:b/>
          <w:bCs/>
        </w:rPr>
        <w:t>In determining if one party is the person most in need of protection</w:t>
      </w:r>
      <w:r w:rsidR="00E90491">
        <w:rPr>
          <w:rFonts w:asciiTheme="minorHAnsi" w:hAnsiTheme="minorHAnsi"/>
          <w:b/>
          <w:bCs/>
        </w:rPr>
        <w:t>,</w:t>
      </w:r>
      <w:r w:rsidRPr="00B11BA7">
        <w:rPr>
          <w:rFonts w:asciiTheme="minorHAnsi" w:hAnsiTheme="minorHAnsi"/>
          <w:b/>
          <w:bCs/>
        </w:rPr>
        <w:t xml:space="preserve"> the </w:t>
      </w:r>
      <w:r w:rsidR="00E90491" w:rsidRPr="00B11BA7">
        <w:rPr>
          <w:rFonts w:asciiTheme="minorHAnsi" w:hAnsiTheme="minorHAnsi"/>
          <w:b/>
          <w:bCs/>
        </w:rPr>
        <w:t xml:space="preserve">court </w:t>
      </w:r>
      <w:r w:rsidRPr="00B11BA7">
        <w:rPr>
          <w:rFonts w:asciiTheme="minorHAnsi" w:hAnsiTheme="minorHAnsi"/>
          <w:b/>
          <w:bCs/>
        </w:rPr>
        <w:t xml:space="preserve">must weigh up: </w:t>
      </w:r>
    </w:p>
    <w:p w14:paraId="106E35EC" w14:textId="5EACEE43" w:rsidR="009243BD" w:rsidRPr="00B11BA7" w:rsidRDefault="00E90491" w:rsidP="0067521E">
      <w:pPr>
        <w:pStyle w:val="PlainText"/>
        <w:numPr>
          <w:ilvl w:val="1"/>
          <w:numId w:val="100"/>
        </w:numPr>
        <w:spacing w:line="259" w:lineRule="auto"/>
        <w:ind w:left="1134" w:hanging="567"/>
        <w:rPr>
          <w:rFonts w:asciiTheme="minorHAnsi" w:hAnsiTheme="minorHAnsi"/>
          <w:b/>
          <w:bCs/>
        </w:rPr>
      </w:pPr>
      <w:r w:rsidRPr="00B11BA7">
        <w:rPr>
          <w:rFonts w:asciiTheme="minorHAnsi" w:hAnsiTheme="minorHAnsi"/>
          <w:b/>
          <w:bCs/>
        </w:rPr>
        <w:t xml:space="preserve">whether </w:t>
      </w:r>
      <w:r w:rsidR="009243BD" w:rsidRPr="00B11BA7">
        <w:rPr>
          <w:rFonts w:asciiTheme="minorHAnsi" w:hAnsiTheme="minorHAnsi"/>
          <w:b/>
          <w:bCs/>
        </w:rPr>
        <w:t>there is a pattern of DFV over time that indicates that one party is the person most in need of protection; and</w:t>
      </w:r>
    </w:p>
    <w:p w14:paraId="6F1761CB" w14:textId="07BEC202" w:rsidR="009243BD" w:rsidRPr="00B11BA7" w:rsidRDefault="00E90491" w:rsidP="0067521E">
      <w:pPr>
        <w:pStyle w:val="PlainText"/>
        <w:numPr>
          <w:ilvl w:val="1"/>
          <w:numId w:val="100"/>
        </w:numPr>
        <w:spacing w:line="259" w:lineRule="auto"/>
        <w:ind w:left="1134" w:hanging="567"/>
        <w:rPr>
          <w:rFonts w:asciiTheme="minorHAnsi" w:hAnsiTheme="minorHAnsi"/>
          <w:b/>
          <w:bCs/>
        </w:rPr>
      </w:pPr>
      <w:r w:rsidRPr="00B11BA7">
        <w:rPr>
          <w:rFonts w:asciiTheme="minorHAnsi" w:hAnsiTheme="minorHAnsi"/>
          <w:b/>
          <w:bCs/>
        </w:rPr>
        <w:t xml:space="preserve">whether </w:t>
      </w:r>
      <w:r w:rsidR="009243BD" w:rsidRPr="00B11BA7">
        <w:rPr>
          <w:rFonts w:asciiTheme="minorHAnsi" w:hAnsiTheme="minorHAnsi"/>
          <w:b/>
          <w:bCs/>
        </w:rPr>
        <w:t>there is a pattern of coercive control by one party towards the other over time that indicates that one party is the person most in need of protection; and</w:t>
      </w:r>
    </w:p>
    <w:p w14:paraId="6F0F9863" w14:textId="10F04AB3" w:rsidR="009243BD" w:rsidRPr="00B11BA7" w:rsidRDefault="00E90491" w:rsidP="0067521E">
      <w:pPr>
        <w:pStyle w:val="PlainText"/>
        <w:numPr>
          <w:ilvl w:val="1"/>
          <w:numId w:val="100"/>
        </w:numPr>
        <w:spacing w:line="259" w:lineRule="auto"/>
        <w:ind w:left="1134" w:hanging="567"/>
        <w:rPr>
          <w:rFonts w:asciiTheme="minorHAnsi" w:hAnsiTheme="minorHAnsi"/>
          <w:b/>
          <w:bCs/>
        </w:rPr>
      </w:pPr>
      <w:r w:rsidRPr="00B11BA7">
        <w:rPr>
          <w:rFonts w:asciiTheme="minorHAnsi" w:hAnsiTheme="minorHAnsi"/>
          <w:b/>
          <w:bCs/>
        </w:rPr>
        <w:t xml:space="preserve">whether </w:t>
      </w:r>
      <w:r w:rsidR="009243BD" w:rsidRPr="00B11BA7">
        <w:rPr>
          <w:rFonts w:asciiTheme="minorHAnsi" w:hAnsiTheme="minorHAnsi"/>
          <w:b/>
          <w:bCs/>
        </w:rPr>
        <w:t>there are differences in the type, extent, severity of any injuries, in relation to the current incident or over time, that indicate one party is the person most in need of protection</w:t>
      </w:r>
      <w:r>
        <w:rPr>
          <w:rFonts w:asciiTheme="minorHAnsi" w:hAnsiTheme="minorHAnsi"/>
          <w:b/>
          <w:bCs/>
        </w:rPr>
        <w:t>.</w:t>
      </w:r>
    </w:p>
    <w:p w14:paraId="3264F0A6" w14:textId="434A88D7" w:rsidR="009243BD" w:rsidRPr="00B11BA7" w:rsidRDefault="009243BD" w:rsidP="0067521E">
      <w:pPr>
        <w:pStyle w:val="PlainText"/>
        <w:numPr>
          <w:ilvl w:val="0"/>
          <w:numId w:val="100"/>
        </w:numPr>
        <w:spacing w:after="200" w:line="259" w:lineRule="auto"/>
        <w:ind w:left="567" w:hanging="567"/>
        <w:rPr>
          <w:rFonts w:asciiTheme="minorHAnsi" w:hAnsiTheme="minorHAnsi"/>
          <w:b/>
          <w:bCs/>
        </w:rPr>
      </w:pPr>
      <w:r w:rsidRPr="00B11BA7">
        <w:rPr>
          <w:rFonts w:asciiTheme="minorHAnsi" w:hAnsiTheme="minorHAnsi"/>
          <w:b/>
          <w:bCs/>
        </w:rPr>
        <w:t>If the court determines that one party is the person most in need of protection</w:t>
      </w:r>
      <w:r w:rsidR="00E90491">
        <w:rPr>
          <w:rFonts w:asciiTheme="minorHAnsi" w:hAnsiTheme="minorHAnsi"/>
          <w:b/>
          <w:bCs/>
        </w:rPr>
        <w:t>,</w:t>
      </w:r>
      <w:r w:rsidRPr="00B11BA7">
        <w:rPr>
          <w:rFonts w:asciiTheme="minorHAnsi" w:hAnsiTheme="minorHAnsi"/>
          <w:b/>
          <w:bCs/>
        </w:rPr>
        <w:t xml:space="preserve"> the court must not make a DVO against that party unless the court is satisfied that</w:t>
      </w:r>
      <w:r w:rsidR="00D35B13" w:rsidRPr="00B11BA7">
        <w:rPr>
          <w:rFonts w:asciiTheme="minorHAnsi" w:hAnsiTheme="minorHAnsi"/>
          <w:b/>
          <w:bCs/>
        </w:rPr>
        <w:t>,</w:t>
      </w:r>
      <w:r w:rsidRPr="00B11BA7">
        <w:rPr>
          <w:rFonts w:asciiTheme="minorHAnsi" w:hAnsiTheme="minorHAnsi"/>
          <w:b/>
          <w:bCs/>
        </w:rPr>
        <w:t xml:space="preserve"> in order to give effect to the objects of the Act</w:t>
      </w:r>
      <w:r w:rsidR="00D35B13" w:rsidRPr="00B11BA7">
        <w:rPr>
          <w:rFonts w:asciiTheme="minorHAnsi" w:hAnsiTheme="minorHAnsi"/>
          <w:b/>
          <w:bCs/>
        </w:rPr>
        <w:t>,</w:t>
      </w:r>
      <w:r w:rsidRPr="00B11BA7">
        <w:rPr>
          <w:rFonts w:asciiTheme="minorHAnsi" w:hAnsiTheme="minorHAnsi"/>
          <w:b/>
          <w:bCs/>
        </w:rPr>
        <w:t xml:space="preserve"> it is necessary to issue a DVO against both parties.</w:t>
      </w:r>
    </w:p>
    <w:p w14:paraId="21E3818D" w14:textId="0D9ABF84" w:rsidR="00FA4FCF" w:rsidRPr="00173C5D" w:rsidRDefault="00B11BA7" w:rsidP="00E90491">
      <w:pPr>
        <w:pStyle w:val="PlainText"/>
        <w:spacing w:after="200"/>
        <w:rPr>
          <w:rFonts w:ascii="Lato" w:eastAsia="Calibri" w:hAnsi="Lato" w:cs="Times New Roman"/>
        </w:rPr>
      </w:pPr>
      <w:r w:rsidRPr="00173C5D">
        <w:rPr>
          <w:rFonts w:ascii="Lato" w:eastAsia="Calibri" w:hAnsi="Lato" w:cs="Times New Roman"/>
        </w:rPr>
        <w:t>This test is not in use elsewhere</w:t>
      </w:r>
      <w:r w:rsidR="00CD54A4" w:rsidRPr="00173C5D">
        <w:rPr>
          <w:rFonts w:ascii="Lato" w:eastAsia="Calibri" w:hAnsi="Lato" w:cs="Times New Roman"/>
        </w:rPr>
        <w:t xml:space="preserve"> and </w:t>
      </w:r>
      <w:r w:rsidR="005B1A21" w:rsidRPr="00173C5D">
        <w:rPr>
          <w:rFonts w:ascii="Lato" w:eastAsia="Calibri" w:hAnsi="Lato" w:cs="Times New Roman"/>
        </w:rPr>
        <w:t>careful consideration needs to be given to whether it is likely to be helpful in practice.</w:t>
      </w:r>
      <w:r w:rsidR="00E90491">
        <w:rPr>
          <w:rFonts w:ascii="Lato" w:eastAsia="Calibri" w:hAnsi="Lato" w:cs="Times New Roman"/>
        </w:rPr>
        <w:t xml:space="preserve"> </w:t>
      </w:r>
      <w:r w:rsidR="005B1A21" w:rsidRPr="00173C5D">
        <w:rPr>
          <w:rFonts w:ascii="Lato" w:eastAsia="Calibri" w:hAnsi="Lato" w:cs="Times New Roman"/>
        </w:rPr>
        <w:t xml:space="preserve"> There are also questions to be resolved, f</w:t>
      </w:r>
      <w:r w:rsidR="00CD54A4" w:rsidRPr="00173C5D">
        <w:rPr>
          <w:rFonts w:ascii="Lato" w:eastAsia="Calibri" w:hAnsi="Lato" w:cs="Times New Roman"/>
        </w:rPr>
        <w:t xml:space="preserve">or example, how does the </w:t>
      </w:r>
      <w:r w:rsidR="00E90491" w:rsidRPr="00173C5D">
        <w:rPr>
          <w:rFonts w:ascii="Lato" w:eastAsia="Calibri" w:hAnsi="Lato" w:cs="Times New Roman"/>
        </w:rPr>
        <w:t xml:space="preserve">court </w:t>
      </w:r>
      <w:r w:rsidR="00CD54A4" w:rsidRPr="00173C5D">
        <w:rPr>
          <w:rFonts w:ascii="Lato" w:eastAsia="Calibri" w:hAnsi="Lato" w:cs="Times New Roman"/>
        </w:rPr>
        <w:t>obtain the evidence to make th</w:t>
      </w:r>
      <w:r w:rsidR="005B1A21" w:rsidRPr="00173C5D">
        <w:rPr>
          <w:rFonts w:ascii="Lato" w:eastAsia="Calibri" w:hAnsi="Lato" w:cs="Times New Roman"/>
        </w:rPr>
        <w:t>is risk</w:t>
      </w:r>
      <w:r w:rsidR="00CD54A4" w:rsidRPr="00173C5D">
        <w:rPr>
          <w:rFonts w:ascii="Lato" w:eastAsia="Calibri" w:hAnsi="Lato" w:cs="Times New Roman"/>
        </w:rPr>
        <w:t xml:space="preserve"> assessment</w:t>
      </w:r>
      <w:r w:rsidR="005B1A21" w:rsidRPr="00173C5D">
        <w:rPr>
          <w:rFonts w:ascii="Lato" w:eastAsia="Calibri" w:hAnsi="Lato" w:cs="Times New Roman"/>
        </w:rPr>
        <w:t xml:space="preserve"> as to who is most in need of protection</w:t>
      </w:r>
      <w:r w:rsidR="00CD54A4" w:rsidRPr="00173C5D">
        <w:rPr>
          <w:rFonts w:ascii="Lato" w:eastAsia="Calibri" w:hAnsi="Lato" w:cs="Times New Roman"/>
        </w:rPr>
        <w:t>.</w:t>
      </w:r>
      <w:r w:rsidR="00A47A4A" w:rsidRPr="00173C5D">
        <w:rPr>
          <w:rFonts w:ascii="Lato" w:eastAsia="Calibri" w:hAnsi="Lato" w:cs="Times New Roman"/>
        </w:rPr>
        <w:t xml:space="preserve">  </w:t>
      </w:r>
      <w:r w:rsidR="00E90491">
        <w:rPr>
          <w:rFonts w:ascii="Lato" w:eastAsia="Calibri" w:hAnsi="Lato" w:cs="Times New Roman"/>
        </w:rPr>
        <w:t>Proposal LR </w:t>
      </w:r>
      <w:r w:rsidRPr="00173C5D">
        <w:rPr>
          <w:rFonts w:ascii="Lato" w:eastAsia="Calibri" w:hAnsi="Lato" w:cs="Times New Roman"/>
        </w:rPr>
        <w:t xml:space="preserve">11 </w:t>
      </w:r>
      <w:r w:rsidR="00CD54A4" w:rsidRPr="00173C5D">
        <w:rPr>
          <w:rFonts w:ascii="Lato" w:eastAsia="Calibri" w:hAnsi="Lato" w:cs="Times New Roman"/>
        </w:rPr>
        <w:t xml:space="preserve">above </w:t>
      </w:r>
      <w:r w:rsidR="00FA4FCF" w:rsidRPr="00173C5D">
        <w:rPr>
          <w:rFonts w:ascii="Lato" w:eastAsia="Calibri" w:hAnsi="Lato" w:cs="Times New Roman"/>
        </w:rPr>
        <w:t xml:space="preserve">to require police to provide a history of current and past DVOs </w:t>
      </w:r>
      <w:r w:rsidR="00F14B31" w:rsidRPr="00173C5D">
        <w:rPr>
          <w:rFonts w:ascii="Lato" w:eastAsia="Calibri" w:hAnsi="Lato" w:cs="Times New Roman"/>
        </w:rPr>
        <w:t xml:space="preserve">and </w:t>
      </w:r>
      <w:r w:rsidR="00085FAF" w:rsidRPr="00173C5D">
        <w:rPr>
          <w:rFonts w:ascii="Lato" w:eastAsia="Calibri" w:hAnsi="Lato" w:cs="Times New Roman"/>
        </w:rPr>
        <w:t>the defendant’s criminal history</w:t>
      </w:r>
      <w:r w:rsidR="00F14B31" w:rsidRPr="00173C5D">
        <w:rPr>
          <w:rFonts w:ascii="Lato" w:eastAsia="Calibri" w:hAnsi="Lato" w:cs="Times New Roman"/>
        </w:rPr>
        <w:t xml:space="preserve"> </w:t>
      </w:r>
      <w:r w:rsidR="00FA4FCF" w:rsidRPr="00173C5D">
        <w:rPr>
          <w:rFonts w:ascii="Lato" w:eastAsia="Calibri" w:hAnsi="Lato" w:cs="Times New Roman"/>
        </w:rPr>
        <w:t xml:space="preserve">to the </w:t>
      </w:r>
      <w:r w:rsidR="00E90491" w:rsidRPr="00173C5D">
        <w:rPr>
          <w:rFonts w:ascii="Lato" w:eastAsia="Calibri" w:hAnsi="Lato" w:cs="Times New Roman"/>
        </w:rPr>
        <w:t xml:space="preserve">court </w:t>
      </w:r>
      <w:r w:rsidR="00FA4FCF" w:rsidRPr="00173C5D">
        <w:rPr>
          <w:rFonts w:ascii="Lato" w:eastAsia="Calibri" w:hAnsi="Lato" w:cs="Times New Roman"/>
        </w:rPr>
        <w:t>at the first mention of a DVO application is expected to assist.</w:t>
      </w:r>
    </w:p>
    <w:p w14:paraId="0C427395" w14:textId="6B57A31C" w:rsidR="005B1A21" w:rsidRPr="00173C5D" w:rsidRDefault="005B1A21" w:rsidP="00E90491">
      <w:pPr>
        <w:pStyle w:val="PlainText"/>
        <w:spacing w:after="200"/>
        <w:rPr>
          <w:rFonts w:ascii="Lato" w:eastAsia="Calibri" w:hAnsi="Lato" w:cs="Times New Roman"/>
        </w:rPr>
      </w:pPr>
      <w:r w:rsidRPr="00173C5D">
        <w:rPr>
          <w:rFonts w:ascii="Lato" w:eastAsia="Calibri" w:hAnsi="Lato" w:cs="Times New Roman"/>
        </w:rPr>
        <w:lastRenderedPageBreak/>
        <w:t>Submissions on whether this test could assist in reducing misidentification are welcome, including whether there may be unintended consequences</w:t>
      </w:r>
      <w:r w:rsidR="007A1797" w:rsidRPr="00173C5D">
        <w:rPr>
          <w:rFonts w:ascii="Lato" w:eastAsia="Calibri" w:hAnsi="Lato" w:cs="Times New Roman"/>
        </w:rPr>
        <w:t xml:space="preserve"> of this proposal.</w:t>
      </w:r>
    </w:p>
    <w:p w14:paraId="23C07E11" w14:textId="5A85AFF6" w:rsidR="005B1A21" w:rsidRPr="00A169E6" w:rsidRDefault="007A1797" w:rsidP="00E90491">
      <w:r>
        <w:t>Proposal 7 to issue a statutory guidance framework on coercive control is also expected to guide courts, police and first responders to correctly identify the person most in need of protection.</w:t>
      </w:r>
    </w:p>
    <w:p w14:paraId="2FE038BE" w14:textId="493D6F34" w:rsidR="00CD54A4" w:rsidRPr="00CD54A4" w:rsidRDefault="00CD54A4" w:rsidP="001B3161">
      <w:pPr>
        <w:pStyle w:val="Heading4"/>
        <w:keepNext/>
        <w:numPr>
          <w:ilvl w:val="0"/>
          <w:numId w:val="0"/>
        </w:numPr>
        <w:spacing w:after="0" w:line="259" w:lineRule="auto"/>
        <w:ind w:left="864" w:hanging="864"/>
        <w:rPr>
          <w:lang w:eastAsia="en-AU"/>
        </w:rPr>
      </w:pPr>
      <w:r w:rsidRPr="00CD54A4">
        <w:rPr>
          <w:lang w:eastAsia="en-AU"/>
        </w:rPr>
        <w:t xml:space="preserve">PROPOSAL </w:t>
      </w:r>
      <w:r w:rsidR="001804B8">
        <w:rPr>
          <w:lang w:eastAsia="en-AU"/>
        </w:rPr>
        <w:t xml:space="preserve">LR </w:t>
      </w:r>
      <w:r w:rsidRPr="00CD54A4">
        <w:rPr>
          <w:lang w:eastAsia="en-AU"/>
        </w:rPr>
        <w:t>13</w:t>
      </w:r>
    </w:p>
    <w:p w14:paraId="2FEDC615" w14:textId="23CE1B18" w:rsidR="00FA4FCF" w:rsidRPr="00CD54A4" w:rsidRDefault="00FA4FCF" w:rsidP="001B3161">
      <w:pPr>
        <w:keepNext/>
        <w:spacing w:after="0" w:line="259" w:lineRule="auto"/>
        <w:rPr>
          <w:b/>
          <w:bCs/>
          <w:lang w:eastAsia="en-AU"/>
        </w:rPr>
      </w:pPr>
      <w:r w:rsidRPr="00CD54A4">
        <w:rPr>
          <w:b/>
          <w:bCs/>
          <w:lang w:eastAsia="en-AU"/>
        </w:rPr>
        <w:t>It is proposed to amend section 41 along the lines:</w:t>
      </w:r>
    </w:p>
    <w:p w14:paraId="4FD4CE86" w14:textId="77777777" w:rsidR="00FA4FCF" w:rsidRPr="00CD54A4" w:rsidRDefault="00FA4FCF" w:rsidP="0067521E">
      <w:pPr>
        <w:pStyle w:val="ListParagraph"/>
        <w:numPr>
          <w:ilvl w:val="0"/>
          <w:numId w:val="44"/>
        </w:numPr>
        <w:spacing w:after="0" w:line="259" w:lineRule="auto"/>
        <w:ind w:left="567" w:hanging="567"/>
        <w:rPr>
          <w:b/>
          <w:bCs/>
          <w:lang w:eastAsia="en-AU"/>
        </w:rPr>
      </w:pPr>
      <w:r w:rsidRPr="00CD54A4">
        <w:rPr>
          <w:b/>
          <w:bCs/>
          <w:lang w:eastAsia="en-AU"/>
        </w:rPr>
        <w:t>Police must consider whether there are any children in the care of the protected person or the defendant who may need to be protected by being included on the adult’s DVO or through their own DVO.</w:t>
      </w:r>
    </w:p>
    <w:p w14:paraId="3203BBAE" w14:textId="385285C5" w:rsidR="00FA4FCF" w:rsidRPr="00CD54A4" w:rsidRDefault="00FA4FCF" w:rsidP="0067521E">
      <w:pPr>
        <w:pStyle w:val="ListParagraph"/>
        <w:numPr>
          <w:ilvl w:val="0"/>
          <w:numId w:val="44"/>
        </w:numPr>
        <w:spacing w:after="0" w:line="259" w:lineRule="auto"/>
        <w:ind w:left="567" w:hanging="567"/>
        <w:rPr>
          <w:b/>
          <w:bCs/>
          <w:lang w:eastAsia="en-AU"/>
        </w:rPr>
      </w:pPr>
      <w:r w:rsidRPr="00CD54A4">
        <w:rPr>
          <w:b/>
          <w:bCs/>
          <w:lang w:eastAsia="en-AU"/>
        </w:rPr>
        <w:t>If there are cross allegations of violence, or police are concerned that both parties may have used violence</w:t>
      </w:r>
      <w:r w:rsidR="00085FAF" w:rsidRPr="00CD54A4">
        <w:rPr>
          <w:b/>
          <w:bCs/>
          <w:lang w:eastAsia="en-AU"/>
        </w:rPr>
        <w:t xml:space="preserve"> against each other</w:t>
      </w:r>
      <w:r w:rsidRPr="00CD54A4">
        <w:rPr>
          <w:b/>
          <w:bCs/>
          <w:lang w:eastAsia="en-AU"/>
        </w:rPr>
        <w:t xml:space="preserve">, police must seek to identify the person most in need of protection.  </w:t>
      </w:r>
    </w:p>
    <w:p w14:paraId="19610A78" w14:textId="48602425" w:rsidR="006013AE" w:rsidRPr="007A1797" w:rsidRDefault="00FA4FCF" w:rsidP="001B3161">
      <w:pPr>
        <w:spacing w:line="259" w:lineRule="auto"/>
        <w:rPr>
          <w:b/>
          <w:bCs/>
          <w:lang w:eastAsia="en-AU"/>
        </w:rPr>
      </w:pPr>
      <w:r w:rsidRPr="00CD54A4">
        <w:rPr>
          <w:b/>
          <w:bCs/>
          <w:lang w:eastAsia="en-AU"/>
        </w:rPr>
        <w:t xml:space="preserve">It is </w:t>
      </w:r>
      <w:r w:rsidR="00CD54A4">
        <w:rPr>
          <w:b/>
          <w:bCs/>
          <w:lang w:eastAsia="en-AU"/>
        </w:rPr>
        <w:t xml:space="preserve">further </w:t>
      </w:r>
      <w:r w:rsidRPr="00CD54A4">
        <w:rPr>
          <w:b/>
          <w:bCs/>
          <w:lang w:eastAsia="en-AU"/>
        </w:rPr>
        <w:t>proposed to add a note to section 41 referring to the provisions proposed for section 19 above.</w:t>
      </w:r>
    </w:p>
    <w:p w14:paraId="3675FCBD" w14:textId="77777777" w:rsidR="00FA4FCF" w:rsidRDefault="00607BC1" w:rsidP="00E90491">
      <w:pPr>
        <w:pStyle w:val="Heading3"/>
        <w:keepNext/>
        <w:rPr>
          <w:lang w:eastAsia="en-AU"/>
        </w:rPr>
      </w:pPr>
      <w:bookmarkStart w:id="49" w:name="_Toc112051836"/>
      <w:r>
        <w:rPr>
          <w:lang w:eastAsia="en-AU"/>
        </w:rPr>
        <w:t>Premises</w:t>
      </w:r>
      <w:r w:rsidR="00FA4FCF">
        <w:rPr>
          <w:lang w:eastAsia="en-AU"/>
        </w:rPr>
        <w:t xml:space="preserve"> access orders</w:t>
      </w:r>
      <w:bookmarkEnd w:id="49"/>
      <w:r w:rsidR="00FA4FCF">
        <w:rPr>
          <w:lang w:eastAsia="en-AU"/>
        </w:rPr>
        <w:t xml:space="preserve"> </w:t>
      </w:r>
    </w:p>
    <w:p w14:paraId="676DB93F" w14:textId="49E46171" w:rsidR="00FA4FCF" w:rsidRDefault="00FA4FCF" w:rsidP="00FA4FCF">
      <w:pPr>
        <w:rPr>
          <w:lang w:eastAsia="en-AU"/>
        </w:rPr>
      </w:pPr>
      <w:r>
        <w:rPr>
          <w:lang w:eastAsia="en-AU"/>
        </w:rPr>
        <w:t xml:space="preserve">Section 20 provides a presumption in favour of a protected person with </w:t>
      </w:r>
      <w:r w:rsidR="00D3542C">
        <w:rPr>
          <w:lang w:eastAsia="en-AU"/>
        </w:rPr>
        <w:t xml:space="preserve">a </w:t>
      </w:r>
      <w:r>
        <w:rPr>
          <w:lang w:eastAsia="en-AU"/>
        </w:rPr>
        <w:t>child remaining at home.</w:t>
      </w:r>
    </w:p>
    <w:p w14:paraId="776896E0" w14:textId="77777777" w:rsidR="00FA4FCF" w:rsidRDefault="00FA4FCF" w:rsidP="00FA4FCF">
      <w:pPr>
        <w:rPr>
          <w:lang w:eastAsia="en-AU"/>
        </w:rPr>
      </w:pPr>
      <w:r>
        <w:rPr>
          <w:lang w:eastAsia="en-AU"/>
        </w:rPr>
        <w:t>Section 22 provides that a DVO may include a premises access order:</w:t>
      </w:r>
    </w:p>
    <w:p w14:paraId="02710C49" w14:textId="78D792AE" w:rsidR="00FA4FCF" w:rsidRDefault="009F4FC7" w:rsidP="0067521E">
      <w:pPr>
        <w:pStyle w:val="ListParagraph"/>
        <w:numPr>
          <w:ilvl w:val="0"/>
          <w:numId w:val="73"/>
        </w:numPr>
        <w:ind w:left="567" w:hanging="567"/>
        <w:rPr>
          <w:lang w:eastAsia="en-AU"/>
        </w:rPr>
      </w:pPr>
      <w:r>
        <w:rPr>
          <w:lang w:eastAsia="en-AU"/>
        </w:rPr>
        <w:t xml:space="preserve">requiring </w:t>
      </w:r>
      <w:r w:rsidR="00FA4FCF">
        <w:rPr>
          <w:lang w:eastAsia="en-AU"/>
        </w:rPr>
        <w:t>the defendant to vacate stated premises where the defendant and protected person live together or have previously lived together; or</w:t>
      </w:r>
    </w:p>
    <w:p w14:paraId="45F0F834" w14:textId="6436A3BB" w:rsidR="00FA4FCF" w:rsidRDefault="009F4FC7" w:rsidP="0067521E">
      <w:pPr>
        <w:pStyle w:val="ListParagraph"/>
        <w:numPr>
          <w:ilvl w:val="0"/>
          <w:numId w:val="73"/>
        </w:numPr>
        <w:spacing w:after="200"/>
        <w:ind w:left="567" w:hanging="567"/>
        <w:rPr>
          <w:lang w:eastAsia="en-AU"/>
        </w:rPr>
      </w:pPr>
      <w:r>
        <w:rPr>
          <w:lang w:eastAsia="en-AU"/>
        </w:rPr>
        <w:t xml:space="preserve">restraining </w:t>
      </w:r>
      <w:r w:rsidR="00FA4FCF">
        <w:rPr>
          <w:lang w:eastAsia="en-AU"/>
        </w:rPr>
        <w:t>the defendant from entering such premises except on stated conditions.</w:t>
      </w:r>
    </w:p>
    <w:p w14:paraId="486EB8C3" w14:textId="77777777" w:rsidR="00FA4FCF" w:rsidRDefault="00FA4FCF" w:rsidP="00FA4FCF">
      <w:pPr>
        <w:rPr>
          <w:lang w:eastAsia="en-AU"/>
        </w:rPr>
      </w:pPr>
      <w:r>
        <w:rPr>
          <w:lang w:eastAsia="en-AU"/>
        </w:rPr>
        <w:t>Before making a premises access order, the issuing authority must consider the effect of making the order on the accommodation of persons affected by it (s</w:t>
      </w:r>
      <w:r w:rsidR="00391E90">
        <w:rPr>
          <w:lang w:eastAsia="en-AU"/>
        </w:rPr>
        <w:t xml:space="preserve">ection </w:t>
      </w:r>
      <w:r>
        <w:rPr>
          <w:lang w:eastAsia="en-AU"/>
        </w:rPr>
        <w:t>22(2)).</w:t>
      </w:r>
    </w:p>
    <w:p w14:paraId="5AB2E176" w14:textId="77777777" w:rsidR="00FA4FCF" w:rsidRDefault="00FA4FCF" w:rsidP="00FA4FCF">
      <w:pPr>
        <w:rPr>
          <w:lang w:eastAsia="en-AU"/>
        </w:rPr>
      </w:pPr>
      <w:r>
        <w:rPr>
          <w:lang w:eastAsia="en-AU"/>
        </w:rPr>
        <w:t>The order applies regardless of whether the defendant has a legal or equitable interest in the premises (s</w:t>
      </w:r>
      <w:r w:rsidR="00391E90">
        <w:rPr>
          <w:lang w:eastAsia="en-AU"/>
        </w:rPr>
        <w:t xml:space="preserve">ection </w:t>
      </w:r>
      <w:r>
        <w:rPr>
          <w:lang w:eastAsia="en-AU"/>
        </w:rPr>
        <w:t>22(3)</w:t>
      </w:r>
      <w:r w:rsidR="00391E90">
        <w:rPr>
          <w:lang w:eastAsia="en-AU"/>
        </w:rPr>
        <w:t>)</w:t>
      </w:r>
      <w:r>
        <w:rPr>
          <w:lang w:eastAsia="en-AU"/>
        </w:rPr>
        <w:t>.</w:t>
      </w:r>
    </w:p>
    <w:p w14:paraId="1B8056CB" w14:textId="0AEA592D" w:rsidR="00FA4FCF" w:rsidRDefault="00FA4FCF" w:rsidP="00FA4FCF">
      <w:pPr>
        <w:rPr>
          <w:lang w:eastAsia="en-AU"/>
        </w:rPr>
      </w:pPr>
      <w:r>
        <w:rPr>
          <w:lang w:eastAsia="en-AU"/>
        </w:rPr>
        <w:t xml:space="preserve">Stakeholders have suggested that these provisions require amendment, to spell out the matters that the </w:t>
      </w:r>
      <w:r w:rsidR="009F4FC7">
        <w:rPr>
          <w:lang w:eastAsia="en-AU"/>
        </w:rPr>
        <w:t xml:space="preserve">court </w:t>
      </w:r>
      <w:r>
        <w:rPr>
          <w:lang w:eastAsia="en-AU"/>
        </w:rPr>
        <w:t>should take into account in making these orders, and particularly to ensure that the safety of the protected pe</w:t>
      </w:r>
      <w:r w:rsidR="004828B4">
        <w:rPr>
          <w:lang w:eastAsia="en-AU"/>
        </w:rPr>
        <w:t>rson and any children in the car</w:t>
      </w:r>
      <w:r>
        <w:rPr>
          <w:lang w:eastAsia="en-AU"/>
        </w:rPr>
        <w:t xml:space="preserve">e of the protected person is the paramount consideration.  </w:t>
      </w:r>
    </w:p>
    <w:p w14:paraId="258E64F1" w14:textId="4D2636EF" w:rsidR="00FA4FCF" w:rsidRPr="00981D1E" w:rsidRDefault="00FA4FCF" w:rsidP="00FA4FCF">
      <w:r w:rsidRPr="00981D1E">
        <w:rPr>
          <w:lang w:eastAsia="en-AU"/>
        </w:rPr>
        <w:t>S</w:t>
      </w:r>
      <w:r w:rsidRPr="00981D1E">
        <w:t>ection</w:t>
      </w:r>
      <w:r w:rsidR="009F4FC7">
        <w:t>s</w:t>
      </w:r>
      <w:r w:rsidRPr="00981D1E">
        <w:t xml:space="preserve"> 63 and 64 of the </w:t>
      </w:r>
      <w:r w:rsidRPr="00981D1E">
        <w:rPr>
          <w:i/>
          <w:iCs/>
        </w:rPr>
        <w:t>Domestic and Family Violence Protection Act 2012</w:t>
      </w:r>
      <w:r w:rsidR="009F4FC7">
        <w:t xml:space="preserve"> (Qld) have</w:t>
      </w:r>
      <w:r w:rsidRPr="00981D1E">
        <w:t xml:space="preserve"> some relevant provisions and it is proposed that these be used in the NT.  </w:t>
      </w:r>
    </w:p>
    <w:p w14:paraId="62C3380E" w14:textId="49E51348" w:rsidR="00FA4FCF" w:rsidRPr="000977A2" w:rsidRDefault="00FA4FCF" w:rsidP="00FA4FCF">
      <w:r w:rsidRPr="000977A2">
        <w:t xml:space="preserve">See also section 82 of the Victorian </w:t>
      </w:r>
      <w:r w:rsidRPr="000977A2">
        <w:rPr>
          <w:i/>
          <w:iCs/>
        </w:rPr>
        <w:t>Family Violence Protection Act 2008</w:t>
      </w:r>
      <w:r w:rsidRPr="000977A2">
        <w:t xml:space="preserve"> which provides that the </w:t>
      </w:r>
      <w:r w:rsidR="009F4FC7" w:rsidRPr="000977A2">
        <w:t xml:space="preserve">court </w:t>
      </w:r>
      <w:r w:rsidRPr="000977A2">
        <w:t xml:space="preserve">to must consider an exclusion condition if it is making a DVO, and if the </w:t>
      </w:r>
      <w:r w:rsidR="009F4FC7" w:rsidRPr="000977A2">
        <w:t xml:space="preserve">court </w:t>
      </w:r>
      <w:r w:rsidRPr="000977A2">
        <w:t>decides that an exclusion condition is appropriate against an adult defendant, and the protected person does not oppose it, the order must include the exclusion condition in the order.</w:t>
      </w:r>
    </w:p>
    <w:p w14:paraId="0429ACE8" w14:textId="49BE266E" w:rsidR="00C16E4D" w:rsidRPr="00A169E6" w:rsidRDefault="00C16E4D" w:rsidP="001B3161">
      <w:pPr>
        <w:pStyle w:val="Heading4"/>
        <w:keepNext/>
        <w:numPr>
          <w:ilvl w:val="0"/>
          <w:numId w:val="0"/>
        </w:numPr>
        <w:spacing w:after="0" w:line="259" w:lineRule="auto"/>
        <w:ind w:left="862" w:hanging="862"/>
        <w:rPr>
          <w:lang w:eastAsia="en-AU"/>
        </w:rPr>
      </w:pPr>
      <w:r w:rsidRPr="00C16E4D">
        <w:rPr>
          <w:lang w:eastAsia="en-AU"/>
        </w:rPr>
        <w:t xml:space="preserve">PROPOSAL </w:t>
      </w:r>
      <w:r w:rsidR="001804B8">
        <w:rPr>
          <w:lang w:eastAsia="en-AU"/>
        </w:rPr>
        <w:t xml:space="preserve">LR </w:t>
      </w:r>
      <w:r w:rsidRPr="00C16E4D">
        <w:rPr>
          <w:lang w:eastAsia="en-AU"/>
        </w:rPr>
        <w:t>14</w:t>
      </w:r>
    </w:p>
    <w:p w14:paraId="46396BC4" w14:textId="517E5A77" w:rsidR="004666EE" w:rsidRDefault="00FA4FCF" w:rsidP="001B3161">
      <w:pPr>
        <w:spacing w:line="259" w:lineRule="auto"/>
        <w:rPr>
          <w:b/>
          <w:bCs/>
        </w:rPr>
      </w:pPr>
      <w:r w:rsidRPr="00C16E4D">
        <w:rPr>
          <w:b/>
          <w:bCs/>
        </w:rPr>
        <w:t>It is proposed to replace section</w:t>
      </w:r>
      <w:r w:rsidR="009F4FC7">
        <w:rPr>
          <w:b/>
          <w:bCs/>
        </w:rPr>
        <w:t>s</w:t>
      </w:r>
      <w:r w:rsidRPr="00C16E4D">
        <w:rPr>
          <w:b/>
          <w:bCs/>
        </w:rPr>
        <w:t xml:space="preserve"> 20 and 22 </w:t>
      </w:r>
      <w:r w:rsidR="00C16E4D" w:rsidRPr="00C16E4D">
        <w:rPr>
          <w:b/>
          <w:bCs/>
        </w:rPr>
        <w:t xml:space="preserve">with new provisions </w:t>
      </w:r>
      <w:r w:rsidR="00C16E4D">
        <w:rPr>
          <w:b/>
          <w:bCs/>
        </w:rPr>
        <w:t xml:space="preserve">to exclude a defendant from the premises </w:t>
      </w:r>
      <w:r w:rsidRPr="00C16E4D">
        <w:rPr>
          <w:b/>
          <w:bCs/>
        </w:rPr>
        <w:t>along the lines of sections 63 and 64 of the</w:t>
      </w:r>
      <w:r w:rsidRPr="00C16E4D">
        <w:rPr>
          <w:b/>
          <w:bCs/>
          <w:i/>
          <w:iCs/>
        </w:rPr>
        <w:t xml:space="preserve"> Domestic and Family Violence Protection Act 2012</w:t>
      </w:r>
      <w:r w:rsidRPr="00C16E4D">
        <w:rPr>
          <w:b/>
          <w:bCs/>
        </w:rPr>
        <w:t xml:space="preserve"> (Qld).  </w:t>
      </w:r>
    </w:p>
    <w:p w14:paraId="57670050" w14:textId="24566ABA" w:rsidR="00FA4FCF" w:rsidRPr="00C16E4D" w:rsidRDefault="00FA4FCF" w:rsidP="00FA4FCF">
      <w:r w:rsidRPr="00C16E4D">
        <w:t>Under the Queensland Act</w:t>
      </w:r>
      <w:r w:rsidR="009F4FC7">
        <w:t>,</w:t>
      </w:r>
      <w:r w:rsidRPr="00C16E4D">
        <w:t xml:space="preserve"> this is called an ‘ouster condition’.</w:t>
      </w:r>
      <w:r w:rsidR="00C16E4D" w:rsidRPr="00C16E4D">
        <w:t xml:space="preserve"> </w:t>
      </w:r>
      <w:r w:rsidR="009F4FC7">
        <w:t xml:space="preserve"> </w:t>
      </w:r>
      <w:r w:rsidR="00C16E4D" w:rsidRPr="00C16E4D">
        <w:t>While</w:t>
      </w:r>
      <w:r w:rsidR="004828B4" w:rsidRPr="00C16E4D">
        <w:t xml:space="preserve"> it is not proposed to ado</w:t>
      </w:r>
      <w:r w:rsidRPr="00C16E4D">
        <w:t>pt th</w:t>
      </w:r>
      <w:r w:rsidR="00C16E4D" w:rsidRPr="00C16E4D">
        <w:t>e</w:t>
      </w:r>
      <w:r w:rsidRPr="00C16E4D">
        <w:t xml:space="preserve"> term</w:t>
      </w:r>
      <w:r w:rsidR="00C16E4D" w:rsidRPr="00C16E4D">
        <w:t xml:space="preserve"> ‘ouster condition’</w:t>
      </w:r>
      <w:r w:rsidRPr="00C16E4D">
        <w:t xml:space="preserve"> in the NT</w:t>
      </w:r>
      <w:r w:rsidR="00C16E4D" w:rsidRPr="00C16E4D">
        <w:t xml:space="preserve">, </w:t>
      </w:r>
      <w:r w:rsidRPr="00C16E4D">
        <w:t xml:space="preserve">it is proposed to </w:t>
      </w:r>
      <w:r w:rsidR="004855C5">
        <w:t>us</w:t>
      </w:r>
      <w:r w:rsidR="00981D1E">
        <w:t>e the term ‘exclusion condition’ to avoid some of the confusion which has arisen in relation to</w:t>
      </w:r>
      <w:r w:rsidR="004855C5">
        <w:t xml:space="preserve"> </w:t>
      </w:r>
      <w:r w:rsidRPr="00C16E4D">
        <w:t>‘premises access ord</w:t>
      </w:r>
      <w:r w:rsidR="004828B4" w:rsidRPr="00C16E4D">
        <w:t>er</w:t>
      </w:r>
      <w:r w:rsidR="00981D1E">
        <w:t>.</w:t>
      </w:r>
      <w:r w:rsidR="004828B4" w:rsidRPr="00C16E4D">
        <w:t>’</w:t>
      </w:r>
    </w:p>
    <w:p w14:paraId="2583EA03" w14:textId="77777777" w:rsidR="00FA4FCF" w:rsidRPr="00B41220" w:rsidRDefault="00FA4FCF" w:rsidP="009F4FC7">
      <w:pPr>
        <w:keepNext/>
        <w:rPr>
          <w:b/>
        </w:rPr>
      </w:pPr>
      <w:r>
        <w:rPr>
          <w:b/>
        </w:rPr>
        <w:lastRenderedPageBreak/>
        <w:t>An order excluding the defendant from the premises</w:t>
      </w:r>
    </w:p>
    <w:p w14:paraId="50B52C9C" w14:textId="77777777" w:rsidR="00FA4FCF" w:rsidRDefault="00FA4FCF" w:rsidP="009F4FC7">
      <w:r>
        <w:t>A DVO may include an order (an exclusion condition) on the defendant that prohibits the defendant from doing all or any of the following in relation to the stated premises –</w:t>
      </w:r>
    </w:p>
    <w:p w14:paraId="517D4D5D" w14:textId="740E180C" w:rsidR="00FA4FCF" w:rsidRDefault="009F4FC7" w:rsidP="0067521E">
      <w:pPr>
        <w:pStyle w:val="ListParagraph"/>
        <w:numPr>
          <w:ilvl w:val="0"/>
          <w:numId w:val="71"/>
        </w:numPr>
        <w:ind w:left="1134" w:hanging="567"/>
      </w:pPr>
      <w:r>
        <w:t xml:space="preserve">remaining </w:t>
      </w:r>
      <w:r w:rsidR="00FA4FCF">
        <w:t>at the premises</w:t>
      </w:r>
      <w:r>
        <w:t>;</w:t>
      </w:r>
    </w:p>
    <w:p w14:paraId="4F0DC9D1" w14:textId="1AB6BD9B" w:rsidR="00FA4FCF" w:rsidRDefault="009F4FC7" w:rsidP="0067521E">
      <w:pPr>
        <w:pStyle w:val="ListParagraph"/>
        <w:numPr>
          <w:ilvl w:val="0"/>
          <w:numId w:val="71"/>
        </w:numPr>
        <w:ind w:left="1134" w:hanging="567"/>
      </w:pPr>
      <w:r>
        <w:t xml:space="preserve">entering </w:t>
      </w:r>
      <w:r w:rsidR="00FA4FCF">
        <w:t>or attempting to enter the premises</w:t>
      </w:r>
      <w:r>
        <w:t>;</w:t>
      </w:r>
    </w:p>
    <w:p w14:paraId="5F043961" w14:textId="013CBD9F" w:rsidR="00FA4FCF" w:rsidRDefault="009F4FC7" w:rsidP="0067521E">
      <w:pPr>
        <w:pStyle w:val="ListParagraph"/>
        <w:numPr>
          <w:ilvl w:val="0"/>
          <w:numId w:val="71"/>
        </w:numPr>
        <w:spacing w:after="160" w:line="259" w:lineRule="auto"/>
        <w:ind w:left="1134" w:hanging="567"/>
        <w:contextualSpacing/>
      </w:pPr>
      <w:r>
        <w:t xml:space="preserve">approaching </w:t>
      </w:r>
      <w:r w:rsidR="00FA4FCF">
        <w:t>within a stated distance of the premises</w:t>
      </w:r>
      <w:r>
        <w:t>.</w:t>
      </w:r>
    </w:p>
    <w:p w14:paraId="47FD1C31" w14:textId="5D728DE5" w:rsidR="00FA4FCF" w:rsidRDefault="00FA4FCF" w:rsidP="009F4FC7">
      <w:r>
        <w:t>To remove any doubt</w:t>
      </w:r>
      <w:r w:rsidR="009F4FC7">
        <w:t>,</w:t>
      </w:r>
      <w:r>
        <w:t xml:space="preserve"> it is declared that the premises that may be stated in the exclusion condition include</w:t>
      </w:r>
      <w:r w:rsidR="009F4FC7">
        <w:t>:</w:t>
      </w:r>
      <w:r>
        <w:t xml:space="preserve"> </w:t>
      </w:r>
    </w:p>
    <w:p w14:paraId="542F56BF" w14:textId="667FF56B" w:rsidR="00FA4FCF" w:rsidRDefault="009F4FC7" w:rsidP="0067521E">
      <w:pPr>
        <w:pStyle w:val="ListParagraph"/>
        <w:numPr>
          <w:ilvl w:val="0"/>
          <w:numId w:val="72"/>
        </w:numPr>
        <w:ind w:left="1134" w:hanging="567"/>
      </w:pPr>
      <w:r>
        <w:t xml:space="preserve">premises </w:t>
      </w:r>
      <w:r w:rsidR="00FA4FCF">
        <w:t xml:space="preserve">in which the defendant has a legal or equitable interest; and </w:t>
      </w:r>
    </w:p>
    <w:p w14:paraId="371FBA26" w14:textId="067DB84B" w:rsidR="00FA4FCF" w:rsidRDefault="009F4FC7" w:rsidP="0067521E">
      <w:pPr>
        <w:pStyle w:val="ListParagraph"/>
        <w:numPr>
          <w:ilvl w:val="0"/>
          <w:numId w:val="72"/>
        </w:numPr>
        <w:ind w:left="1134" w:hanging="567"/>
      </w:pPr>
      <w:r>
        <w:t xml:space="preserve">premises </w:t>
      </w:r>
      <w:r w:rsidR="00FA4FCF">
        <w:t>where the protected person and the defendant live together or previously lived together; and</w:t>
      </w:r>
    </w:p>
    <w:p w14:paraId="573518B3" w14:textId="5FBDFD8B" w:rsidR="00FA4FCF" w:rsidRPr="00713326" w:rsidRDefault="009F4FC7" w:rsidP="0067521E">
      <w:pPr>
        <w:pStyle w:val="ListParagraph"/>
        <w:numPr>
          <w:ilvl w:val="0"/>
          <w:numId w:val="72"/>
        </w:numPr>
        <w:spacing w:after="160" w:line="259" w:lineRule="auto"/>
        <w:ind w:left="1134" w:hanging="567"/>
        <w:contextualSpacing/>
      </w:pPr>
      <w:r>
        <w:t xml:space="preserve">premises </w:t>
      </w:r>
      <w:r w:rsidR="00FA4FCF">
        <w:t>where the defendant lives, works or frequents.</w:t>
      </w:r>
    </w:p>
    <w:p w14:paraId="2B015D26" w14:textId="77777777" w:rsidR="00FA4FCF" w:rsidRPr="00713326" w:rsidRDefault="00FA4FCF" w:rsidP="009F4FC7">
      <w:r w:rsidRPr="00713326">
        <w:t>Befor</w:t>
      </w:r>
      <w:r>
        <w:t>e making an exclusion condition with respect to the defendant’s usual place of residence</w:t>
      </w:r>
      <w:r w:rsidRPr="00713326">
        <w:t>, the issuing authority must consider the effect of making the order on:</w:t>
      </w:r>
    </w:p>
    <w:p w14:paraId="6E5F57A3" w14:textId="71A256C6" w:rsidR="00FA4FCF" w:rsidRDefault="009F4FC7" w:rsidP="0067521E">
      <w:pPr>
        <w:pStyle w:val="ListParagraph"/>
        <w:numPr>
          <w:ilvl w:val="0"/>
          <w:numId w:val="70"/>
        </w:numPr>
        <w:ind w:left="1134" w:hanging="567"/>
      </w:pPr>
      <w:r w:rsidRPr="00713326">
        <w:t xml:space="preserve">the </w:t>
      </w:r>
      <w:r w:rsidR="00FA4FCF" w:rsidRPr="00713326">
        <w:t>safety of the protected person and any children in the care of the protection person – and this must be the paramount consideration</w:t>
      </w:r>
      <w:r>
        <w:t>;</w:t>
      </w:r>
    </w:p>
    <w:p w14:paraId="5AB20A70" w14:textId="5644A200" w:rsidR="00FA4FCF" w:rsidRPr="00713326" w:rsidRDefault="009F4FC7" w:rsidP="0067521E">
      <w:pPr>
        <w:pStyle w:val="ListParagraph"/>
        <w:numPr>
          <w:ilvl w:val="0"/>
          <w:numId w:val="70"/>
        </w:numPr>
        <w:ind w:left="1134" w:hanging="567"/>
      </w:pPr>
      <w:r>
        <w:t xml:space="preserve">the </w:t>
      </w:r>
      <w:r w:rsidR="00FA4FCF">
        <w:t>continuity and stability in the care of any children living with the protected person</w:t>
      </w:r>
      <w:r>
        <w:t>;</w:t>
      </w:r>
    </w:p>
    <w:p w14:paraId="7B475F33" w14:textId="586674C0" w:rsidR="00FA4FCF" w:rsidRDefault="009F4FC7" w:rsidP="0067521E">
      <w:pPr>
        <w:pStyle w:val="ListParagraph"/>
        <w:numPr>
          <w:ilvl w:val="0"/>
          <w:numId w:val="70"/>
        </w:numPr>
        <w:ind w:left="1134" w:hanging="567"/>
      </w:pPr>
      <w:r w:rsidRPr="00713326">
        <w:t xml:space="preserve">the </w:t>
      </w:r>
      <w:r w:rsidR="00FA4FCF" w:rsidRPr="00713326">
        <w:t>desirability of minimising disruption to the life of the protected person and any children in the care of the protected person</w:t>
      </w:r>
      <w:r w:rsidR="00FA4FCF">
        <w:t>, including in education, training, employment, family and social networks</w:t>
      </w:r>
      <w:r>
        <w:t>;</w:t>
      </w:r>
    </w:p>
    <w:p w14:paraId="7C1C12AC" w14:textId="5D405333" w:rsidR="00FA4FCF" w:rsidRPr="00713326" w:rsidRDefault="009F4FC7" w:rsidP="0067521E">
      <w:pPr>
        <w:pStyle w:val="ListParagraph"/>
        <w:numPr>
          <w:ilvl w:val="0"/>
          <w:numId w:val="70"/>
        </w:numPr>
        <w:ind w:left="1134" w:hanging="567"/>
      </w:pPr>
      <w:r>
        <w:t xml:space="preserve">the </w:t>
      </w:r>
      <w:r w:rsidR="00FA4FCF">
        <w:t>views of the protected person if they wish to express a view</w:t>
      </w:r>
      <w:r>
        <w:t>;</w:t>
      </w:r>
    </w:p>
    <w:p w14:paraId="5C054718" w14:textId="573BFDE3" w:rsidR="00FA4FCF" w:rsidRPr="00FB46FD" w:rsidRDefault="009F4FC7" w:rsidP="0067521E">
      <w:pPr>
        <w:pStyle w:val="ListParagraph"/>
        <w:numPr>
          <w:ilvl w:val="0"/>
          <w:numId w:val="70"/>
        </w:numPr>
        <w:spacing w:after="160" w:line="259" w:lineRule="auto"/>
        <w:ind w:left="1134" w:hanging="567"/>
        <w:contextualSpacing/>
      </w:pPr>
      <w:r w:rsidRPr="00713326">
        <w:t xml:space="preserve">the </w:t>
      </w:r>
      <w:r w:rsidR="00FA4FCF" w:rsidRPr="00713326">
        <w:t xml:space="preserve">accommodation </w:t>
      </w:r>
      <w:r w:rsidR="00FA4FCF">
        <w:t xml:space="preserve">needs </w:t>
      </w:r>
      <w:r w:rsidR="00FA4FCF" w:rsidRPr="00713326">
        <w:t xml:space="preserve">of the </w:t>
      </w:r>
      <w:r w:rsidR="00FA4FCF">
        <w:t>defendant, the protected person, any children, and any other person</w:t>
      </w:r>
      <w:r w:rsidR="00FA4FCF" w:rsidRPr="00713326">
        <w:t xml:space="preserve"> affected by the order</w:t>
      </w:r>
      <w:r w:rsidR="00FA4FCF">
        <w:t>.</w:t>
      </w:r>
      <w:r w:rsidR="00FA4FCF" w:rsidRPr="00713326">
        <w:t xml:space="preserve"> </w:t>
      </w:r>
    </w:p>
    <w:p w14:paraId="5185523D" w14:textId="77777777" w:rsidR="00FA4FCF" w:rsidRDefault="00FA4FCF" w:rsidP="00FA4FCF">
      <w:r>
        <w:t>It is proposed that there remains a presumption in favour of the protected person remaining in the premises.</w:t>
      </w:r>
    </w:p>
    <w:p w14:paraId="02B0C4EE" w14:textId="3FF4347C" w:rsidR="00FA4FCF" w:rsidRPr="00FB46FD" w:rsidRDefault="00F940A2" w:rsidP="00FA4FCF">
      <w:r>
        <w:rPr>
          <w:color w:val="000000"/>
          <w:sz w:val="23"/>
          <w:szCs w:val="23"/>
          <w:shd w:val="clear" w:color="auto" w:fill="FFFFFF"/>
        </w:rPr>
        <w:t>Along the lines of</w:t>
      </w:r>
      <w:r w:rsidR="00FA4FCF">
        <w:rPr>
          <w:color w:val="000000"/>
          <w:sz w:val="23"/>
          <w:szCs w:val="23"/>
          <w:shd w:val="clear" w:color="auto" w:fill="FFFFFF"/>
        </w:rPr>
        <w:t xml:space="preserve"> section 64(2) of the Queensland Act</w:t>
      </w:r>
      <w:r w:rsidR="009F4FC7">
        <w:rPr>
          <w:color w:val="000000"/>
          <w:sz w:val="23"/>
          <w:szCs w:val="23"/>
          <w:shd w:val="clear" w:color="auto" w:fill="FFFFFF"/>
        </w:rPr>
        <w:t>,</w:t>
      </w:r>
      <w:r w:rsidR="00FA4FCF">
        <w:rPr>
          <w:color w:val="000000"/>
          <w:sz w:val="23"/>
          <w:szCs w:val="23"/>
          <w:shd w:val="clear" w:color="auto" w:fill="FFFFFF"/>
        </w:rPr>
        <w:t xml:space="preserve"> it is proposed to provide that the fact that the protected person does not express any views or wishes about the condition does not of itself give rise to an inference that the protected person does not have views or wishes about the condition being imposed and that the </w:t>
      </w:r>
      <w:r w:rsidR="009F4FC7">
        <w:rPr>
          <w:color w:val="000000"/>
          <w:sz w:val="23"/>
          <w:szCs w:val="23"/>
          <w:shd w:val="clear" w:color="auto" w:fill="FFFFFF"/>
        </w:rPr>
        <w:t xml:space="preserve">court </w:t>
      </w:r>
      <w:r w:rsidR="00FA4FCF">
        <w:rPr>
          <w:color w:val="000000"/>
          <w:sz w:val="23"/>
          <w:szCs w:val="23"/>
          <w:shd w:val="clear" w:color="auto" w:fill="FFFFFF"/>
        </w:rPr>
        <w:t>must give reasons for imposing or not imposing the condition (section 64(3)).</w:t>
      </w:r>
    </w:p>
    <w:p w14:paraId="05029F5D" w14:textId="0F8C2727" w:rsidR="00FA4FCF" w:rsidRDefault="004855C5" w:rsidP="00FA4FCF">
      <w:r>
        <w:t xml:space="preserve">The </w:t>
      </w:r>
      <w:r w:rsidR="00D3542C">
        <w:t xml:space="preserve">proposed </w:t>
      </w:r>
      <w:r>
        <w:t xml:space="preserve">repeal of section </w:t>
      </w:r>
      <w:r w:rsidR="000977A2">
        <w:t xml:space="preserve">22 </w:t>
      </w:r>
      <w:r>
        <w:t xml:space="preserve">will also </w:t>
      </w:r>
      <w:r w:rsidR="00FA4FCF">
        <w:t>remove the need for the protected person and defendant to have lived in the property together</w:t>
      </w:r>
      <w:r>
        <w:t xml:space="preserve"> before an exclusion condition can be made.</w:t>
      </w:r>
    </w:p>
    <w:p w14:paraId="357BB4A1" w14:textId="77777777" w:rsidR="009F4FC7" w:rsidRDefault="009F4FC7">
      <w:pPr>
        <w:rPr>
          <w:rFonts w:asciiTheme="majorHAnsi" w:hAnsiTheme="majorHAnsi" w:cs="Arial"/>
          <w:bCs/>
          <w:color w:val="1F1F5F" w:themeColor="text1"/>
          <w:sz w:val="28"/>
          <w:szCs w:val="28"/>
        </w:rPr>
      </w:pPr>
      <w:r>
        <w:br w:type="page"/>
      </w:r>
    </w:p>
    <w:p w14:paraId="50A8624A" w14:textId="3A38F0D3" w:rsidR="00FA4FCF" w:rsidRDefault="00FA4FCF" w:rsidP="00F940A2">
      <w:pPr>
        <w:pStyle w:val="Heading3"/>
      </w:pPr>
      <w:bookmarkStart w:id="50" w:name="_Toc112051837"/>
      <w:r>
        <w:lastRenderedPageBreak/>
        <w:t>What a DVO may provide</w:t>
      </w:r>
      <w:bookmarkEnd w:id="50"/>
    </w:p>
    <w:p w14:paraId="66CF90DD" w14:textId="1632E0ED" w:rsidR="00D44098" w:rsidRDefault="00A53A8C" w:rsidP="00D44098">
      <w:pPr>
        <w:spacing w:after="60"/>
        <w:jc w:val="both"/>
        <w:rPr>
          <w:rFonts w:cs="Arial"/>
        </w:rPr>
      </w:pPr>
      <w:r>
        <w:t>Section 21 of the DFV</w:t>
      </w:r>
      <w:r w:rsidR="009F4FC7">
        <w:t> </w:t>
      </w:r>
      <w:r>
        <w:t>A</w:t>
      </w:r>
      <w:r w:rsidR="009F4FC7">
        <w:t>ct</w:t>
      </w:r>
      <w:r>
        <w:t xml:space="preserve"> </w:t>
      </w:r>
      <w:r w:rsidR="004828B4">
        <w:t>sets out that a DVO</w:t>
      </w:r>
      <w:r w:rsidR="00D44098">
        <w:t xml:space="preserve"> can provide</w:t>
      </w:r>
      <w:r w:rsidR="00D44098" w:rsidRPr="00991DB0">
        <w:rPr>
          <w:rFonts w:cs="Arial"/>
        </w:rPr>
        <w:t xml:space="preserve">: </w:t>
      </w:r>
    </w:p>
    <w:p w14:paraId="43F56246" w14:textId="77777777" w:rsidR="00D44098" w:rsidRPr="00107CBF" w:rsidRDefault="00D44098" w:rsidP="0067521E">
      <w:pPr>
        <w:pStyle w:val="ListParagraph"/>
        <w:numPr>
          <w:ilvl w:val="0"/>
          <w:numId w:val="83"/>
        </w:numPr>
        <w:spacing w:after="60"/>
        <w:ind w:left="993" w:hanging="426"/>
        <w:jc w:val="both"/>
        <w:rPr>
          <w:rFonts w:cs="Arial"/>
        </w:rPr>
      </w:pPr>
      <w:r w:rsidRPr="00107CBF">
        <w:rPr>
          <w:rFonts w:cs="Arial"/>
        </w:rPr>
        <w:t xml:space="preserve">an order imposing the restraints on the defendant stated in the DVO that are considered necessary or desirable to prevent the commission of domestic violence against the protected person; </w:t>
      </w:r>
    </w:p>
    <w:p w14:paraId="37C7F82A" w14:textId="77777777" w:rsidR="00D44098" w:rsidRPr="00107CBF" w:rsidRDefault="00D44098" w:rsidP="0067521E">
      <w:pPr>
        <w:pStyle w:val="ListParagraph"/>
        <w:numPr>
          <w:ilvl w:val="0"/>
          <w:numId w:val="83"/>
        </w:numPr>
        <w:spacing w:after="60"/>
        <w:ind w:left="993" w:hanging="426"/>
        <w:jc w:val="both"/>
        <w:rPr>
          <w:rFonts w:cs="Arial"/>
        </w:rPr>
      </w:pPr>
      <w:r w:rsidRPr="00107CBF">
        <w:rPr>
          <w:rFonts w:cs="Arial"/>
        </w:rPr>
        <w:t xml:space="preserve">an order imposing obligations on the defendant stated in the DVO as considered necessary to ensure the defendant accepts responsibility for the violence committed and to encourage the defendant to change his or her behaviour; </w:t>
      </w:r>
    </w:p>
    <w:p w14:paraId="0D8829D8" w14:textId="77777777" w:rsidR="00D44098" w:rsidRPr="00107CBF" w:rsidRDefault="00D44098" w:rsidP="0067521E">
      <w:pPr>
        <w:pStyle w:val="ListParagraph"/>
        <w:numPr>
          <w:ilvl w:val="0"/>
          <w:numId w:val="83"/>
        </w:numPr>
        <w:spacing w:after="60"/>
        <w:ind w:left="993" w:hanging="426"/>
        <w:jc w:val="both"/>
        <w:rPr>
          <w:rFonts w:cs="Arial"/>
        </w:rPr>
      </w:pPr>
      <w:r w:rsidRPr="00107CBF">
        <w:rPr>
          <w:rFonts w:cs="Arial"/>
        </w:rPr>
        <w:t xml:space="preserve">other orders that are just or desirable to make in the circumstances of the particular case; </w:t>
      </w:r>
    </w:p>
    <w:p w14:paraId="3BB9FAFE" w14:textId="77777777" w:rsidR="00D44098" w:rsidRPr="00107CBF" w:rsidRDefault="00D44098" w:rsidP="0067521E">
      <w:pPr>
        <w:pStyle w:val="ListParagraph"/>
        <w:numPr>
          <w:ilvl w:val="0"/>
          <w:numId w:val="83"/>
        </w:numPr>
        <w:spacing w:after="200"/>
        <w:ind w:left="993" w:hanging="426"/>
        <w:contextualSpacing/>
        <w:jc w:val="both"/>
        <w:rPr>
          <w:rFonts w:cs="Arial"/>
        </w:rPr>
      </w:pPr>
      <w:r w:rsidRPr="00107CBF">
        <w:rPr>
          <w:rFonts w:cs="Arial"/>
        </w:rPr>
        <w:t xml:space="preserve">an ancillary order that aims to ensure compliance by the defendant. </w:t>
      </w:r>
    </w:p>
    <w:p w14:paraId="419070FA" w14:textId="186A511B" w:rsidR="00A53A8C" w:rsidRPr="00EA148F" w:rsidRDefault="00EA148F" w:rsidP="00EA148F">
      <w:pPr>
        <w:jc w:val="both"/>
        <w:rPr>
          <w:rFonts w:cs="Arial"/>
        </w:rPr>
      </w:pPr>
      <w:r>
        <w:rPr>
          <w:rFonts w:cs="Arial"/>
        </w:rPr>
        <w:t>S</w:t>
      </w:r>
      <w:r w:rsidR="00D44098" w:rsidRPr="00991DB0">
        <w:rPr>
          <w:rFonts w:cs="Arial"/>
        </w:rPr>
        <w:t xml:space="preserve">ection </w:t>
      </w:r>
      <w:r>
        <w:rPr>
          <w:rFonts w:cs="Arial"/>
        </w:rPr>
        <w:t xml:space="preserve">21(1A) </w:t>
      </w:r>
      <w:r w:rsidR="00D44098" w:rsidRPr="00991DB0">
        <w:rPr>
          <w:rFonts w:cs="Arial"/>
        </w:rPr>
        <w:t xml:space="preserve">also sets out that an ancillary order may prohibit the defendant from engaging in specified conduct or require the defendant to take specified action. </w:t>
      </w:r>
      <w:r w:rsidR="009F4FC7">
        <w:rPr>
          <w:rFonts w:cs="Arial"/>
        </w:rPr>
        <w:t xml:space="preserve"> </w:t>
      </w:r>
      <w:r w:rsidR="00D44098" w:rsidRPr="00991DB0">
        <w:rPr>
          <w:rFonts w:cs="Arial"/>
        </w:rPr>
        <w:t xml:space="preserve">The regulations may make a provision about a matter relating to an ancillary order and section </w:t>
      </w:r>
      <w:r w:rsidR="00D44098">
        <w:rPr>
          <w:rFonts w:cs="Arial"/>
        </w:rPr>
        <w:t>2</w:t>
      </w:r>
      <w:r w:rsidR="00D44098" w:rsidRPr="00991DB0">
        <w:rPr>
          <w:rFonts w:cs="Arial"/>
        </w:rPr>
        <w:t xml:space="preserve">1 is not limited by </w:t>
      </w:r>
      <w:r w:rsidR="00D44098">
        <w:rPr>
          <w:rFonts w:cs="Arial"/>
        </w:rPr>
        <w:t xml:space="preserve">the </w:t>
      </w:r>
      <w:r w:rsidR="00D44098" w:rsidRPr="00991DB0">
        <w:rPr>
          <w:rFonts w:cs="Arial"/>
        </w:rPr>
        <w:t xml:space="preserve">specific orders provided in </w:t>
      </w:r>
      <w:r>
        <w:rPr>
          <w:rFonts w:cs="Arial"/>
        </w:rPr>
        <w:t>Part 2.3 of Chapter 2.</w:t>
      </w:r>
    </w:p>
    <w:p w14:paraId="22AFB632" w14:textId="77777777" w:rsidR="00E45D20" w:rsidRDefault="00A53A8C" w:rsidP="00476730">
      <w:r>
        <w:t>Stakeholders have raise</w:t>
      </w:r>
      <w:r w:rsidR="00D44098">
        <w:t>d</w:t>
      </w:r>
      <w:r>
        <w:t xml:space="preserve"> some limitations</w:t>
      </w:r>
      <w:r w:rsidR="00D44098">
        <w:t xml:space="preserve"> with section 21</w:t>
      </w:r>
      <w:r w:rsidR="00476730">
        <w:t xml:space="preserve">.  </w:t>
      </w:r>
      <w:r w:rsidR="00BA76DD">
        <w:t xml:space="preserve">While most DVOs include an order that the defendant not harm the protected person, it was </w:t>
      </w:r>
      <w:r w:rsidR="001645B3">
        <w:t>suggest</w:t>
      </w:r>
      <w:r w:rsidR="00BA76DD">
        <w:t xml:space="preserve">ed that this should be mandatory condition of all DVOs.  </w:t>
      </w:r>
      <w:r w:rsidR="00D44098">
        <w:t>While section 21 is broad enough to encompass an order prohibiting t</w:t>
      </w:r>
      <w:r w:rsidR="00E45D20">
        <w:t xml:space="preserve">he defendant from attempting to locate a victim, it </w:t>
      </w:r>
      <w:r w:rsidR="001645B3">
        <w:t xml:space="preserve">was suggested that it </w:t>
      </w:r>
      <w:r w:rsidR="00E45D20">
        <w:t xml:space="preserve">would be helpful for this to be </w:t>
      </w:r>
      <w:r w:rsidR="00BA76DD">
        <w:t xml:space="preserve">expressly </w:t>
      </w:r>
      <w:r w:rsidR="00E45D20">
        <w:t>stated in the legislation</w:t>
      </w:r>
      <w:r w:rsidR="00135C34">
        <w:t>.</w:t>
      </w:r>
    </w:p>
    <w:p w14:paraId="49ED67FE" w14:textId="482CA451" w:rsidR="00D33CC7" w:rsidRPr="00EA148F" w:rsidRDefault="00D33CC7" w:rsidP="00D33CC7">
      <w:r w:rsidRPr="00EA148F">
        <w:t xml:space="preserve">In </w:t>
      </w:r>
      <w:r w:rsidRPr="00EA148F">
        <w:rPr>
          <w:i/>
        </w:rPr>
        <w:t>AB v Hayes and Anor</w:t>
      </w:r>
      <w:r w:rsidRPr="00EA148F">
        <w:t xml:space="preserve"> </w:t>
      </w:r>
      <w:r w:rsidR="007469CA" w:rsidRPr="00EA148F">
        <w:rPr>
          <w:rStyle w:val="FootnoteReference"/>
        </w:rPr>
        <w:footnoteReference w:id="172"/>
      </w:r>
      <w:r w:rsidRPr="00EA148F">
        <w:t xml:space="preserve">the Supreme Court held that the Local Court did not have the power to order a person to destroy property (in this case digital images of a sexually explicit nature). </w:t>
      </w:r>
      <w:r w:rsidR="009F4FC7">
        <w:t xml:space="preserve"> </w:t>
      </w:r>
      <w:r w:rsidRPr="00EA148F">
        <w:t xml:space="preserve">The Supreme Court held that section 21 as currently worded did not grant the Local Court power to order the destruction of property as clear unambiguous words would be required for a </w:t>
      </w:r>
      <w:r w:rsidR="009F4FC7" w:rsidRPr="00EA148F">
        <w:t xml:space="preserve">court </w:t>
      </w:r>
      <w:r w:rsidRPr="00EA148F">
        <w:t xml:space="preserve">to interfere with a proprietary interest. </w:t>
      </w:r>
    </w:p>
    <w:p w14:paraId="6BD628F8" w14:textId="555FD398" w:rsidR="00EA148F" w:rsidRDefault="00D33CC7" w:rsidP="00D33CC7">
      <w:r w:rsidRPr="00EA148F">
        <w:t xml:space="preserve">It has been proposed </w:t>
      </w:r>
      <w:r w:rsidR="007469CA" w:rsidRPr="00EA148F">
        <w:t>that</w:t>
      </w:r>
      <w:r w:rsidRPr="00EA148F">
        <w:t xml:space="preserve"> section 21 </w:t>
      </w:r>
      <w:r w:rsidR="007469CA" w:rsidRPr="00EA148F">
        <w:t xml:space="preserve">be amended </w:t>
      </w:r>
      <w:r w:rsidRPr="00EA148F">
        <w:t xml:space="preserve">to </w:t>
      </w:r>
      <w:r w:rsidR="007469CA" w:rsidRPr="00EA148F">
        <w:t>provide</w:t>
      </w:r>
      <w:r w:rsidRPr="00EA148F">
        <w:t xml:space="preserve"> that a DVO can include an order that the defendant destroy intimate images, documents or files of a sexual nature. The existence of images or files of this kind, and threats to disseminated them, can be used for the purposes of domestic violence to harass or intimidate a victim.</w:t>
      </w:r>
    </w:p>
    <w:p w14:paraId="554F44C3" w14:textId="30A3A979" w:rsidR="007C36ED" w:rsidRPr="007C36ED" w:rsidRDefault="007C36ED" w:rsidP="001B3161">
      <w:pPr>
        <w:pStyle w:val="Heading4"/>
        <w:keepNext/>
        <w:numPr>
          <w:ilvl w:val="0"/>
          <w:numId w:val="0"/>
        </w:numPr>
        <w:spacing w:after="0" w:line="259" w:lineRule="auto"/>
        <w:ind w:left="864" w:hanging="864"/>
      </w:pPr>
      <w:r w:rsidRPr="007C36ED">
        <w:t xml:space="preserve">PROPOSAL </w:t>
      </w:r>
      <w:r w:rsidR="001804B8">
        <w:t xml:space="preserve">LR </w:t>
      </w:r>
      <w:r w:rsidRPr="007C36ED">
        <w:t>15</w:t>
      </w:r>
    </w:p>
    <w:p w14:paraId="06CEBA84" w14:textId="147627BF" w:rsidR="00FA4FCF" w:rsidRDefault="00E45D20" w:rsidP="001B3161">
      <w:pPr>
        <w:keepNext/>
        <w:spacing w:after="0" w:line="259" w:lineRule="auto"/>
        <w:rPr>
          <w:b/>
          <w:bCs/>
        </w:rPr>
      </w:pPr>
      <w:r w:rsidRPr="007C36ED">
        <w:rPr>
          <w:b/>
          <w:bCs/>
        </w:rPr>
        <w:t xml:space="preserve">It is proposed to amend section 21 to </w:t>
      </w:r>
      <w:r w:rsidR="00FA4FCF" w:rsidRPr="007C36ED">
        <w:rPr>
          <w:b/>
          <w:bCs/>
        </w:rPr>
        <w:t>make</w:t>
      </w:r>
      <w:r w:rsidRPr="007C36ED">
        <w:rPr>
          <w:b/>
          <w:bCs/>
        </w:rPr>
        <w:t xml:space="preserve"> it a </w:t>
      </w:r>
      <w:r w:rsidR="00FA4FCF" w:rsidRPr="007C36ED">
        <w:rPr>
          <w:b/>
          <w:bCs/>
        </w:rPr>
        <w:t xml:space="preserve">mandatory </w:t>
      </w:r>
      <w:r w:rsidRPr="007C36ED">
        <w:rPr>
          <w:b/>
          <w:bCs/>
        </w:rPr>
        <w:t xml:space="preserve">condition </w:t>
      </w:r>
      <w:r w:rsidR="00FA4FCF" w:rsidRPr="007C36ED">
        <w:rPr>
          <w:b/>
          <w:bCs/>
        </w:rPr>
        <w:t xml:space="preserve">in all DVOs </w:t>
      </w:r>
      <w:r w:rsidRPr="007C36ED">
        <w:rPr>
          <w:b/>
          <w:bCs/>
        </w:rPr>
        <w:t>that the defendant must not commit DFV against the protected person, along the lines:</w:t>
      </w:r>
    </w:p>
    <w:p w14:paraId="43D6106D" w14:textId="77777777" w:rsidR="00FA4FCF" w:rsidRPr="009F4FC7" w:rsidRDefault="00FA4FCF" w:rsidP="001B3161">
      <w:pPr>
        <w:spacing w:after="0" w:line="259" w:lineRule="auto"/>
        <w:ind w:left="567"/>
        <w:rPr>
          <w:b/>
          <w:bCs/>
        </w:rPr>
      </w:pPr>
      <w:r w:rsidRPr="009F4FC7">
        <w:rPr>
          <w:b/>
          <w:bCs/>
        </w:rPr>
        <w:t>A DVO must include a condition that the defendant must be of good behaviour towards the protected person/s and is restrained from committing all forms of domestic violence against the protected person/s.</w:t>
      </w:r>
    </w:p>
    <w:p w14:paraId="06410177" w14:textId="0344B288" w:rsidR="00FA4FCF" w:rsidRPr="009F4FC7" w:rsidRDefault="00FA4FCF" w:rsidP="001B3161">
      <w:pPr>
        <w:spacing w:after="0" w:line="259" w:lineRule="auto"/>
        <w:ind w:left="567"/>
        <w:rPr>
          <w:b/>
          <w:bCs/>
        </w:rPr>
      </w:pPr>
      <w:r w:rsidRPr="009F4FC7">
        <w:rPr>
          <w:b/>
          <w:bCs/>
        </w:rPr>
        <w:t xml:space="preserve">If the </w:t>
      </w:r>
      <w:r w:rsidR="009F4FC7" w:rsidRPr="009F4FC7">
        <w:rPr>
          <w:b/>
          <w:bCs/>
        </w:rPr>
        <w:t xml:space="preserve">court </w:t>
      </w:r>
      <w:r w:rsidRPr="009F4FC7">
        <w:rPr>
          <w:b/>
          <w:bCs/>
        </w:rPr>
        <w:t xml:space="preserve">does not exercise its power to impose this condition, the </w:t>
      </w:r>
      <w:r w:rsidR="009F4FC7" w:rsidRPr="009F4FC7">
        <w:rPr>
          <w:b/>
          <w:bCs/>
        </w:rPr>
        <w:t xml:space="preserve">court </w:t>
      </w:r>
      <w:r w:rsidRPr="009F4FC7">
        <w:rPr>
          <w:b/>
          <w:bCs/>
        </w:rPr>
        <w:t>is taken to have done so.</w:t>
      </w:r>
    </w:p>
    <w:p w14:paraId="06E1D9DF" w14:textId="78AC7E41" w:rsidR="00FA4FCF" w:rsidRDefault="00E45D20" w:rsidP="001B3161">
      <w:pPr>
        <w:spacing w:line="259" w:lineRule="auto"/>
        <w:rPr>
          <w:b/>
          <w:bCs/>
        </w:rPr>
      </w:pPr>
      <w:r w:rsidRPr="007C36ED">
        <w:rPr>
          <w:b/>
          <w:bCs/>
        </w:rPr>
        <w:t xml:space="preserve">It is </w:t>
      </w:r>
      <w:r w:rsidR="00BC37DE">
        <w:rPr>
          <w:b/>
          <w:bCs/>
        </w:rPr>
        <w:t xml:space="preserve">further </w:t>
      </w:r>
      <w:r w:rsidRPr="007C36ED">
        <w:rPr>
          <w:b/>
          <w:bCs/>
        </w:rPr>
        <w:t>proposed to</w:t>
      </w:r>
      <w:r w:rsidR="00FA4FCF" w:rsidRPr="007C36ED">
        <w:rPr>
          <w:b/>
          <w:bCs/>
        </w:rPr>
        <w:t xml:space="preserve"> add a note </w:t>
      </w:r>
      <w:r w:rsidRPr="007C36ED">
        <w:rPr>
          <w:b/>
          <w:bCs/>
        </w:rPr>
        <w:t xml:space="preserve">beneath this provision </w:t>
      </w:r>
      <w:r w:rsidR="00FA4FCF" w:rsidRPr="007C36ED">
        <w:rPr>
          <w:b/>
          <w:bCs/>
        </w:rPr>
        <w:t>referring to the definition of domestic violence in section 5.</w:t>
      </w:r>
    </w:p>
    <w:p w14:paraId="03DB88A4" w14:textId="4EEDDDC2" w:rsidR="007C36ED" w:rsidRPr="007C36ED" w:rsidRDefault="007C36ED" w:rsidP="001B3161">
      <w:pPr>
        <w:pStyle w:val="Heading4"/>
        <w:keepNext/>
        <w:numPr>
          <w:ilvl w:val="0"/>
          <w:numId w:val="0"/>
        </w:numPr>
        <w:spacing w:after="0" w:line="259" w:lineRule="auto"/>
        <w:ind w:left="862" w:hanging="862"/>
      </w:pPr>
      <w:r>
        <w:t xml:space="preserve">PROPOSAL </w:t>
      </w:r>
      <w:r w:rsidR="001804B8">
        <w:t xml:space="preserve">LR </w:t>
      </w:r>
      <w:r>
        <w:t>16</w:t>
      </w:r>
    </w:p>
    <w:p w14:paraId="552B46B1" w14:textId="6D3040E2" w:rsidR="00BC37DE" w:rsidRDefault="00476730" w:rsidP="001B3161">
      <w:pPr>
        <w:spacing w:after="0" w:line="259" w:lineRule="auto"/>
        <w:rPr>
          <w:b/>
          <w:bCs/>
        </w:rPr>
      </w:pPr>
      <w:r w:rsidRPr="004E4D82">
        <w:rPr>
          <w:b/>
          <w:bCs/>
        </w:rPr>
        <w:t xml:space="preserve">It is </w:t>
      </w:r>
      <w:r w:rsidR="004E4D82" w:rsidRPr="004E4D82">
        <w:rPr>
          <w:b/>
          <w:bCs/>
        </w:rPr>
        <w:t>p</w:t>
      </w:r>
      <w:r w:rsidRPr="004E4D82">
        <w:rPr>
          <w:b/>
          <w:bCs/>
        </w:rPr>
        <w:t>roposed to amend section 21</w:t>
      </w:r>
      <w:r w:rsidR="00FA4FCF" w:rsidRPr="004E4D82">
        <w:rPr>
          <w:b/>
          <w:bCs/>
        </w:rPr>
        <w:t xml:space="preserve"> so that a DVO may provide an order that the defendant be restrained from locating or attempting to locate the protected person, including any children named as protected persons.</w:t>
      </w:r>
    </w:p>
    <w:p w14:paraId="6CBFF533" w14:textId="06BB3AE0" w:rsidR="004E4D82" w:rsidRPr="004E4D82" w:rsidRDefault="004E4D82" w:rsidP="001B3161">
      <w:pPr>
        <w:pStyle w:val="Heading4"/>
        <w:keepNext/>
        <w:numPr>
          <w:ilvl w:val="0"/>
          <w:numId w:val="0"/>
        </w:numPr>
        <w:spacing w:after="0" w:line="259" w:lineRule="auto"/>
      </w:pPr>
      <w:r>
        <w:lastRenderedPageBreak/>
        <w:t xml:space="preserve">PROPOSAL </w:t>
      </w:r>
      <w:r w:rsidR="001804B8">
        <w:t xml:space="preserve">LR </w:t>
      </w:r>
      <w:r>
        <w:t>17</w:t>
      </w:r>
    </w:p>
    <w:p w14:paraId="142C0D8C" w14:textId="6738CF9F" w:rsidR="00BC37DE" w:rsidRDefault="00EA148F" w:rsidP="001B3161">
      <w:pPr>
        <w:spacing w:after="0" w:line="259" w:lineRule="auto"/>
      </w:pPr>
      <w:r w:rsidRPr="004E4D82">
        <w:rPr>
          <w:b/>
          <w:bCs/>
        </w:rPr>
        <w:t xml:space="preserve">It is proposed to amend section 21 to provide explicit power for the </w:t>
      </w:r>
      <w:r w:rsidR="009F4FC7" w:rsidRPr="004E4D82">
        <w:rPr>
          <w:b/>
          <w:bCs/>
        </w:rPr>
        <w:t xml:space="preserve">court </w:t>
      </w:r>
      <w:r w:rsidRPr="004E4D82">
        <w:rPr>
          <w:b/>
          <w:bCs/>
        </w:rPr>
        <w:t xml:space="preserve">to order the defendant to destroy intimate images or </w:t>
      </w:r>
      <w:r w:rsidR="004E4D82">
        <w:rPr>
          <w:b/>
          <w:bCs/>
        </w:rPr>
        <w:t xml:space="preserve">hand them </w:t>
      </w:r>
      <w:r w:rsidRPr="004E4D82">
        <w:rPr>
          <w:b/>
          <w:bCs/>
        </w:rPr>
        <w:t>to police.</w:t>
      </w:r>
      <w:r w:rsidRPr="00EA148F">
        <w:t xml:space="preserve"> </w:t>
      </w:r>
    </w:p>
    <w:p w14:paraId="1407BE2B" w14:textId="77777777" w:rsidR="0094265C" w:rsidRDefault="0094265C" w:rsidP="00025605">
      <w:pPr>
        <w:pStyle w:val="Heading3"/>
        <w:rPr>
          <w:lang w:eastAsia="en-AU"/>
        </w:rPr>
      </w:pPr>
      <w:bookmarkStart w:id="51" w:name="_Toc112051838"/>
      <w:r>
        <w:rPr>
          <w:lang w:eastAsia="en-AU"/>
        </w:rPr>
        <w:t>Orders to attend rehabilitation</w:t>
      </w:r>
      <w:bookmarkEnd w:id="51"/>
    </w:p>
    <w:p w14:paraId="08173E5B" w14:textId="14797435" w:rsidR="0094265C" w:rsidRDefault="0094265C" w:rsidP="0094265C">
      <w:pPr>
        <w:rPr>
          <w:lang w:eastAsia="en-AU"/>
        </w:rPr>
      </w:pPr>
      <w:r>
        <w:rPr>
          <w:lang w:eastAsia="en-AU"/>
        </w:rPr>
        <w:t xml:space="preserve">Section 24 provides that the </w:t>
      </w:r>
      <w:r w:rsidR="009F4FC7">
        <w:rPr>
          <w:lang w:eastAsia="en-AU"/>
        </w:rPr>
        <w:t xml:space="preserve">court </w:t>
      </w:r>
      <w:r>
        <w:rPr>
          <w:lang w:eastAsia="en-AU"/>
        </w:rPr>
        <w:t>may include in a DVO an order requiring the defendant to take part in a rehabilitation program when making or varying a DVO.  The safety and protection of the protected person must be the paramount consideration.</w:t>
      </w:r>
    </w:p>
    <w:p w14:paraId="7EBFEE83" w14:textId="39638E65" w:rsidR="0094265C" w:rsidRDefault="0094265C" w:rsidP="0094265C">
      <w:pPr>
        <w:rPr>
          <w:lang w:eastAsia="en-AU"/>
        </w:rPr>
      </w:pPr>
      <w:r>
        <w:rPr>
          <w:lang w:eastAsia="en-AU"/>
        </w:rPr>
        <w:t xml:space="preserve">The order may only be made if the </w:t>
      </w:r>
      <w:r w:rsidR="009F4FC7">
        <w:rPr>
          <w:lang w:eastAsia="en-AU"/>
        </w:rPr>
        <w:t xml:space="preserve">court </w:t>
      </w:r>
      <w:r>
        <w:rPr>
          <w:lang w:eastAsia="en-AU"/>
        </w:rPr>
        <w:t>is satisfied that the defendant is a suitable person to take part in the program and there is a place available in the program</w:t>
      </w:r>
      <w:r w:rsidR="00EA148F">
        <w:rPr>
          <w:lang w:eastAsia="en-AU"/>
        </w:rPr>
        <w:t xml:space="preserve"> for the defendant</w:t>
      </w:r>
      <w:r>
        <w:rPr>
          <w:lang w:eastAsia="en-AU"/>
        </w:rPr>
        <w:t xml:space="preserve">. </w:t>
      </w:r>
      <w:r w:rsidR="009F4FC7">
        <w:rPr>
          <w:lang w:eastAsia="en-AU"/>
        </w:rPr>
        <w:t xml:space="preserve"> </w:t>
      </w:r>
      <w:r>
        <w:rPr>
          <w:lang w:eastAsia="en-AU"/>
        </w:rPr>
        <w:t>The order may only be made if the defendant consents to the order.</w:t>
      </w:r>
    </w:p>
    <w:p w14:paraId="242E2668" w14:textId="77777777" w:rsidR="0094265C" w:rsidRDefault="0094265C" w:rsidP="0094265C">
      <w:pPr>
        <w:rPr>
          <w:lang w:eastAsia="en-AU"/>
        </w:rPr>
      </w:pPr>
      <w:r>
        <w:rPr>
          <w:lang w:eastAsia="en-AU"/>
        </w:rPr>
        <w:t>A program may be declared by the Minister if the primary objective of the program is to change the behaviour of a person who commits domestic violence to:</w:t>
      </w:r>
    </w:p>
    <w:p w14:paraId="19841F5A" w14:textId="14A0E7EE" w:rsidR="0094265C" w:rsidRDefault="009F4FC7" w:rsidP="0067521E">
      <w:pPr>
        <w:pStyle w:val="ListParagraph"/>
        <w:numPr>
          <w:ilvl w:val="0"/>
          <w:numId w:val="74"/>
        </w:numPr>
        <w:ind w:left="1134" w:hanging="567"/>
        <w:rPr>
          <w:lang w:eastAsia="en-AU"/>
        </w:rPr>
      </w:pPr>
      <w:r>
        <w:rPr>
          <w:lang w:eastAsia="en-AU"/>
        </w:rPr>
        <w:t xml:space="preserve">reduce </w:t>
      </w:r>
      <w:r w:rsidR="0094265C">
        <w:rPr>
          <w:lang w:eastAsia="en-AU"/>
        </w:rPr>
        <w:t>and prevent the person committing domestic violence; and</w:t>
      </w:r>
    </w:p>
    <w:p w14:paraId="7CB382AE" w14:textId="3CB753D6" w:rsidR="0094265C" w:rsidRDefault="009F4FC7" w:rsidP="0067521E">
      <w:pPr>
        <w:pStyle w:val="ListParagraph"/>
        <w:numPr>
          <w:ilvl w:val="0"/>
          <w:numId w:val="74"/>
        </w:numPr>
        <w:ind w:left="1134" w:hanging="567"/>
        <w:rPr>
          <w:lang w:eastAsia="en-AU"/>
        </w:rPr>
      </w:pPr>
      <w:r>
        <w:rPr>
          <w:lang w:eastAsia="en-AU"/>
        </w:rPr>
        <w:t xml:space="preserve">increase </w:t>
      </w:r>
      <w:r w:rsidR="0094265C">
        <w:rPr>
          <w:lang w:eastAsia="en-AU"/>
        </w:rPr>
        <w:t>the safety and protection of persons with whom the person is or may be in a domestic relationship; and</w:t>
      </w:r>
    </w:p>
    <w:p w14:paraId="0DA935E4" w14:textId="29D07372" w:rsidR="0094265C" w:rsidRDefault="009F4FC7" w:rsidP="0067521E">
      <w:pPr>
        <w:pStyle w:val="ListParagraph"/>
        <w:numPr>
          <w:ilvl w:val="0"/>
          <w:numId w:val="74"/>
        </w:numPr>
        <w:ind w:left="1134" w:hanging="567"/>
        <w:rPr>
          <w:lang w:eastAsia="en-AU"/>
        </w:rPr>
      </w:pPr>
      <w:r>
        <w:rPr>
          <w:lang w:eastAsia="en-AU"/>
        </w:rPr>
        <w:t xml:space="preserve">ensure </w:t>
      </w:r>
      <w:r w:rsidR="0094265C">
        <w:rPr>
          <w:lang w:eastAsia="en-AU"/>
        </w:rPr>
        <w:t>the person accepts responsibility for the person’s behaviour.</w:t>
      </w:r>
    </w:p>
    <w:p w14:paraId="2F8515DD" w14:textId="14ECBAF0" w:rsidR="0094265C" w:rsidRDefault="0094265C" w:rsidP="0094265C">
      <w:pPr>
        <w:rPr>
          <w:lang w:eastAsia="en-AU"/>
        </w:rPr>
      </w:pPr>
      <w:r>
        <w:rPr>
          <w:lang w:eastAsia="en-AU"/>
        </w:rPr>
        <w:t xml:space="preserve">If the </w:t>
      </w:r>
      <w:r w:rsidR="009F4FC7">
        <w:rPr>
          <w:lang w:eastAsia="en-AU"/>
        </w:rPr>
        <w:t xml:space="preserve">court </w:t>
      </w:r>
      <w:r>
        <w:rPr>
          <w:lang w:eastAsia="en-AU"/>
        </w:rPr>
        <w:t>makes an order under section 24(1) for the defendant to attend a domestic violence program</w:t>
      </w:r>
      <w:r w:rsidR="00590A3C">
        <w:rPr>
          <w:lang w:eastAsia="en-AU"/>
        </w:rPr>
        <w:t>,</w:t>
      </w:r>
      <w:r>
        <w:rPr>
          <w:lang w:eastAsia="en-AU"/>
        </w:rPr>
        <w:t xml:space="preserve"> it can also order the defendant to take part in another program the </w:t>
      </w:r>
      <w:r w:rsidR="00590A3C">
        <w:rPr>
          <w:lang w:eastAsia="en-AU"/>
        </w:rPr>
        <w:t xml:space="preserve">court </w:t>
      </w:r>
      <w:r>
        <w:rPr>
          <w:lang w:eastAsia="en-AU"/>
        </w:rPr>
        <w:t>considers appropriate (for example, an alcohol rehabilitation program).</w:t>
      </w:r>
    </w:p>
    <w:p w14:paraId="1FA4954E" w14:textId="7F853255" w:rsidR="0094265C" w:rsidRDefault="0094265C" w:rsidP="00590A3C">
      <w:pPr>
        <w:spacing w:after="120"/>
        <w:rPr>
          <w:lang w:eastAsia="en-AU"/>
        </w:rPr>
      </w:pPr>
      <w:r>
        <w:rPr>
          <w:lang w:eastAsia="en-AU"/>
        </w:rPr>
        <w:t>Amendments to the DFV</w:t>
      </w:r>
      <w:r w:rsidR="00590A3C">
        <w:rPr>
          <w:lang w:eastAsia="en-AU"/>
        </w:rPr>
        <w:t> </w:t>
      </w:r>
      <w:r>
        <w:rPr>
          <w:lang w:eastAsia="en-AU"/>
        </w:rPr>
        <w:t>A</w:t>
      </w:r>
      <w:r w:rsidR="00590A3C">
        <w:rPr>
          <w:lang w:eastAsia="en-AU"/>
        </w:rPr>
        <w:t>ct</w:t>
      </w:r>
      <w:r>
        <w:rPr>
          <w:lang w:eastAsia="en-AU"/>
        </w:rPr>
        <w:t xml:space="preserve"> that were passed in 2020 introduced a new Part 2.11A to the DFV</w:t>
      </w:r>
      <w:r w:rsidR="00590A3C">
        <w:rPr>
          <w:lang w:eastAsia="en-AU"/>
        </w:rPr>
        <w:t> </w:t>
      </w:r>
      <w:r>
        <w:rPr>
          <w:lang w:eastAsia="en-AU"/>
        </w:rPr>
        <w:t>A</w:t>
      </w:r>
      <w:r w:rsidR="00590A3C">
        <w:rPr>
          <w:lang w:eastAsia="en-AU"/>
        </w:rPr>
        <w:t>ct</w:t>
      </w:r>
      <w:r>
        <w:rPr>
          <w:lang w:eastAsia="en-AU"/>
        </w:rPr>
        <w:t xml:space="preserve"> to provide </w:t>
      </w:r>
      <w:r w:rsidR="00D35B58">
        <w:rPr>
          <w:lang w:eastAsia="en-AU"/>
        </w:rPr>
        <w:t>for</w:t>
      </w:r>
      <w:r>
        <w:rPr>
          <w:lang w:eastAsia="en-AU"/>
        </w:rPr>
        <w:t xml:space="preserve"> rehabilitation programs, including:</w:t>
      </w:r>
    </w:p>
    <w:p w14:paraId="080098E5" w14:textId="7DCA3EF6" w:rsidR="0094265C" w:rsidRDefault="00590A3C" w:rsidP="0067521E">
      <w:pPr>
        <w:pStyle w:val="ListParagraph"/>
        <w:numPr>
          <w:ilvl w:val="0"/>
          <w:numId w:val="75"/>
        </w:numPr>
        <w:ind w:hanging="513"/>
        <w:rPr>
          <w:lang w:eastAsia="en-AU"/>
        </w:rPr>
      </w:pPr>
      <w:r>
        <w:rPr>
          <w:lang w:eastAsia="en-AU"/>
        </w:rPr>
        <w:t xml:space="preserve">powers </w:t>
      </w:r>
      <w:r w:rsidR="0094265C">
        <w:rPr>
          <w:lang w:eastAsia="en-AU"/>
        </w:rPr>
        <w:t xml:space="preserve">for the </w:t>
      </w:r>
      <w:r>
        <w:rPr>
          <w:lang w:eastAsia="en-AU"/>
        </w:rPr>
        <w:t xml:space="preserve">court </w:t>
      </w:r>
      <w:r w:rsidR="0094265C">
        <w:rPr>
          <w:lang w:eastAsia="en-AU"/>
        </w:rPr>
        <w:t xml:space="preserve">to require a defendant who is ordered to attend a program to appear before the </w:t>
      </w:r>
      <w:r>
        <w:rPr>
          <w:lang w:eastAsia="en-AU"/>
        </w:rPr>
        <w:t xml:space="preserve">court </w:t>
      </w:r>
      <w:r w:rsidR="0094265C">
        <w:rPr>
          <w:lang w:eastAsia="en-AU"/>
        </w:rPr>
        <w:t>for a review of the defendants’ progress;</w:t>
      </w:r>
    </w:p>
    <w:p w14:paraId="19F64E94" w14:textId="795C9EFD" w:rsidR="0094265C" w:rsidRDefault="00590A3C" w:rsidP="0067521E">
      <w:pPr>
        <w:pStyle w:val="ListParagraph"/>
        <w:numPr>
          <w:ilvl w:val="0"/>
          <w:numId w:val="75"/>
        </w:numPr>
        <w:ind w:hanging="513"/>
        <w:rPr>
          <w:lang w:eastAsia="en-AU"/>
        </w:rPr>
      </w:pPr>
      <w:r>
        <w:rPr>
          <w:lang w:eastAsia="en-AU"/>
        </w:rPr>
        <w:t xml:space="preserve">the </w:t>
      </w:r>
      <w:r w:rsidR="0094265C">
        <w:rPr>
          <w:lang w:eastAsia="en-AU"/>
        </w:rPr>
        <w:t>obligations of program facilitators</w:t>
      </w:r>
      <w:r w:rsidR="00D35B58">
        <w:rPr>
          <w:lang w:eastAsia="en-AU"/>
        </w:rPr>
        <w:t xml:space="preserve">, including circumstances in which program facilitators must provide notices to the </w:t>
      </w:r>
      <w:r>
        <w:rPr>
          <w:lang w:eastAsia="en-AU"/>
        </w:rPr>
        <w:t>court</w:t>
      </w:r>
      <w:r w:rsidR="00D35B58">
        <w:rPr>
          <w:lang w:eastAsia="en-AU"/>
        </w:rPr>
        <w:t>;</w:t>
      </w:r>
    </w:p>
    <w:p w14:paraId="19313EE3" w14:textId="4FEBA72B" w:rsidR="0094265C" w:rsidRDefault="00590A3C" w:rsidP="0067521E">
      <w:pPr>
        <w:pStyle w:val="ListParagraph"/>
        <w:numPr>
          <w:ilvl w:val="0"/>
          <w:numId w:val="75"/>
        </w:numPr>
        <w:ind w:hanging="513"/>
        <w:rPr>
          <w:lang w:eastAsia="en-AU"/>
        </w:rPr>
      </w:pPr>
      <w:r>
        <w:rPr>
          <w:lang w:eastAsia="en-AU"/>
        </w:rPr>
        <w:t xml:space="preserve">when </w:t>
      </w:r>
      <w:r w:rsidR="0094265C">
        <w:rPr>
          <w:lang w:eastAsia="en-AU"/>
        </w:rPr>
        <w:t>a defendant is considered to have satisfactorily completed the program</w:t>
      </w:r>
      <w:r w:rsidR="00D35B58">
        <w:rPr>
          <w:lang w:eastAsia="en-AU"/>
        </w:rPr>
        <w:t>;</w:t>
      </w:r>
    </w:p>
    <w:p w14:paraId="11464A02" w14:textId="3D405C64" w:rsidR="0094265C" w:rsidRPr="00D32752" w:rsidRDefault="00590A3C" w:rsidP="0067521E">
      <w:pPr>
        <w:pStyle w:val="ListParagraph"/>
        <w:numPr>
          <w:ilvl w:val="0"/>
          <w:numId w:val="75"/>
        </w:numPr>
        <w:spacing w:after="200"/>
        <w:ind w:left="1077" w:hanging="513"/>
        <w:rPr>
          <w:lang w:eastAsia="en-AU"/>
        </w:rPr>
      </w:pPr>
      <w:r>
        <w:rPr>
          <w:lang w:eastAsia="en-AU"/>
        </w:rPr>
        <w:t xml:space="preserve">when </w:t>
      </w:r>
      <w:r w:rsidR="0094265C">
        <w:rPr>
          <w:lang w:eastAsia="en-AU"/>
        </w:rPr>
        <w:t xml:space="preserve">an order </w:t>
      </w:r>
      <w:r w:rsidR="00EA148F">
        <w:rPr>
          <w:lang w:eastAsia="en-AU"/>
        </w:rPr>
        <w:t xml:space="preserve">to attend rehabilitation </w:t>
      </w:r>
      <w:r w:rsidR="0094265C">
        <w:rPr>
          <w:lang w:eastAsia="en-AU"/>
        </w:rPr>
        <w:t>may be revoke</w:t>
      </w:r>
      <w:r w:rsidR="00D35B58">
        <w:rPr>
          <w:lang w:eastAsia="en-AU"/>
        </w:rPr>
        <w:t>d.</w:t>
      </w:r>
    </w:p>
    <w:p w14:paraId="5091E367" w14:textId="77777777" w:rsidR="0094265C" w:rsidRPr="00D32752" w:rsidRDefault="0094265C" w:rsidP="0094265C">
      <w:r>
        <w:t>Stakeholders have</w:t>
      </w:r>
      <w:r w:rsidRPr="00D32752">
        <w:t xml:space="preserve"> suggested that the NT mandate attendance at behaviour changes programs along the lines of counselling orders provided for in Part 5 of the </w:t>
      </w:r>
      <w:r w:rsidRPr="00D32752">
        <w:rPr>
          <w:i/>
          <w:iCs/>
        </w:rPr>
        <w:t>Family Violence Protection Act 2008 (Vic)</w:t>
      </w:r>
      <w:r w:rsidRPr="00D32752">
        <w:t>.</w:t>
      </w:r>
    </w:p>
    <w:p w14:paraId="07CDB47F" w14:textId="411A715C" w:rsidR="0047663E" w:rsidRDefault="0094265C" w:rsidP="0094265C">
      <w:r w:rsidRPr="00D32752">
        <w:t xml:space="preserve">Part 5 of the </w:t>
      </w:r>
      <w:r w:rsidRPr="00D32752">
        <w:rPr>
          <w:i/>
          <w:iCs/>
        </w:rPr>
        <w:t>Family Violence Protection Act 2008 (Vic)</w:t>
      </w:r>
      <w:r w:rsidRPr="00D32752">
        <w:t xml:space="preserve"> provides that if the </w:t>
      </w:r>
      <w:r w:rsidR="00590A3C" w:rsidRPr="00D32752">
        <w:t xml:space="preserve">court </w:t>
      </w:r>
      <w:r w:rsidRPr="00D32752">
        <w:t xml:space="preserve">makes a final Family Violence Intervention Order (equivalent to a DVO in the NT) it must make an order requiring that the defendant be assessed for counselling and that the assessor provide a report to the </w:t>
      </w:r>
      <w:r w:rsidR="00590A3C" w:rsidRPr="00D32752">
        <w:t xml:space="preserve">court </w:t>
      </w:r>
      <w:r w:rsidRPr="00D32752">
        <w:t xml:space="preserve">about the defendant’s eligibility for counselling (unless there is already an order in force or there is no approved counselling available, or in all the circumstances of the case it is not appropriate to make the order).  </w:t>
      </w:r>
    </w:p>
    <w:p w14:paraId="799229F3" w14:textId="7D1A8B5C" w:rsidR="0094265C" w:rsidRDefault="0094265C" w:rsidP="0094265C">
      <w:r w:rsidRPr="00D32752">
        <w:t xml:space="preserve">If the </w:t>
      </w:r>
      <w:r w:rsidR="00590A3C" w:rsidRPr="00D32752">
        <w:t xml:space="preserve">court </w:t>
      </w:r>
      <w:r w:rsidRPr="00D32752">
        <w:t>is provided with a report and is satisfied that the defendant is eligible to attend counselling, it must make an order requiring the respondent to attend counselling unless the respondent doesn’t have the ability or capacity to participate in the counselling.</w:t>
      </w:r>
    </w:p>
    <w:p w14:paraId="6688820C" w14:textId="13EBA95F" w:rsidR="00625877" w:rsidRPr="00625877" w:rsidRDefault="00625877" w:rsidP="001B3161">
      <w:pPr>
        <w:pStyle w:val="Heading4"/>
        <w:keepNext/>
        <w:numPr>
          <w:ilvl w:val="0"/>
          <w:numId w:val="0"/>
        </w:numPr>
        <w:spacing w:after="0" w:line="259" w:lineRule="auto"/>
        <w:ind w:left="862" w:hanging="862"/>
        <w:rPr>
          <w:lang w:eastAsia="en-AU"/>
        </w:rPr>
      </w:pPr>
      <w:r w:rsidRPr="00625877">
        <w:rPr>
          <w:lang w:eastAsia="en-AU"/>
        </w:rPr>
        <w:t xml:space="preserve">PROPOSAL </w:t>
      </w:r>
      <w:r w:rsidR="001804B8">
        <w:rPr>
          <w:lang w:eastAsia="en-AU"/>
        </w:rPr>
        <w:t xml:space="preserve">LR </w:t>
      </w:r>
      <w:r w:rsidRPr="00625877">
        <w:rPr>
          <w:lang w:eastAsia="en-AU"/>
        </w:rPr>
        <w:t>18</w:t>
      </w:r>
    </w:p>
    <w:p w14:paraId="3ACAA94C" w14:textId="3703D8B1" w:rsidR="00BC37DE" w:rsidRDefault="0094265C" w:rsidP="001B3161">
      <w:pPr>
        <w:spacing w:line="259" w:lineRule="auto"/>
        <w:rPr>
          <w:b/>
        </w:rPr>
      </w:pPr>
      <w:r w:rsidRPr="00F15C8F">
        <w:rPr>
          <w:b/>
        </w:rPr>
        <w:t xml:space="preserve">It is proposed that attendance at DFV behaviour changes programs be mandated along the lines of counselling orders provided for in Part 5 of the </w:t>
      </w:r>
      <w:r w:rsidRPr="00F15C8F">
        <w:rPr>
          <w:b/>
          <w:i/>
          <w:iCs/>
        </w:rPr>
        <w:t>Family Violence Protection Act 2008 (Vic)</w:t>
      </w:r>
      <w:r w:rsidR="00BC37DE">
        <w:rPr>
          <w:b/>
        </w:rPr>
        <w:t>.</w:t>
      </w:r>
    </w:p>
    <w:p w14:paraId="382F41AB" w14:textId="2BCB8C1B" w:rsidR="002010B4" w:rsidRPr="00F15C8F" w:rsidRDefault="0047663E" w:rsidP="00590A3C">
      <w:pPr>
        <w:keepNext/>
      </w:pPr>
      <w:r w:rsidRPr="00F15C8F">
        <w:lastRenderedPageBreak/>
        <w:t xml:space="preserve">It is noted that there are currently insufficient programs in the NT for a provision of this kind to take effect. </w:t>
      </w:r>
      <w:r w:rsidR="002010B4" w:rsidRPr="00F15C8F">
        <w:t>However:</w:t>
      </w:r>
    </w:p>
    <w:p w14:paraId="07F70056" w14:textId="673C9834" w:rsidR="002010B4" w:rsidRPr="00F15C8F" w:rsidRDefault="002010B4" w:rsidP="0067521E">
      <w:pPr>
        <w:pStyle w:val="ListParagraph"/>
        <w:numPr>
          <w:ilvl w:val="0"/>
          <w:numId w:val="84"/>
        </w:numPr>
        <w:ind w:left="993" w:hanging="426"/>
      </w:pPr>
      <w:r w:rsidRPr="00F15C8F">
        <w:t>In the DFV</w:t>
      </w:r>
      <w:r w:rsidR="00590A3C">
        <w:t> </w:t>
      </w:r>
      <w:r w:rsidRPr="00F15C8F">
        <w:t>A</w:t>
      </w:r>
      <w:r w:rsidR="00590A3C">
        <w:t>ct</w:t>
      </w:r>
      <w:r w:rsidRPr="00F15C8F">
        <w:t xml:space="preserve"> an order to attend a rehabilitation program may only be made if the </w:t>
      </w:r>
      <w:r w:rsidR="00590A3C" w:rsidRPr="00F15C8F">
        <w:t xml:space="preserve">court </w:t>
      </w:r>
      <w:r w:rsidRPr="00F15C8F">
        <w:t>is satisfied there is a place available in the program for the defendant.</w:t>
      </w:r>
    </w:p>
    <w:p w14:paraId="29D49419" w14:textId="29A39CB0" w:rsidR="0047663E" w:rsidRPr="00F15C8F" w:rsidRDefault="002010B4" w:rsidP="0067521E">
      <w:pPr>
        <w:pStyle w:val="ListParagraph"/>
        <w:numPr>
          <w:ilvl w:val="0"/>
          <w:numId w:val="84"/>
        </w:numPr>
        <w:ind w:left="993" w:hanging="426"/>
      </w:pPr>
      <w:r w:rsidRPr="00F15C8F">
        <w:t xml:space="preserve">Similarly, </w:t>
      </w:r>
      <w:r w:rsidR="0047663E" w:rsidRPr="00F15C8F">
        <w:t xml:space="preserve">under the Victorian provisions, the </w:t>
      </w:r>
      <w:r w:rsidR="00590A3C" w:rsidRPr="00F15C8F">
        <w:t xml:space="preserve">court </w:t>
      </w:r>
      <w:r w:rsidR="0047663E" w:rsidRPr="00F15C8F">
        <w:t xml:space="preserve">is not required to make an order if the </w:t>
      </w:r>
      <w:r w:rsidR="00590A3C" w:rsidRPr="00F15C8F">
        <w:t xml:space="preserve">court </w:t>
      </w:r>
      <w:r w:rsidR="0047663E" w:rsidRPr="00F15C8F">
        <w:t>is satisfied that there is no approved counselling that is reasonably practicable for the respondent to attend (section 130</w:t>
      </w:r>
      <w:r w:rsidRPr="00F15C8F">
        <w:t>(2)(b)(i).</w:t>
      </w:r>
    </w:p>
    <w:p w14:paraId="5B42470A" w14:textId="369714C9" w:rsidR="002010B4" w:rsidRPr="00F15C8F" w:rsidRDefault="002010B4" w:rsidP="002010B4">
      <w:r w:rsidRPr="00F15C8F">
        <w:t xml:space="preserve">The availability of </w:t>
      </w:r>
      <w:r w:rsidR="00D3542C">
        <w:t>programs is consi</w:t>
      </w:r>
      <w:r w:rsidR="003A0E82">
        <w:t>dered in Part 5</w:t>
      </w:r>
      <w:r w:rsidRPr="00F15C8F">
        <w:t xml:space="preserve"> of this </w:t>
      </w:r>
      <w:r w:rsidR="00590A3C">
        <w:t>paper</w:t>
      </w:r>
      <w:r w:rsidRPr="00F15C8F">
        <w:t>.</w:t>
      </w:r>
    </w:p>
    <w:p w14:paraId="18AC412C" w14:textId="77777777" w:rsidR="0094265C" w:rsidRDefault="0094265C" w:rsidP="00590A3C">
      <w:pPr>
        <w:pStyle w:val="Heading3"/>
        <w:keepNext/>
        <w:rPr>
          <w:lang w:eastAsia="en-AU"/>
        </w:rPr>
      </w:pPr>
      <w:bookmarkStart w:id="52" w:name="_Toc112051839"/>
      <w:r>
        <w:rPr>
          <w:lang w:eastAsia="en-AU"/>
        </w:rPr>
        <w:t>Prohibition on publication</w:t>
      </w:r>
      <w:bookmarkEnd w:id="52"/>
    </w:p>
    <w:p w14:paraId="234CF619" w14:textId="7E2A8086" w:rsidR="00757C83" w:rsidRPr="00991DB0" w:rsidRDefault="00757C83" w:rsidP="00757C83">
      <w:pPr>
        <w:pStyle w:val="ListParagraph"/>
        <w:jc w:val="both"/>
        <w:rPr>
          <w:rFonts w:cs="Arial"/>
        </w:rPr>
      </w:pPr>
      <w:r w:rsidRPr="00991DB0">
        <w:rPr>
          <w:rFonts w:cs="Arial"/>
        </w:rPr>
        <w:t>Section 26 of the DFV</w:t>
      </w:r>
      <w:r w:rsidR="00590A3C">
        <w:rPr>
          <w:rFonts w:cs="Arial"/>
        </w:rPr>
        <w:t> </w:t>
      </w:r>
      <w:r w:rsidRPr="00991DB0">
        <w:rPr>
          <w:rFonts w:cs="Arial"/>
        </w:rPr>
        <w:t>A</w:t>
      </w:r>
      <w:r w:rsidR="00590A3C">
        <w:rPr>
          <w:rFonts w:cs="Arial"/>
        </w:rPr>
        <w:t>ct</w:t>
      </w:r>
      <w:r w:rsidRPr="00991DB0">
        <w:rPr>
          <w:rFonts w:cs="Arial"/>
        </w:rPr>
        <w:t xml:space="preserve"> provides that a </w:t>
      </w:r>
      <w:r w:rsidR="00590A3C" w:rsidRPr="00991DB0">
        <w:rPr>
          <w:rFonts w:cs="Arial"/>
        </w:rPr>
        <w:t xml:space="preserve">court </w:t>
      </w:r>
      <w:r w:rsidRPr="00991DB0">
        <w:rPr>
          <w:rFonts w:cs="Arial"/>
        </w:rPr>
        <w:t>DVO can prohibit the publication of personal details of a protected person or witness in a proceeding if satisfied the publication would expose the person to a risk of harm.</w:t>
      </w:r>
    </w:p>
    <w:p w14:paraId="5A89F100" w14:textId="77777777" w:rsidR="00757C83" w:rsidRPr="00991DB0" w:rsidRDefault="00757C83" w:rsidP="00757C83">
      <w:pPr>
        <w:pStyle w:val="ListParagraph"/>
        <w:jc w:val="both"/>
        <w:rPr>
          <w:rFonts w:cs="Arial"/>
        </w:rPr>
      </w:pPr>
      <w:r w:rsidRPr="00991DB0">
        <w:rPr>
          <w:rFonts w:cs="Arial"/>
          <w:bCs/>
        </w:rPr>
        <w:t xml:space="preserve">Section 124 makes it an offence if </w:t>
      </w:r>
      <w:r w:rsidRPr="00991DB0">
        <w:rPr>
          <w:rFonts w:cs="Arial"/>
        </w:rPr>
        <w:t>a person publishes a person’s personal details in breach of an order made under section 26.</w:t>
      </w:r>
    </w:p>
    <w:p w14:paraId="78EF779F" w14:textId="2FA86B43" w:rsidR="00757C83" w:rsidRPr="00991DB0" w:rsidRDefault="00757C83" w:rsidP="00757C83">
      <w:pPr>
        <w:tabs>
          <w:tab w:val="left" w:pos="1483"/>
        </w:tabs>
        <w:jc w:val="both"/>
        <w:rPr>
          <w:rFonts w:cs="Arial"/>
        </w:rPr>
      </w:pPr>
      <w:r w:rsidRPr="00991DB0">
        <w:rPr>
          <w:rFonts w:cs="Arial"/>
          <w:lang w:val="en-US"/>
        </w:rPr>
        <w:t>Section 123 of the DFV</w:t>
      </w:r>
      <w:r w:rsidR="00590A3C">
        <w:rPr>
          <w:rFonts w:cs="Arial"/>
          <w:lang w:val="en-US"/>
        </w:rPr>
        <w:t> </w:t>
      </w:r>
      <w:r w:rsidRPr="00991DB0">
        <w:rPr>
          <w:rFonts w:cs="Arial"/>
          <w:lang w:val="en-US"/>
        </w:rPr>
        <w:t>A</w:t>
      </w:r>
      <w:r w:rsidR="00590A3C">
        <w:rPr>
          <w:rFonts w:cs="Arial"/>
          <w:lang w:val="en-US"/>
        </w:rPr>
        <w:t>ct</w:t>
      </w:r>
      <w:r w:rsidRPr="00991DB0">
        <w:rPr>
          <w:rFonts w:cs="Arial"/>
          <w:lang w:val="en-US"/>
        </w:rPr>
        <w:t xml:space="preserve"> provides that it is an offence for a person </w:t>
      </w:r>
      <w:r w:rsidRPr="00991DB0">
        <w:rPr>
          <w:rFonts w:cs="Arial"/>
        </w:rPr>
        <w:t>to publish the name of a child who is a protected person named in a domestic violence order or who is or may be a witness in a domestic violence order matter or who is or is likely to be mentio</w:t>
      </w:r>
      <w:r w:rsidR="00EA148F">
        <w:rPr>
          <w:rFonts w:cs="Arial"/>
        </w:rPr>
        <w:t>ned in a DVO</w:t>
      </w:r>
      <w:r w:rsidRPr="00991DB0">
        <w:rPr>
          <w:rFonts w:cs="Arial"/>
        </w:rPr>
        <w:t xml:space="preserve">. </w:t>
      </w:r>
      <w:r>
        <w:rPr>
          <w:rFonts w:cs="Arial"/>
        </w:rPr>
        <w:t xml:space="preserve"> This does not apply to publication made in an official report of the proceeding or if the </w:t>
      </w:r>
      <w:r w:rsidR="00590A3C">
        <w:rPr>
          <w:rFonts w:cs="Arial"/>
        </w:rPr>
        <w:t xml:space="preserve">court </w:t>
      </w:r>
      <w:r>
        <w:rPr>
          <w:rFonts w:cs="Arial"/>
        </w:rPr>
        <w:t>consents to the publication of the child’</w:t>
      </w:r>
      <w:r w:rsidR="000008C5">
        <w:rPr>
          <w:rFonts w:cs="Arial"/>
        </w:rPr>
        <w:t>s name.</w:t>
      </w:r>
    </w:p>
    <w:p w14:paraId="15CCFAD0" w14:textId="38118B39" w:rsidR="00757C83" w:rsidRDefault="00757C83" w:rsidP="0094265C">
      <w:pPr>
        <w:rPr>
          <w:lang w:eastAsia="en-AU"/>
        </w:rPr>
      </w:pPr>
      <w:r>
        <w:rPr>
          <w:lang w:eastAsia="en-AU"/>
        </w:rPr>
        <w:t xml:space="preserve">Stakeholders have suggested that section 26 should be expanded to include </w:t>
      </w:r>
      <w:r w:rsidR="000008C5">
        <w:rPr>
          <w:lang w:eastAsia="en-AU"/>
        </w:rPr>
        <w:t>defendants as a number of protected persons have expressed reluctance to proceed with a DVO application against a high profile defendant, especially in regional areas.</w:t>
      </w:r>
    </w:p>
    <w:p w14:paraId="7D7A0D6A" w14:textId="34440077" w:rsidR="002D2D8A" w:rsidRPr="002D2D8A" w:rsidRDefault="002D2D8A" w:rsidP="00254808">
      <w:pPr>
        <w:pStyle w:val="Heading4"/>
        <w:keepNext/>
        <w:numPr>
          <w:ilvl w:val="0"/>
          <w:numId w:val="0"/>
        </w:numPr>
        <w:spacing w:after="0" w:line="259" w:lineRule="auto"/>
        <w:ind w:left="862" w:hanging="862"/>
      </w:pPr>
      <w:r w:rsidRPr="002D2D8A">
        <w:t xml:space="preserve">PROPOSAL </w:t>
      </w:r>
      <w:r w:rsidR="001804B8">
        <w:t xml:space="preserve">LR </w:t>
      </w:r>
      <w:r w:rsidRPr="002D2D8A">
        <w:t>19</w:t>
      </w:r>
    </w:p>
    <w:p w14:paraId="207C8D2C" w14:textId="6B83122B" w:rsidR="00BC37DE" w:rsidRDefault="000008C5" w:rsidP="00254808">
      <w:pPr>
        <w:spacing w:after="0" w:line="259" w:lineRule="auto"/>
        <w:rPr>
          <w:rFonts w:cs="Arial"/>
          <w:b/>
          <w:bCs/>
        </w:rPr>
      </w:pPr>
      <w:r w:rsidRPr="002D2D8A">
        <w:rPr>
          <w:b/>
          <w:bCs/>
          <w:lang w:eastAsia="en-AU"/>
        </w:rPr>
        <w:t xml:space="preserve">It is proposed to amend section 26 </w:t>
      </w:r>
      <w:r w:rsidR="00D250DC">
        <w:rPr>
          <w:b/>
          <w:bCs/>
          <w:lang w:eastAsia="en-AU"/>
        </w:rPr>
        <w:t xml:space="preserve">so </w:t>
      </w:r>
      <w:r w:rsidRPr="002D2D8A">
        <w:rPr>
          <w:b/>
          <w:bCs/>
          <w:lang w:eastAsia="en-AU"/>
        </w:rPr>
        <w:t xml:space="preserve">that </w:t>
      </w:r>
      <w:r w:rsidRPr="002D2D8A">
        <w:rPr>
          <w:rFonts w:cs="Arial"/>
          <w:b/>
          <w:bCs/>
        </w:rPr>
        <w:t xml:space="preserve">a </w:t>
      </w:r>
      <w:r w:rsidR="00590A3C" w:rsidRPr="002D2D8A">
        <w:rPr>
          <w:rFonts w:cs="Arial"/>
          <w:b/>
          <w:bCs/>
        </w:rPr>
        <w:t xml:space="preserve">court </w:t>
      </w:r>
      <w:r w:rsidRPr="002D2D8A">
        <w:rPr>
          <w:rFonts w:cs="Arial"/>
          <w:b/>
          <w:bCs/>
        </w:rPr>
        <w:t>DVO can prohibit the publication of personal details of a party or witness in a proceeding if satisfied the publication would expose the protected person or witness to a risk of harm or if satisfied it is ap</w:t>
      </w:r>
      <w:r w:rsidR="00BC37DE">
        <w:rPr>
          <w:rFonts w:cs="Arial"/>
          <w:b/>
          <w:bCs/>
        </w:rPr>
        <w:t>propriate in the circumstances.</w:t>
      </w:r>
    </w:p>
    <w:p w14:paraId="06C22752" w14:textId="575D02D0" w:rsidR="00FD37F1" w:rsidRPr="00D250DC" w:rsidRDefault="000008C5" w:rsidP="00254808">
      <w:pPr>
        <w:spacing w:after="0" w:line="259" w:lineRule="auto"/>
        <w:rPr>
          <w:rFonts w:cs="Arial"/>
          <w:b/>
          <w:bCs/>
        </w:rPr>
      </w:pPr>
      <w:r w:rsidRPr="00D250DC">
        <w:rPr>
          <w:rFonts w:cs="Arial"/>
          <w:b/>
          <w:bCs/>
        </w:rPr>
        <w:t xml:space="preserve">It is </w:t>
      </w:r>
      <w:r w:rsidR="001802CF">
        <w:rPr>
          <w:rFonts w:cs="Arial"/>
          <w:b/>
          <w:bCs/>
        </w:rPr>
        <w:t>further</w:t>
      </w:r>
      <w:r w:rsidRPr="00D250DC">
        <w:rPr>
          <w:rFonts w:cs="Arial"/>
          <w:b/>
          <w:bCs/>
        </w:rPr>
        <w:t xml:space="preserve"> proposed to amend s</w:t>
      </w:r>
      <w:r w:rsidR="00590A3C">
        <w:rPr>
          <w:rFonts w:cs="Arial"/>
          <w:b/>
          <w:bCs/>
        </w:rPr>
        <w:t>ections </w:t>
      </w:r>
      <w:r w:rsidRPr="00D250DC">
        <w:rPr>
          <w:rFonts w:cs="Arial"/>
          <w:b/>
          <w:bCs/>
        </w:rPr>
        <w:t>123 and 124 to clarify that these provisions do not apply to information sha</w:t>
      </w:r>
      <w:r w:rsidR="006713B5" w:rsidRPr="00D250DC">
        <w:rPr>
          <w:rFonts w:cs="Arial"/>
          <w:b/>
          <w:bCs/>
        </w:rPr>
        <w:t>red with another entity under a recognised</w:t>
      </w:r>
      <w:r w:rsidRPr="00D250DC">
        <w:rPr>
          <w:rFonts w:cs="Arial"/>
          <w:b/>
          <w:bCs/>
        </w:rPr>
        <w:t xml:space="preserve"> information s</w:t>
      </w:r>
      <w:r w:rsidR="006713B5" w:rsidRPr="00D250DC">
        <w:rPr>
          <w:rFonts w:cs="Arial"/>
          <w:b/>
          <w:bCs/>
        </w:rPr>
        <w:t>haring scheme (including Chapter 5A of the DFV</w:t>
      </w:r>
      <w:r w:rsidR="00590A3C">
        <w:rPr>
          <w:rFonts w:cs="Arial"/>
          <w:b/>
          <w:bCs/>
        </w:rPr>
        <w:t> </w:t>
      </w:r>
      <w:r w:rsidR="006713B5" w:rsidRPr="00D250DC">
        <w:rPr>
          <w:rFonts w:cs="Arial"/>
          <w:b/>
          <w:bCs/>
        </w:rPr>
        <w:t>A</w:t>
      </w:r>
      <w:r w:rsidR="00590A3C">
        <w:rPr>
          <w:rFonts w:cs="Arial"/>
          <w:b/>
          <w:bCs/>
        </w:rPr>
        <w:t>ct</w:t>
      </w:r>
      <w:r w:rsidR="006713B5" w:rsidRPr="00D250DC">
        <w:rPr>
          <w:rFonts w:cs="Arial"/>
          <w:b/>
          <w:bCs/>
        </w:rPr>
        <w:t xml:space="preserve"> or Chapter 5.1A of the </w:t>
      </w:r>
      <w:r w:rsidR="006713B5" w:rsidRPr="00D250DC">
        <w:rPr>
          <w:rFonts w:cs="Arial"/>
          <w:b/>
          <w:bCs/>
          <w:i/>
        </w:rPr>
        <w:t>Care and Protection of Children Act 2007</w:t>
      </w:r>
      <w:r w:rsidR="006713B5" w:rsidRPr="00D250DC">
        <w:rPr>
          <w:rFonts w:cs="Arial"/>
          <w:b/>
          <w:bCs/>
        </w:rPr>
        <w:t>).</w:t>
      </w:r>
    </w:p>
    <w:p w14:paraId="3432D514" w14:textId="77777777" w:rsidR="0094265C" w:rsidRPr="006713B5" w:rsidRDefault="0094265C" w:rsidP="00590A3C">
      <w:pPr>
        <w:pStyle w:val="Heading3"/>
        <w:keepNext/>
        <w:rPr>
          <w:lang w:eastAsia="en-AU"/>
        </w:rPr>
      </w:pPr>
      <w:bookmarkStart w:id="53" w:name="_Toc112051840"/>
      <w:r w:rsidRPr="006713B5">
        <w:rPr>
          <w:lang w:eastAsia="en-AU"/>
        </w:rPr>
        <w:t xml:space="preserve">Duration </w:t>
      </w:r>
      <w:r w:rsidR="004E34FB">
        <w:rPr>
          <w:lang w:eastAsia="en-AU"/>
        </w:rPr>
        <w:t xml:space="preserve">and extension </w:t>
      </w:r>
      <w:r w:rsidRPr="006713B5">
        <w:rPr>
          <w:lang w:eastAsia="en-AU"/>
        </w:rPr>
        <w:t>of DVO</w:t>
      </w:r>
      <w:r w:rsidR="004E34FB">
        <w:rPr>
          <w:lang w:eastAsia="en-AU"/>
        </w:rPr>
        <w:t>s</w:t>
      </w:r>
      <w:bookmarkEnd w:id="53"/>
    </w:p>
    <w:p w14:paraId="1D252B59" w14:textId="77777777" w:rsidR="0094265C" w:rsidRDefault="0094265C" w:rsidP="00590A3C">
      <w:pPr>
        <w:spacing w:after="120"/>
        <w:rPr>
          <w:lang w:eastAsia="en-AU"/>
        </w:rPr>
      </w:pPr>
      <w:r>
        <w:rPr>
          <w:lang w:eastAsia="en-AU"/>
        </w:rPr>
        <w:t>The duration of a DVO is set out in section 27 as follows:</w:t>
      </w:r>
    </w:p>
    <w:p w14:paraId="35FCA8F5" w14:textId="67B60157" w:rsidR="0094265C" w:rsidRPr="00590A3C" w:rsidRDefault="0094265C" w:rsidP="00590A3C">
      <w:pPr>
        <w:spacing w:after="120"/>
        <w:ind w:left="568"/>
        <w:rPr>
          <w:lang w:eastAsia="en-AU"/>
        </w:rPr>
      </w:pPr>
      <w:r w:rsidRPr="00590A3C">
        <w:rPr>
          <w:lang w:eastAsia="en-AU"/>
        </w:rPr>
        <w:t>A DVO (other than an interim court DVO) is in force for the period stated in it.</w:t>
      </w:r>
    </w:p>
    <w:p w14:paraId="38EA9E9D" w14:textId="77777777" w:rsidR="0094265C" w:rsidRPr="00590A3C" w:rsidRDefault="0094265C" w:rsidP="00590A3C">
      <w:pPr>
        <w:spacing w:after="120"/>
        <w:ind w:left="568"/>
        <w:rPr>
          <w:lang w:eastAsia="en-AU"/>
        </w:rPr>
      </w:pPr>
      <w:r w:rsidRPr="00590A3C">
        <w:rPr>
          <w:lang w:eastAsia="en-AU"/>
        </w:rPr>
        <w:t>Note</w:t>
      </w:r>
    </w:p>
    <w:p w14:paraId="1BD3BE2F" w14:textId="77777777" w:rsidR="0094265C" w:rsidRPr="00590A3C" w:rsidRDefault="0094265C" w:rsidP="0094265C">
      <w:pPr>
        <w:ind w:left="568"/>
        <w:rPr>
          <w:lang w:eastAsia="en-AU"/>
        </w:rPr>
      </w:pPr>
      <w:r w:rsidRPr="00590A3C">
        <w:rPr>
          <w:lang w:eastAsia="en-AU"/>
        </w:rPr>
        <w:t>For the duration of an interim court DVO, see section 35(3)</w:t>
      </w:r>
    </w:p>
    <w:p w14:paraId="2533E00D" w14:textId="05ABFC4C" w:rsidR="00A1186A" w:rsidRDefault="008848A5" w:rsidP="008848A5">
      <w:pPr>
        <w:rPr>
          <w:lang w:eastAsia="en-AU"/>
        </w:rPr>
      </w:pPr>
      <w:r w:rsidRPr="008848A5">
        <w:rPr>
          <w:lang w:eastAsia="en-AU"/>
        </w:rPr>
        <w:t>How</w:t>
      </w:r>
      <w:r>
        <w:rPr>
          <w:lang w:eastAsia="en-AU"/>
        </w:rPr>
        <w:t xml:space="preserve">ever, the provision does not set out what the </w:t>
      </w:r>
      <w:r w:rsidR="00590A3C">
        <w:rPr>
          <w:lang w:eastAsia="en-AU"/>
        </w:rPr>
        <w:t xml:space="preserve">court </w:t>
      </w:r>
      <w:r>
        <w:rPr>
          <w:lang w:eastAsia="en-AU"/>
        </w:rPr>
        <w:t xml:space="preserve">should consider in determining the duration of a DVO or the test that should apply.  </w:t>
      </w:r>
    </w:p>
    <w:p w14:paraId="5227176E" w14:textId="00AC9C5D" w:rsidR="00845C3D" w:rsidRDefault="00A1186A" w:rsidP="008848A5">
      <w:pPr>
        <w:rPr>
          <w:lang w:eastAsia="en-AU"/>
        </w:rPr>
      </w:pPr>
      <w:r>
        <w:rPr>
          <w:lang w:eastAsia="en-AU"/>
        </w:rPr>
        <w:t xml:space="preserve">This is not the case in other jurisdictions.  </w:t>
      </w:r>
      <w:r w:rsidR="008848A5" w:rsidRPr="000D1739">
        <w:rPr>
          <w:lang w:eastAsia="en-AU"/>
        </w:rPr>
        <w:t xml:space="preserve">Sections 97, 98 and 99 of the </w:t>
      </w:r>
      <w:r w:rsidR="008848A5" w:rsidRPr="000D1739">
        <w:rPr>
          <w:i/>
          <w:iCs/>
          <w:lang w:eastAsia="en-AU"/>
        </w:rPr>
        <w:t>Family Violence Protection Act 2008 (Vic)</w:t>
      </w:r>
      <w:r w:rsidR="008848A5" w:rsidRPr="000D1739">
        <w:rPr>
          <w:lang w:eastAsia="en-AU"/>
        </w:rPr>
        <w:t xml:space="preserve">, </w:t>
      </w:r>
      <w:r w:rsidR="000D1739" w:rsidRPr="000D1739">
        <w:rPr>
          <w:lang w:eastAsia="en-AU"/>
        </w:rPr>
        <w:t xml:space="preserve">provide that a final order remains in force for the period specified in the order unless it is sooner revoked by the </w:t>
      </w:r>
      <w:r w:rsidR="00B05DA0" w:rsidRPr="000D1739">
        <w:rPr>
          <w:lang w:eastAsia="en-AU"/>
        </w:rPr>
        <w:t xml:space="preserve">court </w:t>
      </w:r>
      <w:r w:rsidR="000D1739" w:rsidRPr="000D1739">
        <w:rPr>
          <w:lang w:eastAsia="en-AU"/>
        </w:rPr>
        <w:t>or</w:t>
      </w:r>
      <w:r w:rsidR="00BD755E">
        <w:rPr>
          <w:lang w:eastAsia="en-AU"/>
        </w:rPr>
        <w:t xml:space="preserve"> set side on appeal.  I</w:t>
      </w:r>
      <w:r w:rsidR="000D1739" w:rsidRPr="000D1739">
        <w:rPr>
          <w:lang w:eastAsia="en-AU"/>
        </w:rPr>
        <w:t xml:space="preserve">f no period is specified in the order it continues </w:t>
      </w:r>
      <w:r w:rsidR="000D1739">
        <w:rPr>
          <w:lang w:eastAsia="en-AU"/>
        </w:rPr>
        <w:t xml:space="preserve">indefinitely </w:t>
      </w:r>
      <w:r w:rsidR="000D1739" w:rsidRPr="000D1739">
        <w:rPr>
          <w:lang w:eastAsia="en-AU"/>
        </w:rPr>
        <w:t xml:space="preserve">until it is revoked or set aside on appeal (section 99). </w:t>
      </w:r>
      <w:r w:rsidR="000D1739">
        <w:rPr>
          <w:lang w:eastAsia="en-AU"/>
        </w:rPr>
        <w:t xml:space="preserve"> </w:t>
      </w:r>
    </w:p>
    <w:p w14:paraId="40BAC674" w14:textId="77777777" w:rsidR="00A1186A" w:rsidRDefault="000D1739" w:rsidP="00B05DA0">
      <w:pPr>
        <w:keepNext/>
        <w:spacing w:after="120"/>
        <w:rPr>
          <w:lang w:eastAsia="en-AU"/>
        </w:rPr>
      </w:pPr>
      <w:r>
        <w:rPr>
          <w:lang w:eastAsia="en-AU"/>
        </w:rPr>
        <w:lastRenderedPageBreak/>
        <w:t xml:space="preserve">Section 97(2) </w:t>
      </w:r>
      <w:r w:rsidR="00A1186A">
        <w:rPr>
          <w:lang w:eastAsia="en-AU"/>
        </w:rPr>
        <w:t xml:space="preserve">of the </w:t>
      </w:r>
      <w:r w:rsidR="00A1186A" w:rsidRPr="000D1739">
        <w:rPr>
          <w:i/>
          <w:iCs/>
          <w:lang w:eastAsia="en-AU"/>
        </w:rPr>
        <w:t>Family Violence Protection Act 2008 (Vic)</w:t>
      </w:r>
      <w:r w:rsidR="00A1186A" w:rsidRPr="000D1739">
        <w:rPr>
          <w:lang w:eastAsia="en-AU"/>
        </w:rPr>
        <w:t xml:space="preserve">, </w:t>
      </w:r>
      <w:r w:rsidR="00845C3D">
        <w:rPr>
          <w:lang w:eastAsia="en-AU"/>
        </w:rPr>
        <w:t>provides that the court must take into account</w:t>
      </w:r>
      <w:r w:rsidR="00A1186A">
        <w:rPr>
          <w:lang w:eastAsia="en-AU"/>
        </w:rPr>
        <w:t>:</w:t>
      </w:r>
    </w:p>
    <w:p w14:paraId="585C34C5" w14:textId="6D28E3E3" w:rsidR="00A1186A" w:rsidRDefault="00B05DA0" w:rsidP="0067521E">
      <w:pPr>
        <w:pStyle w:val="ListParagraph"/>
        <w:numPr>
          <w:ilvl w:val="0"/>
          <w:numId w:val="86"/>
        </w:numPr>
        <w:ind w:left="1134" w:hanging="567"/>
        <w:rPr>
          <w:lang w:eastAsia="en-AU"/>
        </w:rPr>
      </w:pPr>
      <w:r>
        <w:rPr>
          <w:lang w:eastAsia="en-AU"/>
        </w:rPr>
        <w:t xml:space="preserve">that </w:t>
      </w:r>
      <w:r w:rsidR="00845C3D">
        <w:rPr>
          <w:lang w:eastAsia="en-AU"/>
        </w:rPr>
        <w:t xml:space="preserve">the safety of the </w:t>
      </w:r>
      <w:r w:rsidR="00A1186A">
        <w:rPr>
          <w:lang w:eastAsia="en-AU"/>
        </w:rPr>
        <w:t>protected person is paramount, and</w:t>
      </w:r>
    </w:p>
    <w:p w14:paraId="6461413B" w14:textId="4EFE7390" w:rsidR="00A1186A" w:rsidRDefault="00B05DA0" w:rsidP="0067521E">
      <w:pPr>
        <w:pStyle w:val="ListParagraph"/>
        <w:numPr>
          <w:ilvl w:val="0"/>
          <w:numId w:val="86"/>
        </w:numPr>
        <w:ind w:left="1134" w:hanging="567"/>
        <w:rPr>
          <w:lang w:eastAsia="en-AU"/>
        </w:rPr>
      </w:pPr>
      <w:r>
        <w:rPr>
          <w:lang w:eastAsia="en-AU"/>
        </w:rPr>
        <w:t xml:space="preserve">any </w:t>
      </w:r>
      <w:r w:rsidR="00845C3D">
        <w:rPr>
          <w:lang w:eastAsia="en-AU"/>
        </w:rPr>
        <w:t>assessment by the applicant</w:t>
      </w:r>
      <w:r w:rsidR="00A1186A">
        <w:rPr>
          <w:lang w:eastAsia="en-AU"/>
        </w:rPr>
        <w:t xml:space="preserve"> of the level and duration of the risk from the respondent; and</w:t>
      </w:r>
    </w:p>
    <w:p w14:paraId="499442B3" w14:textId="4C32F62A" w:rsidR="008848A5" w:rsidRDefault="00B05DA0" w:rsidP="0067521E">
      <w:pPr>
        <w:pStyle w:val="ListParagraph"/>
        <w:numPr>
          <w:ilvl w:val="0"/>
          <w:numId w:val="86"/>
        </w:numPr>
        <w:spacing w:after="200"/>
        <w:ind w:left="1134" w:hanging="567"/>
        <w:rPr>
          <w:lang w:eastAsia="en-AU"/>
        </w:rPr>
      </w:pPr>
      <w:r>
        <w:rPr>
          <w:lang w:eastAsia="en-AU"/>
        </w:rPr>
        <w:t xml:space="preserve">if </w:t>
      </w:r>
      <w:r w:rsidR="00A1186A">
        <w:rPr>
          <w:lang w:eastAsia="en-AU"/>
        </w:rPr>
        <w:t xml:space="preserve">the applicant is not the protected person, the protected person’s views, including the protected person’s assessment of the level and duration of risk from the respondent. </w:t>
      </w:r>
    </w:p>
    <w:p w14:paraId="31EEB64C" w14:textId="619909CB" w:rsidR="003418EA" w:rsidRPr="003418EA" w:rsidRDefault="00A1186A" w:rsidP="003418EA">
      <w:pPr>
        <w:rPr>
          <w:lang w:eastAsia="en-AU"/>
        </w:rPr>
      </w:pPr>
      <w:r>
        <w:rPr>
          <w:lang w:eastAsia="en-AU"/>
        </w:rPr>
        <w:t xml:space="preserve">Section 97(3) provides that the </w:t>
      </w:r>
      <w:r w:rsidR="00B05DA0">
        <w:rPr>
          <w:lang w:eastAsia="en-AU"/>
        </w:rPr>
        <w:t xml:space="preserve">court </w:t>
      </w:r>
      <w:r>
        <w:rPr>
          <w:lang w:eastAsia="en-AU"/>
        </w:rPr>
        <w:t>may also take into account any matters raised by the respondent that are relevant to duration of the order.</w:t>
      </w:r>
    </w:p>
    <w:p w14:paraId="56A2DFE8" w14:textId="45B4B418" w:rsidR="0094265C" w:rsidRDefault="00244B33" w:rsidP="0094265C">
      <w:pPr>
        <w:rPr>
          <w:lang w:eastAsia="en-AU"/>
        </w:rPr>
      </w:pPr>
      <w:r w:rsidRPr="00737687">
        <w:rPr>
          <w:lang w:eastAsia="en-AU"/>
        </w:rPr>
        <w:t xml:space="preserve">The duration of a </w:t>
      </w:r>
      <w:r w:rsidR="00B05DA0" w:rsidRPr="00737687">
        <w:rPr>
          <w:lang w:eastAsia="en-AU"/>
        </w:rPr>
        <w:t xml:space="preserve">police </w:t>
      </w:r>
      <w:r w:rsidRPr="00737687">
        <w:rPr>
          <w:lang w:eastAsia="en-AU"/>
        </w:rPr>
        <w:t>DVO is not specified in the DFV</w:t>
      </w:r>
      <w:r w:rsidR="00B05DA0">
        <w:rPr>
          <w:lang w:eastAsia="en-AU"/>
        </w:rPr>
        <w:t> </w:t>
      </w:r>
      <w:r w:rsidRPr="00737687">
        <w:rPr>
          <w:lang w:eastAsia="en-AU"/>
        </w:rPr>
        <w:t>A</w:t>
      </w:r>
      <w:r w:rsidR="00B05DA0">
        <w:rPr>
          <w:lang w:eastAsia="en-AU"/>
        </w:rPr>
        <w:t>ct</w:t>
      </w:r>
      <w:r w:rsidRPr="00737687">
        <w:rPr>
          <w:lang w:eastAsia="en-AU"/>
        </w:rPr>
        <w:t>, however,</w:t>
      </w:r>
      <w:r w:rsidR="00737687">
        <w:rPr>
          <w:lang w:eastAsia="en-AU"/>
        </w:rPr>
        <w:t xml:space="preserve"> the Supreme Court held that ‘A police domestic violence order continues in force until it is revoked</w:t>
      </w:r>
      <w:r w:rsidR="00B05DA0">
        <w:rPr>
          <w:lang w:eastAsia="en-AU"/>
        </w:rPr>
        <w:t xml:space="preserve"> either in accordance with Part </w:t>
      </w:r>
      <w:r w:rsidR="00737687">
        <w:rPr>
          <w:lang w:eastAsia="en-AU"/>
        </w:rPr>
        <w:t>2.9 of the Act following a review, or under s82 of the Act following a show cause hearing.’</w:t>
      </w:r>
      <w:r w:rsidR="00737687">
        <w:rPr>
          <w:rStyle w:val="FootnoteReference"/>
          <w:lang w:eastAsia="en-AU"/>
        </w:rPr>
        <w:footnoteReference w:id="173"/>
      </w:r>
    </w:p>
    <w:p w14:paraId="480724A4" w14:textId="739C1EB8" w:rsidR="003418EA" w:rsidRDefault="00A1186A" w:rsidP="0094265C">
      <w:pPr>
        <w:rPr>
          <w:lang w:eastAsia="en-AU"/>
        </w:rPr>
      </w:pPr>
      <w:r>
        <w:rPr>
          <w:lang w:eastAsia="en-AU"/>
        </w:rPr>
        <w:t>T</w:t>
      </w:r>
      <w:r w:rsidR="00737687">
        <w:rPr>
          <w:lang w:eastAsia="en-AU"/>
        </w:rPr>
        <w:t>he DFV</w:t>
      </w:r>
      <w:r w:rsidR="00B05DA0">
        <w:rPr>
          <w:lang w:eastAsia="en-AU"/>
        </w:rPr>
        <w:t> </w:t>
      </w:r>
      <w:r w:rsidR="00737687">
        <w:rPr>
          <w:lang w:eastAsia="en-AU"/>
        </w:rPr>
        <w:t>A</w:t>
      </w:r>
      <w:r w:rsidR="00B05DA0">
        <w:rPr>
          <w:lang w:eastAsia="en-AU"/>
        </w:rPr>
        <w:t>ct</w:t>
      </w:r>
      <w:r w:rsidR="00737687">
        <w:rPr>
          <w:lang w:eastAsia="en-AU"/>
        </w:rPr>
        <w:t xml:space="preserve"> does not include a provision to extend a DVO that is about to expire if it is still necessary for the safety and protection of the protected person.  Other jurisdictions do ha</w:t>
      </w:r>
      <w:r>
        <w:rPr>
          <w:lang w:eastAsia="en-AU"/>
        </w:rPr>
        <w:t>ve</w:t>
      </w:r>
      <w:r w:rsidR="00737687">
        <w:rPr>
          <w:lang w:eastAsia="en-AU"/>
        </w:rPr>
        <w:t xml:space="preserve"> provisions</w:t>
      </w:r>
      <w:r>
        <w:rPr>
          <w:lang w:eastAsia="en-AU"/>
        </w:rPr>
        <w:t xml:space="preserve"> to extend a DVO</w:t>
      </w:r>
      <w:r w:rsidR="00737687">
        <w:rPr>
          <w:lang w:eastAsia="en-AU"/>
        </w:rPr>
        <w:t xml:space="preserve">, </w:t>
      </w:r>
      <w:r>
        <w:rPr>
          <w:lang w:eastAsia="en-AU"/>
        </w:rPr>
        <w:t xml:space="preserve">see </w:t>
      </w:r>
      <w:r w:rsidR="00737687">
        <w:rPr>
          <w:lang w:eastAsia="en-AU"/>
        </w:rPr>
        <w:t xml:space="preserve">for example, </w:t>
      </w:r>
      <w:r>
        <w:rPr>
          <w:lang w:eastAsia="en-AU"/>
        </w:rPr>
        <w:t xml:space="preserve">section 106 of </w:t>
      </w:r>
      <w:r w:rsidR="00737687">
        <w:rPr>
          <w:lang w:eastAsia="en-AU"/>
        </w:rPr>
        <w:t>t</w:t>
      </w:r>
      <w:r w:rsidR="00737687" w:rsidRPr="008848A5">
        <w:rPr>
          <w:lang w:eastAsia="en-AU"/>
        </w:rPr>
        <w:t xml:space="preserve">he </w:t>
      </w:r>
      <w:r w:rsidR="00737687" w:rsidRPr="008848A5">
        <w:rPr>
          <w:i/>
          <w:iCs/>
          <w:lang w:eastAsia="en-AU"/>
        </w:rPr>
        <w:t xml:space="preserve">Family Violence Protection Act 2008 </w:t>
      </w:r>
      <w:r w:rsidR="00737687" w:rsidRPr="000D1739">
        <w:rPr>
          <w:lang w:eastAsia="en-AU"/>
        </w:rPr>
        <w:t>(Vic)</w:t>
      </w:r>
      <w:r>
        <w:rPr>
          <w:lang w:eastAsia="en-AU"/>
        </w:rPr>
        <w:t>.</w:t>
      </w:r>
    </w:p>
    <w:p w14:paraId="6975646A" w14:textId="0FCE0307" w:rsidR="00460BDE" w:rsidRPr="004C5E4A" w:rsidRDefault="004C5E4A" w:rsidP="00B05DA0">
      <w:pPr>
        <w:pStyle w:val="Heading4"/>
        <w:keepNext/>
        <w:numPr>
          <w:ilvl w:val="0"/>
          <w:numId w:val="0"/>
        </w:numPr>
        <w:spacing w:after="0"/>
        <w:ind w:left="864" w:hanging="864"/>
        <w:rPr>
          <w:lang w:eastAsia="en-AU"/>
        </w:rPr>
      </w:pPr>
      <w:r w:rsidRPr="004C5E4A">
        <w:rPr>
          <w:lang w:eastAsia="en-AU"/>
        </w:rPr>
        <w:t xml:space="preserve">PROPOSAL </w:t>
      </w:r>
      <w:r w:rsidR="001804B8">
        <w:rPr>
          <w:lang w:eastAsia="en-AU"/>
        </w:rPr>
        <w:t xml:space="preserve">LR </w:t>
      </w:r>
      <w:r w:rsidRPr="004C5E4A">
        <w:rPr>
          <w:lang w:eastAsia="en-AU"/>
        </w:rPr>
        <w:t>20</w:t>
      </w:r>
    </w:p>
    <w:p w14:paraId="0800ADCB" w14:textId="5921801F" w:rsidR="009C6B6B" w:rsidRPr="009C6B6B" w:rsidRDefault="0094265C" w:rsidP="00254808">
      <w:pPr>
        <w:keepNext/>
        <w:spacing w:after="0" w:line="252" w:lineRule="auto"/>
        <w:rPr>
          <w:b/>
          <w:bCs/>
          <w:lang w:eastAsia="en-AU"/>
        </w:rPr>
      </w:pPr>
      <w:r w:rsidRPr="004C5E4A">
        <w:rPr>
          <w:b/>
          <w:bCs/>
          <w:lang w:eastAsia="en-AU"/>
        </w:rPr>
        <w:t xml:space="preserve">It is proposed to amend section 27 </w:t>
      </w:r>
      <w:r w:rsidR="00460BDE" w:rsidRPr="004C5E4A">
        <w:rPr>
          <w:b/>
          <w:bCs/>
          <w:lang w:eastAsia="en-AU"/>
        </w:rPr>
        <w:t xml:space="preserve">to </w:t>
      </w:r>
      <w:r w:rsidRPr="004C5E4A">
        <w:rPr>
          <w:b/>
          <w:bCs/>
          <w:lang w:eastAsia="en-AU"/>
        </w:rPr>
        <w:t xml:space="preserve">provide </w:t>
      </w:r>
      <w:r w:rsidR="004C5E4A">
        <w:rPr>
          <w:b/>
          <w:bCs/>
          <w:lang w:eastAsia="en-AU"/>
        </w:rPr>
        <w:t xml:space="preserve">the </w:t>
      </w:r>
      <w:r w:rsidR="00B05DA0">
        <w:rPr>
          <w:b/>
          <w:bCs/>
          <w:lang w:eastAsia="en-AU"/>
        </w:rPr>
        <w:t xml:space="preserve">court </w:t>
      </w:r>
      <w:r w:rsidR="004C5E4A">
        <w:rPr>
          <w:b/>
          <w:bCs/>
          <w:lang w:eastAsia="en-AU"/>
        </w:rPr>
        <w:t>with greater guidance in determining the duration of a DVO along the lines</w:t>
      </w:r>
      <w:r w:rsidR="00B86BF8">
        <w:rPr>
          <w:b/>
          <w:bCs/>
          <w:lang w:eastAsia="en-AU"/>
        </w:rPr>
        <w:t xml:space="preserve"> of</w:t>
      </w:r>
      <w:r w:rsidR="00B86BF8" w:rsidRPr="00B86BF8">
        <w:rPr>
          <w:b/>
          <w:bCs/>
          <w:lang w:eastAsia="en-AU"/>
        </w:rPr>
        <w:t xml:space="preserve"> </w:t>
      </w:r>
      <w:r w:rsidR="00B86BF8" w:rsidRPr="00B86BF8">
        <w:rPr>
          <w:b/>
          <w:i/>
          <w:iCs/>
          <w:lang w:eastAsia="en-AU"/>
        </w:rPr>
        <w:t xml:space="preserve">Family Violence Protection Act 2008 </w:t>
      </w:r>
      <w:r w:rsidR="00B86BF8" w:rsidRPr="00B86BF8">
        <w:rPr>
          <w:b/>
          <w:lang w:eastAsia="en-AU"/>
        </w:rPr>
        <w:t>(Vic)</w:t>
      </w:r>
      <w:r w:rsidRPr="00B86BF8">
        <w:rPr>
          <w:b/>
          <w:bCs/>
          <w:lang w:eastAsia="en-AU"/>
        </w:rPr>
        <w:t>:</w:t>
      </w:r>
    </w:p>
    <w:p w14:paraId="49CD9AC7" w14:textId="60A3755E" w:rsidR="00245F97" w:rsidRPr="00245F97" w:rsidRDefault="00C006AC" w:rsidP="0067521E">
      <w:pPr>
        <w:pStyle w:val="ListParagraph"/>
        <w:numPr>
          <w:ilvl w:val="0"/>
          <w:numId w:val="76"/>
        </w:numPr>
        <w:spacing w:after="0" w:line="252" w:lineRule="auto"/>
        <w:ind w:left="567" w:hanging="567"/>
        <w:rPr>
          <w:b/>
          <w:lang w:eastAsia="en-AU"/>
        </w:rPr>
      </w:pPr>
      <w:r w:rsidRPr="00C006AC">
        <w:rPr>
          <w:b/>
          <w:lang w:eastAsia="en-AU"/>
        </w:rPr>
        <w:t>A DVO (other than an interim court DVO) is in force for the period stated in it.</w:t>
      </w:r>
    </w:p>
    <w:p w14:paraId="6434C13E" w14:textId="04E60301" w:rsidR="00BD755E" w:rsidRPr="00C006AC" w:rsidRDefault="0094265C" w:rsidP="0067521E">
      <w:pPr>
        <w:pStyle w:val="ListParagraph"/>
        <w:numPr>
          <w:ilvl w:val="0"/>
          <w:numId w:val="76"/>
        </w:numPr>
        <w:spacing w:after="0" w:line="252" w:lineRule="auto"/>
        <w:ind w:left="567" w:hanging="567"/>
        <w:rPr>
          <w:b/>
          <w:lang w:eastAsia="en-AU"/>
        </w:rPr>
      </w:pPr>
      <w:r w:rsidRPr="00C006AC">
        <w:rPr>
          <w:b/>
          <w:bCs/>
        </w:rPr>
        <w:t xml:space="preserve">If the </w:t>
      </w:r>
      <w:r w:rsidR="00B05DA0" w:rsidRPr="00C006AC">
        <w:rPr>
          <w:b/>
          <w:bCs/>
        </w:rPr>
        <w:t xml:space="preserve">court </w:t>
      </w:r>
      <w:r w:rsidRPr="00C006AC">
        <w:rPr>
          <w:b/>
          <w:bCs/>
        </w:rPr>
        <w:t xml:space="preserve">fails to specify a </w:t>
      </w:r>
      <w:r w:rsidR="00BD755E" w:rsidRPr="00C006AC">
        <w:rPr>
          <w:b/>
          <w:bCs/>
        </w:rPr>
        <w:t xml:space="preserve">period for an </w:t>
      </w:r>
      <w:r w:rsidRPr="00C006AC">
        <w:rPr>
          <w:b/>
          <w:bCs/>
        </w:rPr>
        <w:t xml:space="preserve">order </w:t>
      </w:r>
      <w:r w:rsidR="00BD755E" w:rsidRPr="00C006AC">
        <w:rPr>
          <w:b/>
          <w:bCs/>
        </w:rPr>
        <w:t xml:space="preserve">against an adult </w:t>
      </w:r>
      <w:r w:rsidRPr="00C006AC">
        <w:rPr>
          <w:b/>
          <w:bCs/>
        </w:rPr>
        <w:t xml:space="preserve">the </w:t>
      </w:r>
      <w:r w:rsidR="00BD755E" w:rsidRPr="00C006AC">
        <w:rPr>
          <w:b/>
          <w:bCs/>
        </w:rPr>
        <w:t xml:space="preserve">order continues </w:t>
      </w:r>
      <w:r w:rsidR="00B05DA0">
        <w:rPr>
          <w:b/>
          <w:bCs/>
        </w:rPr>
        <w:t>for five </w:t>
      </w:r>
      <w:r w:rsidR="00A67D1A">
        <w:rPr>
          <w:b/>
          <w:bCs/>
        </w:rPr>
        <w:t xml:space="preserve">years or </w:t>
      </w:r>
      <w:r w:rsidR="00BD755E" w:rsidRPr="00C006AC">
        <w:rPr>
          <w:b/>
          <w:bCs/>
        </w:rPr>
        <w:t xml:space="preserve">until </w:t>
      </w:r>
      <w:r w:rsidR="00BD755E" w:rsidRPr="00C006AC">
        <w:rPr>
          <w:b/>
          <w:bCs/>
          <w:lang w:eastAsia="en-AU"/>
        </w:rPr>
        <w:t xml:space="preserve">it is revoked or set aside on appeal. </w:t>
      </w:r>
      <w:r w:rsidR="00F3583A">
        <w:rPr>
          <w:rStyle w:val="FootnoteReference"/>
          <w:b/>
          <w:bCs/>
          <w:lang w:eastAsia="en-AU"/>
        </w:rPr>
        <w:footnoteReference w:id="174"/>
      </w:r>
    </w:p>
    <w:p w14:paraId="4FD610F2" w14:textId="1840D09B" w:rsidR="0094265C" w:rsidRPr="004C5E4A" w:rsidRDefault="00BD755E" w:rsidP="0067521E">
      <w:pPr>
        <w:pStyle w:val="ListParagraph"/>
        <w:numPr>
          <w:ilvl w:val="0"/>
          <w:numId w:val="76"/>
        </w:numPr>
        <w:spacing w:after="160" w:line="252" w:lineRule="auto"/>
        <w:ind w:left="567" w:hanging="567"/>
        <w:contextualSpacing/>
        <w:rPr>
          <w:b/>
          <w:bCs/>
        </w:rPr>
      </w:pPr>
      <w:r w:rsidRPr="004C5E4A">
        <w:rPr>
          <w:b/>
          <w:bCs/>
        </w:rPr>
        <w:t xml:space="preserve">If the </w:t>
      </w:r>
      <w:r w:rsidR="00B05DA0" w:rsidRPr="004C5E4A">
        <w:rPr>
          <w:b/>
          <w:bCs/>
        </w:rPr>
        <w:t xml:space="preserve">court </w:t>
      </w:r>
      <w:r w:rsidRPr="004C5E4A">
        <w:rPr>
          <w:b/>
          <w:bCs/>
        </w:rPr>
        <w:t>fails to specify a period for an order against a child</w:t>
      </w:r>
      <w:r w:rsidR="00B05DA0">
        <w:rPr>
          <w:b/>
          <w:bCs/>
        </w:rPr>
        <w:t>,</w:t>
      </w:r>
      <w:r w:rsidRPr="004C5E4A">
        <w:rPr>
          <w:b/>
          <w:bCs/>
        </w:rPr>
        <w:t xml:space="preserve"> the order continues for 12</w:t>
      </w:r>
      <w:r w:rsidR="00B05DA0">
        <w:rPr>
          <w:b/>
          <w:bCs/>
        </w:rPr>
        <w:t> </w:t>
      </w:r>
      <w:r w:rsidRPr="004C5E4A">
        <w:rPr>
          <w:b/>
          <w:bCs/>
        </w:rPr>
        <w:t>months.</w:t>
      </w:r>
    </w:p>
    <w:p w14:paraId="625502BB" w14:textId="588406FB" w:rsidR="0094265C" w:rsidRPr="004C5E4A" w:rsidRDefault="0094265C" w:rsidP="0067521E">
      <w:pPr>
        <w:pStyle w:val="ListParagraph"/>
        <w:numPr>
          <w:ilvl w:val="0"/>
          <w:numId w:val="76"/>
        </w:numPr>
        <w:spacing w:after="160" w:line="252" w:lineRule="auto"/>
        <w:ind w:left="567" w:hanging="567"/>
        <w:contextualSpacing/>
        <w:rPr>
          <w:b/>
          <w:bCs/>
        </w:rPr>
      </w:pPr>
      <w:r w:rsidRPr="004C5E4A">
        <w:rPr>
          <w:b/>
          <w:bCs/>
        </w:rPr>
        <w:t xml:space="preserve">The duration of the DVO should be the period that the </w:t>
      </w:r>
      <w:r w:rsidR="00B05DA0" w:rsidRPr="004C5E4A">
        <w:rPr>
          <w:b/>
          <w:bCs/>
        </w:rPr>
        <w:t xml:space="preserve">court </w:t>
      </w:r>
      <w:r w:rsidRPr="004C5E4A">
        <w:rPr>
          <w:b/>
          <w:bCs/>
        </w:rPr>
        <w:t>considers necessary and desirable for the safety and protection of the protected person.</w:t>
      </w:r>
    </w:p>
    <w:p w14:paraId="7256B292" w14:textId="6E208724" w:rsidR="0094265C" w:rsidRPr="004C5E4A" w:rsidRDefault="0094265C" w:rsidP="0067521E">
      <w:pPr>
        <w:pStyle w:val="ListParagraph"/>
        <w:numPr>
          <w:ilvl w:val="0"/>
          <w:numId w:val="76"/>
        </w:numPr>
        <w:spacing w:after="160" w:line="252" w:lineRule="auto"/>
        <w:ind w:left="567" w:hanging="567"/>
        <w:contextualSpacing/>
        <w:rPr>
          <w:b/>
          <w:bCs/>
        </w:rPr>
      </w:pPr>
      <w:r w:rsidRPr="004C5E4A">
        <w:rPr>
          <w:b/>
          <w:bCs/>
        </w:rPr>
        <w:t xml:space="preserve">In determining the period for which the DVO is in force, the </w:t>
      </w:r>
      <w:r w:rsidR="00B05DA0" w:rsidRPr="004C5E4A">
        <w:rPr>
          <w:b/>
          <w:bCs/>
        </w:rPr>
        <w:t xml:space="preserve">court </w:t>
      </w:r>
      <w:r w:rsidRPr="004C5E4A">
        <w:rPr>
          <w:b/>
          <w:bCs/>
        </w:rPr>
        <w:t>must take into account:</w:t>
      </w:r>
    </w:p>
    <w:p w14:paraId="030D87CC" w14:textId="52408441" w:rsidR="0094265C" w:rsidRPr="009C6B6B" w:rsidRDefault="00B05DA0" w:rsidP="0067521E">
      <w:pPr>
        <w:pStyle w:val="ListParagraph"/>
        <w:numPr>
          <w:ilvl w:val="1"/>
          <w:numId w:val="76"/>
        </w:numPr>
        <w:spacing w:after="160" w:line="252" w:lineRule="auto"/>
        <w:ind w:left="993" w:hanging="426"/>
        <w:contextualSpacing/>
        <w:rPr>
          <w:b/>
          <w:bCs/>
        </w:rPr>
      </w:pPr>
      <w:r w:rsidRPr="009C6B6B">
        <w:rPr>
          <w:b/>
          <w:bCs/>
        </w:rPr>
        <w:t xml:space="preserve">that </w:t>
      </w:r>
      <w:r w:rsidR="0094265C" w:rsidRPr="009C6B6B">
        <w:rPr>
          <w:b/>
          <w:bCs/>
        </w:rPr>
        <w:t>the safety and protection of the protected person is paramount</w:t>
      </w:r>
      <w:r>
        <w:rPr>
          <w:b/>
          <w:bCs/>
        </w:rPr>
        <w:t>;</w:t>
      </w:r>
    </w:p>
    <w:p w14:paraId="391F6138" w14:textId="1C3F8550" w:rsidR="0094265C" w:rsidRPr="004C5E4A" w:rsidRDefault="00B05DA0" w:rsidP="0067521E">
      <w:pPr>
        <w:pStyle w:val="ListParagraph"/>
        <w:numPr>
          <w:ilvl w:val="1"/>
          <w:numId w:val="76"/>
        </w:numPr>
        <w:spacing w:after="160" w:line="252" w:lineRule="auto"/>
        <w:ind w:left="993" w:hanging="426"/>
        <w:contextualSpacing/>
        <w:rPr>
          <w:b/>
          <w:bCs/>
        </w:rPr>
      </w:pPr>
      <w:r w:rsidRPr="004C5E4A">
        <w:rPr>
          <w:b/>
          <w:bCs/>
        </w:rPr>
        <w:t xml:space="preserve">any </w:t>
      </w:r>
      <w:r w:rsidR="0094265C" w:rsidRPr="004C5E4A">
        <w:rPr>
          <w:b/>
          <w:bCs/>
        </w:rPr>
        <w:t>assessment by the applicant of the level and duration of the risk from the defendant</w:t>
      </w:r>
      <w:r>
        <w:rPr>
          <w:b/>
          <w:bCs/>
        </w:rPr>
        <w:t>;</w:t>
      </w:r>
    </w:p>
    <w:p w14:paraId="385F68D1" w14:textId="7F3D5DFE" w:rsidR="00245F97" w:rsidRPr="00245F97" w:rsidRDefault="00B05DA0" w:rsidP="0067521E">
      <w:pPr>
        <w:pStyle w:val="ListParagraph"/>
        <w:numPr>
          <w:ilvl w:val="1"/>
          <w:numId w:val="76"/>
        </w:numPr>
        <w:spacing w:after="160" w:line="252" w:lineRule="auto"/>
        <w:ind w:left="993" w:hanging="426"/>
        <w:contextualSpacing/>
        <w:rPr>
          <w:b/>
          <w:bCs/>
        </w:rPr>
      </w:pPr>
      <w:r w:rsidRPr="004C5E4A">
        <w:rPr>
          <w:b/>
          <w:bCs/>
        </w:rPr>
        <w:t xml:space="preserve">if </w:t>
      </w:r>
      <w:r w:rsidR="0094265C" w:rsidRPr="004C5E4A">
        <w:rPr>
          <w:b/>
          <w:bCs/>
        </w:rPr>
        <w:t>the applicant is not the protected person, the protected person’s views, including the protected person’s assessment of the level and duration of risk from the defendant.</w:t>
      </w:r>
    </w:p>
    <w:p w14:paraId="67D1DF0B" w14:textId="6D8F01A3" w:rsidR="00913514" w:rsidRPr="004C5E4A" w:rsidRDefault="00913514" w:rsidP="0067521E">
      <w:pPr>
        <w:pStyle w:val="ListParagraph"/>
        <w:numPr>
          <w:ilvl w:val="0"/>
          <w:numId w:val="76"/>
        </w:numPr>
        <w:spacing w:after="160" w:line="252" w:lineRule="auto"/>
        <w:ind w:left="567" w:hanging="567"/>
        <w:contextualSpacing/>
        <w:rPr>
          <w:b/>
          <w:bCs/>
        </w:rPr>
      </w:pPr>
      <w:r w:rsidRPr="004C5E4A">
        <w:rPr>
          <w:b/>
          <w:bCs/>
        </w:rPr>
        <w:t xml:space="preserve">In determining the period for which the DVO is in force the </w:t>
      </w:r>
      <w:r w:rsidR="00B05DA0" w:rsidRPr="004C5E4A">
        <w:rPr>
          <w:b/>
          <w:bCs/>
        </w:rPr>
        <w:t xml:space="preserve">court </w:t>
      </w:r>
      <w:r w:rsidRPr="004C5E4A">
        <w:rPr>
          <w:b/>
          <w:bCs/>
        </w:rPr>
        <w:t xml:space="preserve">may take into account the length of </w:t>
      </w:r>
      <w:r w:rsidR="00245F97">
        <w:rPr>
          <w:b/>
          <w:bCs/>
        </w:rPr>
        <w:t xml:space="preserve">a </w:t>
      </w:r>
      <w:r w:rsidRPr="004C5E4A">
        <w:rPr>
          <w:b/>
          <w:bCs/>
        </w:rPr>
        <w:t>prison term to which the defendant has been, or is likely to be, sentenced</w:t>
      </w:r>
      <w:r w:rsidR="009C6B6B">
        <w:rPr>
          <w:b/>
          <w:bCs/>
        </w:rPr>
        <w:t xml:space="preserve"> to provide a period of protection for the protected person upon the defendant’s release.</w:t>
      </w:r>
    </w:p>
    <w:p w14:paraId="43E1A63E" w14:textId="23588951" w:rsidR="00A67D1A" w:rsidRDefault="0094265C" w:rsidP="0067521E">
      <w:pPr>
        <w:pStyle w:val="ListParagraph"/>
        <w:numPr>
          <w:ilvl w:val="0"/>
          <w:numId w:val="76"/>
        </w:numPr>
        <w:spacing w:after="0" w:line="252" w:lineRule="auto"/>
        <w:ind w:left="567" w:hanging="567"/>
        <w:rPr>
          <w:b/>
          <w:bCs/>
        </w:rPr>
      </w:pPr>
      <w:r w:rsidRPr="004C5E4A">
        <w:rPr>
          <w:b/>
          <w:bCs/>
        </w:rPr>
        <w:t xml:space="preserve">The </w:t>
      </w:r>
      <w:r w:rsidR="00B05DA0" w:rsidRPr="004C5E4A">
        <w:rPr>
          <w:b/>
          <w:bCs/>
        </w:rPr>
        <w:t xml:space="preserve">court </w:t>
      </w:r>
      <w:r w:rsidRPr="004C5E4A">
        <w:rPr>
          <w:b/>
          <w:bCs/>
        </w:rPr>
        <w:t>may also take into account any matters raised by the defendant that are relevant to the duration of the order.</w:t>
      </w:r>
      <w:r w:rsidR="009C2BF9" w:rsidRPr="004C5E4A">
        <w:rPr>
          <w:b/>
          <w:bCs/>
        </w:rPr>
        <w:t xml:space="preserve"> </w:t>
      </w:r>
    </w:p>
    <w:p w14:paraId="74E884B5" w14:textId="13B716E2" w:rsidR="00A67D1A" w:rsidRPr="00A52F2A" w:rsidRDefault="00A52F2A" w:rsidP="00254808">
      <w:pPr>
        <w:spacing w:after="160" w:line="252" w:lineRule="auto"/>
        <w:contextualSpacing/>
        <w:rPr>
          <w:b/>
          <w:bCs/>
        </w:rPr>
      </w:pPr>
      <w:r w:rsidRPr="00A52F2A">
        <w:rPr>
          <w:b/>
          <w:bCs/>
        </w:rPr>
        <w:t xml:space="preserve">It is further proposed that there be a specific provision for making a DVO of indefinite duration where there is significant and ongoing risk that cannot be adequately mitigated by an order of limited duration, along the lines of section 79B of the </w:t>
      </w:r>
      <w:r w:rsidRPr="00A52F2A">
        <w:rPr>
          <w:b/>
          <w:bCs/>
          <w:i/>
        </w:rPr>
        <w:t xml:space="preserve">Crimes (Domestic and Personal Violence) Act 2007 (NSW). </w:t>
      </w:r>
      <w:r w:rsidR="00B05DA0">
        <w:rPr>
          <w:b/>
          <w:bCs/>
          <w:i/>
        </w:rPr>
        <w:t xml:space="preserve"> </w:t>
      </w:r>
      <w:r w:rsidR="00FB0755" w:rsidRPr="00A52F2A">
        <w:rPr>
          <w:b/>
          <w:bCs/>
        </w:rPr>
        <w:t xml:space="preserve">This provision is set out in full in </w:t>
      </w:r>
      <w:r w:rsidR="00F3583A" w:rsidRPr="00A52F2A">
        <w:rPr>
          <w:b/>
          <w:bCs/>
        </w:rPr>
        <w:t>Attachment</w:t>
      </w:r>
      <w:r w:rsidRPr="00A52F2A">
        <w:rPr>
          <w:b/>
          <w:bCs/>
        </w:rPr>
        <w:t xml:space="preserve"> </w:t>
      </w:r>
      <w:r w:rsidR="008A4C9F">
        <w:rPr>
          <w:b/>
          <w:bCs/>
        </w:rPr>
        <w:t>7</w:t>
      </w:r>
      <w:r w:rsidRPr="00B05DA0">
        <w:rPr>
          <w:b/>
          <w:bCs/>
        </w:rPr>
        <w:t>.7.</w:t>
      </w:r>
    </w:p>
    <w:p w14:paraId="57B0CB38" w14:textId="52964470" w:rsidR="00A3490C" w:rsidRPr="00E758BC" w:rsidRDefault="00E758BC" w:rsidP="00254808">
      <w:pPr>
        <w:pStyle w:val="Heading4"/>
        <w:keepNext/>
        <w:numPr>
          <w:ilvl w:val="0"/>
          <w:numId w:val="0"/>
        </w:numPr>
        <w:spacing w:after="0" w:line="259" w:lineRule="auto"/>
        <w:rPr>
          <w:lang w:eastAsia="en-AU"/>
        </w:rPr>
      </w:pPr>
      <w:r w:rsidRPr="00E758BC">
        <w:rPr>
          <w:lang w:eastAsia="en-AU"/>
        </w:rPr>
        <w:lastRenderedPageBreak/>
        <w:t xml:space="preserve">PROPOSAL </w:t>
      </w:r>
      <w:r w:rsidR="001804B8">
        <w:rPr>
          <w:lang w:eastAsia="en-AU"/>
        </w:rPr>
        <w:t xml:space="preserve">LR </w:t>
      </w:r>
      <w:r w:rsidRPr="00E758BC">
        <w:rPr>
          <w:lang w:eastAsia="en-AU"/>
        </w:rPr>
        <w:t>21</w:t>
      </w:r>
      <w:r w:rsidR="00A3490C" w:rsidRPr="00E758BC">
        <w:rPr>
          <w:lang w:eastAsia="en-AU"/>
        </w:rPr>
        <w:t xml:space="preserve"> </w:t>
      </w:r>
    </w:p>
    <w:p w14:paraId="3471195B" w14:textId="722A8693" w:rsidR="0094265C" w:rsidRPr="00E758BC" w:rsidRDefault="00E758BC" w:rsidP="00254808">
      <w:pPr>
        <w:spacing w:after="0" w:line="259" w:lineRule="auto"/>
        <w:rPr>
          <w:b/>
          <w:bCs/>
          <w:lang w:eastAsia="en-AU"/>
        </w:rPr>
      </w:pPr>
      <w:r w:rsidRPr="00E758BC">
        <w:rPr>
          <w:b/>
          <w:bCs/>
          <w:lang w:eastAsia="en-AU"/>
        </w:rPr>
        <w:t>I</w:t>
      </w:r>
      <w:r w:rsidR="004E34FB" w:rsidRPr="00E758BC">
        <w:rPr>
          <w:b/>
          <w:bCs/>
          <w:lang w:eastAsia="en-AU"/>
        </w:rPr>
        <w:t>t is proposed to amend section 27</w:t>
      </w:r>
      <w:r w:rsidRPr="00E758BC">
        <w:rPr>
          <w:b/>
          <w:bCs/>
          <w:lang w:eastAsia="en-AU"/>
        </w:rPr>
        <w:t xml:space="preserve"> along the lines that:</w:t>
      </w:r>
    </w:p>
    <w:p w14:paraId="35F390AB" w14:textId="13BE6991" w:rsidR="004E34FB" w:rsidRPr="00E758BC" w:rsidRDefault="00BD755E" w:rsidP="0067521E">
      <w:pPr>
        <w:pStyle w:val="ListParagraph"/>
        <w:numPr>
          <w:ilvl w:val="0"/>
          <w:numId w:val="85"/>
        </w:numPr>
        <w:spacing w:after="160" w:line="259" w:lineRule="auto"/>
        <w:ind w:left="567" w:hanging="567"/>
        <w:rPr>
          <w:b/>
          <w:bCs/>
        </w:rPr>
      </w:pPr>
      <w:r w:rsidRPr="00E758BC">
        <w:rPr>
          <w:b/>
          <w:bCs/>
        </w:rPr>
        <w:t xml:space="preserve">A </w:t>
      </w:r>
      <w:r w:rsidR="00254808" w:rsidRPr="00E758BC">
        <w:rPr>
          <w:b/>
          <w:bCs/>
        </w:rPr>
        <w:t xml:space="preserve">police </w:t>
      </w:r>
      <w:r w:rsidR="004E34FB" w:rsidRPr="00E758BC">
        <w:rPr>
          <w:b/>
          <w:bCs/>
        </w:rPr>
        <w:t>DVO</w:t>
      </w:r>
      <w:r w:rsidRPr="00E758BC">
        <w:rPr>
          <w:b/>
          <w:bCs/>
        </w:rPr>
        <w:t xml:space="preserve"> is in force until it is either </w:t>
      </w:r>
      <w:r w:rsidR="004E34FB" w:rsidRPr="00E758BC">
        <w:rPr>
          <w:b/>
          <w:bCs/>
        </w:rPr>
        <w:t xml:space="preserve">confirmed under Part 2.10 when it becomes a </w:t>
      </w:r>
      <w:r w:rsidR="00254808" w:rsidRPr="00E758BC">
        <w:rPr>
          <w:b/>
          <w:bCs/>
        </w:rPr>
        <w:t xml:space="preserve">court </w:t>
      </w:r>
      <w:r w:rsidR="004E34FB" w:rsidRPr="00E758BC">
        <w:rPr>
          <w:b/>
          <w:bCs/>
        </w:rPr>
        <w:t>DVO,</w:t>
      </w:r>
      <w:r w:rsidRPr="00E758BC">
        <w:rPr>
          <w:b/>
          <w:bCs/>
        </w:rPr>
        <w:t xml:space="preserve"> or </w:t>
      </w:r>
      <w:r w:rsidR="00E758BC">
        <w:rPr>
          <w:b/>
          <w:bCs/>
        </w:rPr>
        <w:t xml:space="preserve">is </w:t>
      </w:r>
      <w:r w:rsidRPr="00E758BC">
        <w:rPr>
          <w:b/>
          <w:bCs/>
        </w:rPr>
        <w:t xml:space="preserve">revoked or set aside on appeal. </w:t>
      </w:r>
    </w:p>
    <w:p w14:paraId="697D45B7" w14:textId="25DD2496" w:rsidR="009C2BF9" w:rsidRDefault="00B86BF8" w:rsidP="0094265C">
      <w:pPr>
        <w:rPr>
          <w:lang w:eastAsia="en-AU"/>
        </w:rPr>
      </w:pPr>
      <w:r>
        <w:rPr>
          <w:lang w:eastAsia="en-AU"/>
        </w:rPr>
        <w:t>T</w:t>
      </w:r>
      <w:r w:rsidR="004E34FB" w:rsidRPr="00B86BF8">
        <w:rPr>
          <w:lang w:eastAsia="en-AU"/>
        </w:rPr>
        <w:t xml:space="preserve">his </w:t>
      </w:r>
      <w:r>
        <w:rPr>
          <w:lang w:eastAsia="en-AU"/>
        </w:rPr>
        <w:t>amendment presupposes that the proposed amendments</w:t>
      </w:r>
      <w:r w:rsidR="004E34FB" w:rsidRPr="00B86BF8">
        <w:rPr>
          <w:lang w:eastAsia="en-AU"/>
        </w:rPr>
        <w:t xml:space="preserve"> to Part</w:t>
      </w:r>
      <w:r w:rsidR="00254808">
        <w:rPr>
          <w:lang w:eastAsia="en-AU"/>
        </w:rPr>
        <w:t>s</w:t>
      </w:r>
      <w:r w:rsidR="004E34FB" w:rsidRPr="00B86BF8">
        <w:rPr>
          <w:lang w:eastAsia="en-AU"/>
        </w:rPr>
        <w:t xml:space="preserve"> 2.8, 2.9 and 2.10 </w:t>
      </w:r>
      <w:r w:rsidR="003A0E82">
        <w:rPr>
          <w:lang w:eastAsia="en-AU"/>
        </w:rPr>
        <w:t xml:space="preserve">of the DFV Act </w:t>
      </w:r>
      <w:r w:rsidR="004E34FB" w:rsidRPr="00B86BF8">
        <w:rPr>
          <w:lang w:eastAsia="en-AU"/>
        </w:rPr>
        <w:t>outlined below</w:t>
      </w:r>
      <w:r w:rsidR="004666EE">
        <w:rPr>
          <w:lang w:eastAsia="en-AU"/>
        </w:rPr>
        <w:t xml:space="preserve"> </w:t>
      </w:r>
      <w:r w:rsidR="004666EE" w:rsidRPr="00254808">
        <w:rPr>
          <w:lang w:eastAsia="en-AU"/>
        </w:rPr>
        <w:t xml:space="preserve">in </w:t>
      </w:r>
      <w:r w:rsidR="00254808" w:rsidRPr="00254808">
        <w:rPr>
          <w:lang w:eastAsia="en-AU"/>
        </w:rPr>
        <w:t>proposal LR </w:t>
      </w:r>
      <w:r w:rsidR="004666EE" w:rsidRPr="00254808">
        <w:rPr>
          <w:lang w:eastAsia="en-AU"/>
        </w:rPr>
        <w:t>32</w:t>
      </w:r>
      <w:r w:rsidRPr="00254808">
        <w:rPr>
          <w:lang w:eastAsia="en-AU"/>
        </w:rPr>
        <w:t xml:space="preserve"> also</w:t>
      </w:r>
      <w:r w:rsidRPr="00B86BF8">
        <w:rPr>
          <w:lang w:eastAsia="en-AU"/>
        </w:rPr>
        <w:t xml:space="preserve"> occur.</w:t>
      </w:r>
    </w:p>
    <w:p w14:paraId="607E6EBB" w14:textId="18E473DC" w:rsidR="00E758BC" w:rsidRPr="00E758BC" w:rsidRDefault="00E758BC" w:rsidP="001B3161">
      <w:pPr>
        <w:pStyle w:val="Heading4"/>
        <w:keepNext/>
        <w:numPr>
          <w:ilvl w:val="0"/>
          <w:numId w:val="0"/>
        </w:numPr>
        <w:spacing w:after="0" w:line="259" w:lineRule="auto"/>
        <w:ind w:left="862" w:hanging="862"/>
        <w:rPr>
          <w:lang w:eastAsia="en-AU"/>
        </w:rPr>
      </w:pPr>
      <w:r w:rsidRPr="00E758BC">
        <w:rPr>
          <w:lang w:eastAsia="en-AU"/>
        </w:rPr>
        <w:t xml:space="preserve">PROPOSAL </w:t>
      </w:r>
      <w:r w:rsidR="001804B8">
        <w:rPr>
          <w:lang w:eastAsia="en-AU"/>
        </w:rPr>
        <w:t xml:space="preserve">LR </w:t>
      </w:r>
      <w:r w:rsidRPr="00E758BC">
        <w:rPr>
          <w:lang w:eastAsia="en-AU"/>
        </w:rPr>
        <w:t>22</w:t>
      </w:r>
    </w:p>
    <w:p w14:paraId="40CBEF89" w14:textId="78B6A3DC" w:rsidR="00FD4FEF" w:rsidRPr="00B86BF8" w:rsidRDefault="00FD4FEF" w:rsidP="001B3161">
      <w:pPr>
        <w:spacing w:after="0" w:line="259" w:lineRule="auto"/>
        <w:rPr>
          <w:b/>
        </w:rPr>
      </w:pPr>
      <w:r w:rsidRPr="00B86BF8">
        <w:rPr>
          <w:b/>
          <w:lang w:eastAsia="en-AU"/>
        </w:rPr>
        <w:t xml:space="preserve">It is </w:t>
      </w:r>
      <w:r w:rsidRPr="00B86BF8">
        <w:rPr>
          <w:b/>
        </w:rPr>
        <w:t>proposed to amend the Act to provide f</w:t>
      </w:r>
      <w:r w:rsidR="00A3490C" w:rsidRPr="00B86BF8">
        <w:rPr>
          <w:b/>
        </w:rPr>
        <w:t xml:space="preserve">or the extension of a </w:t>
      </w:r>
      <w:r w:rsidR="00254808" w:rsidRPr="00B86BF8">
        <w:rPr>
          <w:b/>
        </w:rPr>
        <w:t xml:space="preserve">court </w:t>
      </w:r>
      <w:r w:rsidR="00A3490C" w:rsidRPr="00B86BF8">
        <w:rPr>
          <w:b/>
        </w:rPr>
        <w:t>DVO</w:t>
      </w:r>
      <w:r w:rsidRPr="00B86BF8">
        <w:rPr>
          <w:b/>
        </w:rPr>
        <w:t xml:space="preserve"> along the lines</w:t>
      </w:r>
      <w:r w:rsidR="003A664F" w:rsidRPr="00B86BF8">
        <w:rPr>
          <w:b/>
        </w:rPr>
        <w:t>:</w:t>
      </w:r>
    </w:p>
    <w:p w14:paraId="6AB12758" w14:textId="06384953" w:rsidR="00F46B93" w:rsidRPr="00B86BF8" w:rsidRDefault="00F46B93" w:rsidP="0067521E">
      <w:pPr>
        <w:pStyle w:val="ListParagraph"/>
        <w:numPr>
          <w:ilvl w:val="0"/>
          <w:numId w:val="76"/>
        </w:numPr>
        <w:spacing w:after="160" w:line="259" w:lineRule="auto"/>
        <w:ind w:left="567" w:hanging="567"/>
        <w:contextualSpacing/>
        <w:rPr>
          <w:b/>
        </w:rPr>
      </w:pPr>
      <w:r w:rsidRPr="00B86BF8">
        <w:rPr>
          <w:b/>
        </w:rPr>
        <w:t xml:space="preserve">The </w:t>
      </w:r>
      <w:r w:rsidR="00254808" w:rsidRPr="00B86BF8">
        <w:rPr>
          <w:b/>
        </w:rPr>
        <w:t xml:space="preserve">court </w:t>
      </w:r>
      <w:r w:rsidRPr="00B86BF8">
        <w:rPr>
          <w:b/>
        </w:rPr>
        <w:t>may order the extension of a final DVO:</w:t>
      </w:r>
    </w:p>
    <w:p w14:paraId="293F4D3C" w14:textId="1DD0EA64" w:rsidR="00F46B93" w:rsidRPr="00B86BF8" w:rsidRDefault="00F46B93" w:rsidP="0067521E">
      <w:pPr>
        <w:pStyle w:val="ListParagraph"/>
        <w:numPr>
          <w:ilvl w:val="1"/>
          <w:numId w:val="76"/>
        </w:numPr>
        <w:spacing w:after="160" w:line="259" w:lineRule="auto"/>
        <w:ind w:left="1134" w:hanging="567"/>
        <w:contextualSpacing/>
        <w:rPr>
          <w:b/>
        </w:rPr>
      </w:pPr>
      <w:r w:rsidRPr="00B86BF8">
        <w:rPr>
          <w:b/>
        </w:rPr>
        <w:t>on application by a party to the DVO</w:t>
      </w:r>
      <w:r w:rsidR="00254808">
        <w:rPr>
          <w:b/>
        </w:rPr>
        <w:t>;</w:t>
      </w:r>
    </w:p>
    <w:p w14:paraId="7C82D0B5" w14:textId="77777777" w:rsidR="00F46B93" w:rsidRPr="00B86BF8" w:rsidRDefault="00F46B93" w:rsidP="0067521E">
      <w:pPr>
        <w:pStyle w:val="ListParagraph"/>
        <w:numPr>
          <w:ilvl w:val="1"/>
          <w:numId w:val="76"/>
        </w:numPr>
        <w:spacing w:after="160" w:line="259" w:lineRule="auto"/>
        <w:ind w:left="1134" w:hanging="567"/>
        <w:contextualSpacing/>
        <w:rPr>
          <w:b/>
        </w:rPr>
      </w:pPr>
      <w:r w:rsidRPr="00B86BF8">
        <w:rPr>
          <w:b/>
        </w:rPr>
        <w:t>on its own initiative.</w:t>
      </w:r>
    </w:p>
    <w:p w14:paraId="418DAEC2" w14:textId="230AA85F" w:rsidR="00FD4FEF" w:rsidRPr="00B86BF8" w:rsidRDefault="00F46B93" w:rsidP="0067521E">
      <w:pPr>
        <w:pStyle w:val="ListParagraph"/>
        <w:numPr>
          <w:ilvl w:val="0"/>
          <w:numId w:val="76"/>
        </w:numPr>
        <w:spacing w:after="160" w:line="259" w:lineRule="auto"/>
        <w:ind w:left="567" w:hanging="567"/>
        <w:contextualSpacing/>
        <w:rPr>
          <w:b/>
        </w:rPr>
      </w:pPr>
      <w:r w:rsidRPr="00B86BF8">
        <w:rPr>
          <w:b/>
        </w:rPr>
        <w:t>The</w:t>
      </w:r>
      <w:r w:rsidR="00FD4FEF" w:rsidRPr="00B86BF8">
        <w:rPr>
          <w:b/>
        </w:rPr>
        <w:t xml:space="preserve"> application to extend a DVO must be made while th</w:t>
      </w:r>
      <w:r w:rsidR="00254808">
        <w:rPr>
          <w:b/>
        </w:rPr>
        <w:t>e DVO is in force or within six </w:t>
      </w:r>
      <w:r w:rsidR="00FD4FEF" w:rsidRPr="00B86BF8">
        <w:rPr>
          <w:b/>
        </w:rPr>
        <w:t>months of it expiring.</w:t>
      </w:r>
    </w:p>
    <w:p w14:paraId="73761DD1" w14:textId="2D7DAE15" w:rsidR="00FD4FEF" w:rsidRPr="00664F45" w:rsidRDefault="00FD4FEF" w:rsidP="0067521E">
      <w:pPr>
        <w:pStyle w:val="ListParagraph"/>
        <w:numPr>
          <w:ilvl w:val="0"/>
          <w:numId w:val="76"/>
        </w:numPr>
        <w:spacing w:after="160" w:line="259" w:lineRule="auto"/>
        <w:ind w:left="567" w:hanging="567"/>
        <w:contextualSpacing/>
        <w:rPr>
          <w:b/>
        </w:rPr>
      </w:pPr>
      <w:r w:rsidRPr="00B86BF8">
        <w:rPr>
          <w:b/>
        </w:rPr>
        <w:t xml:space="preserve">The </w:t>
      </w:r>
      <w:r w:rsidR="00254808" w:rsidRPr="00B86BF8">
        <w:rPr>
          <w:b/>
        </w:rPr>
        <w:t xml:space="preserve">court </w:t>
      </w:r>
      <w:r w:rsidRPr="00B86BF8">
        <w:rPr>
          <w:b/>
        </w:rPr>
        <w:t xml:space="preserve">may, on application, order the extension of a final order if the </w:t>
      </w:r>
      <w:r w:rsidR="00254808" w:rsidRPr="00B86BF8">
        <w:rPr>
          <w:b/>
        </w:rPr>
        <w:t xml:space="preserve">court </w:t>
      </w:r>
      <w:r w:rsidRPr="00B86BF8">
        <w:rPr>
          <w:b/>
        </w:rPr>
        <w:t xml:space="preserve">is satisfied, on the </w:t>
      </w:r>
      <w:r w:rsidRPr="00664F45">
        <w:rPr>
          <w:b/>
        </w:rPr>
        <w:t xml:space="preserve">balance of probabilities, that </w:t>
      </w:r>
      <w:r w:rsidR="00F46B93" w:rsidRPr="00664F45">
        <w:rPr>
          <w:b/>
        </w:rPr>
        <w:t xml:space="preserve">there are reasonable grounds for the protected person to fear the commission of domestic violence against the person by the defendant </w:t>
      </w:r>
      <w:r w:rsidRPr="00664F45">
        <w:rPr>
          <w:b/>
        </w:rPr>
        <w:t>if the orde</w:t>
      </w:r>
      <w:r w:rsidR="00F46B93" w:rsidRPr="00664F45">
        <w:rPr>
          <w:b/>
        </w:rPr>
        <w:t>r is not extended</w:t>
      </w:r>
      <w:r w:rsidRPr="00664F45">
        <w:rPr>
          <w:b/>
        </w:rPr>
        <w:t>.</w:t>
      </w:r>
    </w:p>
    <w:p w14:paraId="1562D6DC" w14:textId="77777777" w:rsidR="00FD4FEF" w:rsidRPr="00664F45" w:rsidRDefault="00FD4FEF" w:rsidP="0067521E">
      <w:pPr>
        <w:pStyle w:val="ListParagraph"/>
        <w:numPr>
          <w:ilvl w:val="0"/>
          <w:numId w:val="76"/>
        </w:numPr>
        <w:spacing w:after="160" w:line="259" w:lineRule="auto"/>
        <w:ind w:left="567" w:hanging="567"/>
        <w:contextualSpacing/>
        <w:rPr>
          <w:b/>
        </w:rPr>
      </w:pPr>
      <w:r w:rsidRPr="00664F45">
        <w:rPr>
          <w:b/>
        </w:rPr>
        <w:t>This applies whether or not the defendant has:</w:t>
      </w:r>
    </w:p>
    <w:p w14:paraId="0BD97A2F" w14:textId="77777777" w:rsidR="00FD4FEF" w:rsidRPr="00664F45" w:rsidRDefault="00FD4FEF" w:rsidP="0067521E">
      <w:pPr>
        <w:pStyle w:val="ListParagraph"/>
        <w:numPr>
          <w:ilvl w:val="1"/>
          <w:numId w:val="76"/>
        </w:numPr>
        <w:spacing w:after="160" w:line="259" w:lineRule="auto"/>
        <w:ind w:left="1134" w:hanging="567"/>
        <w:contextualSpacing/>
        <w:rPr>
          <w:b/>
        </w:rPr>
      </w:pPr>
      <w:r w:rsidRPr="00664F45">
        <w:rPr>
          <w:b/>
        </w:rPr>
        <w:t>committed DFV against the protected person while the DVO is in force, or</w:t>
      </w:r>
    </w:p>
    <w:p w14:paraId="313122C2" w14:textId="77777777" w:rsidR="00FD4FEF" w:rsidRPr="00664F45" w:rsidRDefault="00FD4FEF" w:rsidP="0067521E">
      <w:pPr>
        <w:pStyle w:val="ListParagraph"/>
        <w:numPr>
          <w:ilvl w:val="1"/>
          <w:numId w:val="76"/>
        </w:numPr>
        <w:spacing w:after="160" w:line="259" w:lineRule="auto"/>
        <w:ind w:left="1134" w:hanging="567"/>
        <w:contextualSpacing/>
        <w:rPr>
          <w:b/>
        </w:rPr>
      </w:pPr>
      <w:r w:rsidRPr="00664F45">
        <w:rPr>
          <w:b/>
        </w:rPr>
        <w:t>complied with the order while it has been in force.</w:t>
      </w:r>
    </w:p>
    <w:p w14:paraId="6304A849" w14:textId="69868512" w:rsidR="00F87055" w:rsidRPr="00664F45" w:rsidRDefault="00FD4FEF" w:rsidP="0067521E">
      <w:pPr>
        <w:pStyle w:val="ListParagraph"/>
        <w:numPr>
          <w:ilvl w:val="0"/>
          <w:numId w:val="76"/>
        </w:numPr>
        <w:spacing w:after="160" w:line="259" w:lineRule="auto"/>
        <w:ind w:left="567" w:hanging="567"/>
        <w:contextualSpacing/>
        <w:rPr>
          <w:b/>
        </w:rPr>
      </w:pPr>
      <w:r w:rsidRPr="00664F45">
        <w:rPr>
          <w:b/>
        </w:rPr>
        <w:t>The extension must be served on all the parties.</w:t>
      </w:r>
    </w:p>
    <w:p w14:paraId="7A68B3A5" w14:textId="1BC5D5A4" w:rsidR="00125979" w:rsidRPr="00664F45" w:rsidRDefault="00125979" w:rsidP="0067521E">
      <w:pPr>
        <w:pStyle w:val="ListParagraph"/>
        <w:numPr>
          <w:ilvl w:val="0"/>
          <w:numId w:val="76"/>
        </w:numPr>
        <w:spacing w:after="160" w:line="259" w:lineRule="auto"/>
        <w:ind w:left="567" w:hanging="567"/>
        <w:contextualSpacing/>
        <w:rPr>
          <w:b/>
        </w:rPr>
      </w:pPr>
      <w:r w:rsidRPr="00664F45">
        <w:rPr>
          <w:b/>
        </w:rPr>
        <w:t>Allow an interim extension order for 28 days to allow for circumstances in which the defendant has not yet been served with the notice of the application (along the lines of s</w:t>
      </w:r>
      <w:r w:rsidR="00254808">
        <w:rPr>
          <w:b/>
        </w:rPr>
        <w:t>ection </w:t>
      </w:r>
      <w:r w:rsidRPr="00664F45">
        <w:rPr>
          <w:b/>
        </w:rPr>
        <w:t xml:space="preserve">107 of the </w:t>
      </w:r>
      <w:r w:rsidRPr="00664F45">
        <w:rPr>
          <w:b/>
          <w:i/>
          <w:iCs w:val="0"/>
          <w:lang w:eastAsia="en-AU"/>
        </w:rPr>
        <w:t xml:space="preserve">Family Violence Protection Act 2008 </w:t>
      </w:r>
      <w:r w:rsidRPr="00664F45">
        <w:rPr>
          <w:b/>
          <w:lang w:eastAsia="en-AU"/>
        </w:rPr>
        <w:t>(Vic).</w:t>
      </w:r>
    </w:p>
    <w:p w14:paraId="759C2802" w14:textId="77777777" w:rsidR="006205E7" w:rsidRPr="00664F45" w:rsidRDefault="006205E7" w:rsidP="00254808">
      <w:pPr>
        <w:pStyle w:val="Heading3"/>
        <w:keepNext/>
        <w:rPr>
          <w:lang w:eastAsia="en-AU"/>
        </w:rPr>
      </w:pPr>
      <w:bookmarkStart w:id="54" w:name="_Toc112051841"/>
      <w:r w:rsidRPr="00664F45">
        <w:rPr>
          <w:lang w:eastAsia="en-AU"/>
        </w:rPr>
        <w:t>Venue</w:t>
      </w:r>
      <w:bookmarkEnd w:id="54"/>
    </w:p>
    <w:p w14:paraId="61D7FB8D" w14:textId="57A9E16D" w:rsidR="00BB4FAF" w:rsidRDefault="00611B29" w:rsidP="00A169E6">
      <w:r w:rsidRPr="00611B29">
        <w:t>The DFV</w:t>
      </w:r>
      <w:r w:rsidR="00254808">
        <w:t> </w:t>
      </w:r>
      <w:r w:rsidRPr="00611B29">
        <w:t>A</w:t>
      </w:r>
      <w:r w:rsidR="00254808">
        <w:t>ct</w:t>
      </w:r>
      <w:r w:rsidRPr="00611B29">
        <w:t xml:space="preserve"> is silent about which v</w:t>
      </w:r>
      <w:r>
        <w:t>enue proceedings are to be heard in.</w:t>
      </w:r>
      <w:r w:rsidRPr="00611B29">
        <w:t xml:space="preserve"> </w:t>
      </w:r>
      <w:r w:rsidR="00254808">
        <w:t xml:space="preserve"> </w:t>
      </w:r>
      <w:r w:rsidR="00BB4FAF">
        <w:t>Rule 5.01 of the Local Court (Civil Jur</w:t>
      </w:r>
      <w:r w:rsidR="00386AC4">
        <w:t>isdiction) Rules therefore applies</w:t>
      </w:r>
      <w:r w:rsidR="00BB4FAF">
        <w:t xml:space="preserve"> to determine the proper venue.  Under </w:t>
      </w:r>
      <w:r w:rsidR="00254808">
        <w:t xml:space="preserve">rule </w:t>
      </w:r>
      <w:r w:rsidR="00BB4FAF">
        <w:t xml:space="preserve">5.01(2) a proper venue is the venue closest to the defendant. </w:t>
      </w:r>
      <w:r w:rsidR="00254808">
        <w:t xml:space="preserve"> </w:t>
      </w:r>
      <w:r w:rsidRPr="00611B29">
        <w:t>This can cause significant stress and disruption to protected persons</w:t>
      </w:r>
      <w:r w:rsidR="00297BDC">
        <w:t xml:space="preserve">. </w:t>
      </w:r>
      <w:r w:rsidR="00254808">
        <w:t xml:space="preserve"> </w:t>
      </w:r>
      <w:r w:rsidR="00297BDC" w:rsidRPr="00297BDC">
        <w:t>The protected person applicant may be disadvantaged, or may perceive themselves to be at a disadvantage as the venue</w:t>
      </w:r>
      <w:r w:rsidR="001E1B98">
        <w:t xml:space="preserve"> in the NT</w:t>
      </w:r>
      <w:r w:rsidR="00297BDC" w:rsidRPr="00297BDC">
        <w:t xml:space="preserve"> ma</w:t>
      </w:r>
      <w:r w:rsidR="00254808">
        <w:t xml:space="preserve">y hundreds of kilometres away.  </w:t>
      </w:r>
      <w:r w:rsidR="00297BDC" w:rsidRPr="00297BDC">
        <w:t xml:space="preserve">Many legal services provide local service delivery only. </w:t>
      </w:r>
      <w:r w:rsidR="00254808">
        <w:t xml:space="preserve"> </w:t>
      </w:r>
      <w:r w:rsidR="00297BDC" w:rsidRPr="00297BDC">
        <w:t xml:space="preserve">The protected person’s legal service may not be able to maintain their continuity of legal representation if the matter proceeds to a hearing. </w:t>
      </w:r>
      <w:r w:rsidRPr="00297BDC">
        <w:t xml:space="preserve"> </w:t>
      </w:r>
      <w:r w:rsidR="00565919" w:rsidRPr="00297BDC">
        <w:t>S</w:t>
      </w:r>
      <w:r w:rsidR="00565919">
        <w:t>takeholders have argued that t</w:t>
      </w:r>
      <w:r w:rsidR="004167EC">
        <w:t>he application of this rule to DFV matters</w:t>
      </w:r>
      <w:r w:rsidR="00565919">
        <w:t xml:space="preserve"> </w:t>
      </w:r>
      <w:r w:rsidR="001E1B98">
        <w:t xml:space="preserve">is </w:t>
      </w:r>
      <w:r w:rsidRPr="00611B29">
        <w:t xml:space="preserve">inconsistent with the </w:t>
      </w:r>
      <w:r w:rsidR="00BB4FAF">
        <w:t xml:space="preserve">objects of the </w:t>
      </w:r>
      <w:r w:rsidR="00254808">
        <w:t>DFV </w:t>
      </w:r>
      <w:r w:rsidR="00BB4FAF">
        <w:t>Act to ensure the safety and protection of all persons, including children, who experience or are exposed to domestic violence (</w:t>
      </w:r>
      <w:r w:rsidR="00254808">
        <w:t xml:space="preserve">section </w:t>
      </w:r>
      <w:r w:rsidR="00BB4FAF">
        <w:t>3(1)(a))</w:t>
      </w:r>
      <w:r w:rsidR="00297BDC">
        <w:t xml:space="preserve"> and the paramountcy of the safety and protection of the protected person in section 19(1)</w:t>
      </w:r>
      <w:r w:rsidRPr="00611B29">
        <w:t xml:space="preserve">. </w:t>
      </w:r>
    </w:p>
    <w:p w14:paraId="5CB937CF" w14:textId="753D571C" w:rsidR="00A169E6" w:rsidRDefault="00A169E6" w:rsidP="00254808">
      <w:pPr>
        <w:pStyle w:val="Heading4"/>
        <w:numPr>
          <w:ilvl w:val="0"/>
          <w:numId w:val="0"/>
        </w:numPr>
        <w:spacing w:after="0" w:line="259" w:lineRule="auto"/>
        <w:ind w:left="864" w:hanging="864"/>
      </w:pPr>
      <w:r>
        <w:t xml:space="preserve">PROPOSAL </w:t>
      </w:r>
      <w:r w:rsidR="001804B8">
        <w:t xml:space="preserve">LR </w:t>
      </w:r>
      <w:r>
        <w:t>23</w:t>
      </w:r>
    </w:p>
    <w:p w14:paraId="35DA35AE" w14:textId="47774997" w:rsidR="00297BDC" w:rsidRPr="00BC37DE" w:rsidRDefault="00297BDC" w:rsidP="00254808">
      <w:pPr>
        <w:spacing w:after="0" w:line="259" w:lineRule="auto"/>
        <w:rPr>
          <w:rFonts w:ascii="Calibri" w:hAnsi="Calibri"/>
          <w:b/>
        </w:rPr>
      </w:pPr>
      <w:r w:rsidRPr="00BC37DE">
        <w:rPr>
          <w:b/>
        </w:rPr>
        <w:t>It is proposed for the DFV</w:t>
      </w:r>
      <w:r w:rsidR="00254808">
        <w:rPr>
          <w:b/>
        </w:rPr>
        <w:t> </w:t>
      </w:r>
      <w:r w:rsidRPr="00BC37DE">
        <w:rPr>
          <w:b/>
        </w:rPr>
        <w:t>A</w:t>
      </w:r>
      <w:r w:rsidR="00254808">
        <w:rPr>
          <w:b/>
        </w:rPr>
        <w:t>ct</w:t>
      </w:r>
      <w:r w:rsidRPr="00BC37DE">
        <w:rPr>
          <w:b/>
        </w:rPr>
        <w:t xml:space="preserve"> to be amended along the lines that:</w:t>
      </w:r>
    </w:p>
    <w:p w14:paraId="0F4A1C72" w14:textId="76CFEEA7" w:rsidR="00297BDC" w:rsidRPr="00BC37DE" w:rsidRDefault="00297BDC" w:rsidP="0067521E">
      <w:pPr>
        <w:pStyle w:val="ListParagraph"/>
        <w:numPr>
          <w:ilvl w:val="0"/>
          <w:numId w:val="95"/>
        </w:numPr>
        <w:spacing w:after="0" w:line="259" w:lineRule="auto"/>
        <w:ind w:left="567" w:hanging="567"/>
        <w:rPr>
          <w:b/>
        </w:rPr>
      </w:pPr>
      <w:r w:rsidRPr="00BC37DE">
        <w:rPr>
          <w:b/>
        </w:rPr>
        <w:t>an application for a DVO is to be filed in the venue closest to the protected person or the defendant</w:t>
      </w:r>
      <w:r w:rsidR="00254808">
        <w:rPr>
          <w:b/>
        </w:rPr>
        <w:t>;</w:t>
      </w:r>
    </w:p>
    <w:p w14:paraId="399EEC7E" w14:textId="2A3ACA93" w:rsidR="00125979" w:rsidRDefault="00297BDC" w:rsidP="0067521E">
      <w:pPr>
        <w:pStyle w:val="ListParagraph"/>
        <w:numPr>
          <w:ilvl w:val="0"/>
          <w:numId w:val="95"/>
        </w:numPr>
        <w:spacing w:after="0" w:line="259" w:lineRule="auto"/>
        <w:ind w:left="567" w:hanging="567"/>
        <w:rPr>
          <w:b/>
        </w:rPr>
      </w:pPr>
      <w:r w:rsidRPr="00BC37DE">
        <w:rPr>
          <w:b/>
        </w:rPr>
        <w:t>the court may hear and determine the proceedings at the venue in which the proceedings were commenced or at another venue the court considers appropriate.</w:t>
      </w:r>
    </w:p>
    <w:p w14:paraId="26A48AF1" w14:textId="77777777" w:rsidR="00254808" w:rsidRDefault="00254808">
      <w:pPr>
        <w:rPr>
          <w:rFonts w:asciiTheme="majorHAnsi" w:hAnsiTheme="majorHAnsi" w:cs="Arial"/>
          <w:bCs/>
          <w:color w:val="1F1F5F" w:themeColor="text1"/>
          <w:sz w:val="28"/>
          <w:szCs w:val="28"/>
          <w:lang w:eastAsia="en-AU"/>
        </w:rPr>
      </w:pPr>
      <w:r>
        <w:rPr>
          <w:lang w:eastAsia="en-AU"/>
        </w:rPr>
        <w:br w:type="page"/>
      </w:r>
    </w:p>
    <w:p w14:paraId="2043AA35" w14:textId="0BADD3D7" w:rsidR="00A361B3" w:rsidRDefault="00A361B3" w:rsidP="001B3161">
      <w:pPr>
        <w:pStyle w:val="Heading3"/>
        <w:keepNext/>
        <w:rPr>
          <w:lang w:eastAsia="en-AU"/>
        </w:rPr>
      </w:pPr>
      <w:bookmarkStart w:id="55" w:name="_Toc112051842"/>
      <w:r>
        <w:rPr>
          <w:lang w:eastAsia="en-AU"/>
        </w:rPr>
        <w:lastRenderedPageBreak/>
        <w:t>DVO applications</w:t>
      </w:r>
      <w:bookmarkEnd w:id="55"/>
    </w:p>
    <w:p w14:paraId="5EE56EAC" w14:textId="35F881FE" w:rsidR="00A361B3" w:rsidRDefault="00A361B3" w:rsidP="001B3161">
      <w:pPr>
        <w:rPr>
          <w:lang w:eastAsia="en-AU"/>
        </w:rPr>
      </w:pPr>
      <w:r>
        <w:rPr>
          <w:lang w:eastAsia="en-AU"/>
        </w:rPr>
        <w:t>Section 30 of the DFV</w:t>
      </w:r>
      <w:r w:rsidR="001B3161">
        <w:rPr>
          <w:lang w:eastAsia="en-AU"/>
        </w:rPr>
        <w:t> </w:t>
      </w:r>
      <w:r>
        <w:rPr>
          <w:lang w:eastAsia="en-AU"/>
        </w:rPr>
        <w:t>A</w:t>
      </w:r>
      <w:r w:rsidR="001B3161">
        <w:rPr>
          <w:lang w:eastAsia="en-AU"/>
        </w:rPr>
        <w:t>ct</w:t>
      </w:r>
      <w:r>
        <w:rPr>
          <w:lang w:eastAsia="en-AU"/>
        </w:rPr>
        <w:t xml:space="preserve"> provides that an application for a DVO must be made on an approved form and be filed in the </w:t>
      </w:r>
      <w:r w:rsidR="001B3161">
        <w:rPr>
          <w:lang w:eastAsia="en-AU"/>
        </w:rPr>
        <w:t>court</w:t>
      </w:r>
      <w:r>
        <w:rPr>
          <w:lang w:eastAsia="en-AU"/>
        </w:rPr>
        <w:t>.</w:t>
      </w:r>
    </w:p>
    <w:p w14:paraId="22D397E6" w14:textId="41615CE4" w:rsidR="00A361B3" w:rsidRDefault="00A361B3" w:rsidP="001B3161">
      <w:pPr>
        <w:rPr>
          <w:lang w:eastAsia="en-AU"/>
        </w:rPr>
      </w:pPr>
      <w:r>
        <w:rPr>
          <w:lang w:eastAsia="en-AU"/>
        </w:rPr>
        <w:t xml:space="preserve">Stakeholders have raised concerns that the approved form includes the applicant/protected person’s address. </w:t>
      </w:r>
      <w:r w:rsidR="001B3161">
        <w:rPr>
          <w:lang w:eastAsia="en-AU"/>
        </w:rPr>
        <w:t xml:space="preserve"> </w:t>
      </w:r>
      <w:r>
        <w:rPr>
          <w:rFonts w:cs="Arial"/>
        </w:rPr>
        <w:t>The disclosure of the applicant/protected person’s</w:t>
      </w:r>
      <w:r w:rsidRPr="00E06337">
        <w:rPr>
          <w:rFonts w:cs="Arial"/>
        </w:rPr>
        <w:t xml:space="preserve"> previously unknown address </w:t>
      </w:r>
      <w:r>
        <w:rPr>
          <w:rFonts w:cs="Arial"/>
        </w:rPr>
        <w:t xml:space="preserve">to the defendant can create a significant safety risk for the protected person and must be avoided.  </w:t>
      </w:r>
      <w:r>
        <w:rPr>
          <w:lang w:eastAsia="en-AU"/>
        </w:rPr>
        <w:t>Often applicants are not aware that this form, along with their address, will be served on the defendant.</w:t>
      </w:r>
    </w:p>
    <w:p w14:paraId="2A771D1C" w14:textId="5EC1B077" w:rsidR="00A361B3" w:rsidRDefault="00A361B3" w:rsidP="001B3161">
      <w:pPr>
        <w:rPr>
          <w:rFonts w:cs="Arial"/>
          <w:lang w:val="en-US"/>
        </w:rPr>
      </w:pPr>
      <w:r>
        <w:rPr>
          <w:rFonts w:cs="Arial"/>
          <w:lang w:val="en-US"/>
        </w:rPr>
        <w:t>Section 25 of the DFV</w:t>
      </w:r>
      <w:r w:rsidR="001B3161">
        <w:rPr>
          <w:rFonts w:cs="Arial"/>
          <w:lang w:val="en-US"/>
        </w:rPr>
        <w:t> </w:t>
      </w:r>
      <w:r>
        <w:rPr>
          <w:rFonts w:cs="Arial"/>
          <w:lang w:val="en-US"/>
        </w:rPr>
        <w:t>A</w:t>
      </w:r>
      <w:r w:rsidR="001B3161">
        <w:rPr>
          <w:rFonts w:cs="Arial"/>
          <w:lang w:val="en-US"/>
        </w:rPr>
        <w:t>ct</w:t>
      </w:r>
      <w:r>
        <w:rPr>
          <w:rFonts w:cs="Arial"/>
          <w:lang w:val="en-US"/>
        </w:rPr>
        <w:t xml:space="preserve"> provides that a protected person’s address, or intended residential address, must not be stated in a DVO unless the issuing authority is satisfied that defendant knows the address or it is necessary to achieve compliance with the order and will not seriously threaten the safety of the protected person.</w:t>
      </w:r>
    </w:p>
    <w:p w14:paraId="36A48ABF" w14:textId="77777777" w:rsidR="00A361B3" w:rsidRDefault="00A361B3" w:rsidP="001B3161">
      <w:pPr>
        <w:rPr>
          <w:rFonts w:cs="Arial"/>
          <w:color w:val="000000"/>
        </w:rPr>
      </w:pPr>
      <w:r>
        <w:rPr>
          <w:rFonts w:cs="Arial"/>
          <w:lang w:val="en-US"/>
        </w:rPr>
        <w:t>Other jurisdictions have provisions that prevent a protected person’s address being included on the application. S</w:t>
      </w:r>
      <w:r w:rsidRPr="00991DB0">
        <w:rPr>
          <w:rFonts w:cs="Arial"/>
          <w:lang w:val="en-US"/>
        </w:rPr>
        <w:t xml:space="preserve">ection 43 of the </w:t>
      </w:r>
      <w:r w:rsidRPr="00991DB0">
        <w:rPr>
          <w:rFonts w:cs="Arial"/>
          <w:i/>
          <w:lang w:val="en-US"/>
        </w:rPr>
        <w:t>Crimes (Domestic and Personal Violence) Act 2007</w:t>
      </w:r>
      <w:r>
        <w:rPr>
          <w:rFonts w:cs="Arial"/>
          <w:lang w:val="en-US"/>
        </w:rPr>
        <w:t xml:space="preserve"> (NSW)</w:t>
      </w:r>
      <w:r w:rsidRPr="00991DB0">
        <w:rPr>
          <w:rFonts w:cs="Arial"/>
          <w:lang w:val="en-US"/>
        </w:rPr>
        <w:t xml:space="preserve"> </w:t>
      </w:r>
      <w:r>
        <w:rPr>
          <w:rFonts w:cs="Arial"/>
          <w:lang w:val="en-US"/>
        </w:rPr>
        <w:t xml:space="preserve">provides that </w:t>
      </w:r>
      <w:r w:rsidRPr="00991DB0">
        <w:rPr>
          <w:rFonts w:cs="Arial"/>
          <w:lang w:val="en-US"/>
        </w:rPr>
        <w:t>‘</w:t>
      </w:r>
      <w:r w:rsidRPr="00991DB0">
        <w:rPr>
          <w:rFonts w:cs="Arial"/>
          <w:color w:val="000000"/>
        </w:rPr>
        <w:t>the address at which a protected person resides or intends to reside must not be stated in an application for a [DVO] or an order’, unless the protected person consents, the defendant already knows the address or where it is necessary to state the address in order to achi</w:t>
      </w:r>
      <w:r>
        <w:rPr>
          <w:rFonts w:cs="Arial"/>
          <w:color w:val="000000"/>
        </w:rPr>
        <w:t xml:space="preserve">eve compliance with the order. </w:t>
      </w:r>
    </w:p>
    <w:p w14:paraId="616B977A" w14:textId="77777777" w:rsidR="00A361B3" w:rsidRDefault="00A361B3" w:rsidP="001B3161">
      <w:pPr>
        <w:rPr>
          <w:rFonts w:cs="Arial"/>
          <w:color w:val="000000"/>
        </w:rPr>
      </w:pPr>
      <w:r>
        <w:rPr>
          <w:rFonts w:cs="Arial"/>
          <w:color w:val="000000"/>
        </w:rPr>
        <w:t>Section 31 of the DFVA provides that as soon as practicable after the application is filed, a registrar must give written notice to the parties to the DVO of the time and place for the hearing of the application.</w:t>
      </w:r>
    </w:p>
    <w:p w14:paraId="4D21A729" w14:textId="1FAACDD0" w:rsidR="008B3CCC" w:rsidRPr="008B3CCC" w:rsidRDefault="00A361B3" w:rsidP="001B3161">
      <w:pPr>
        <w:rPr>
          <w:rFonts w:cs="Arial"/>
          <w:color w:val="000000"/>
        </w:rPr>
      </w:pPr>
      <w:r>
        <w:rPr>
          <w:rFonts w:cs="Arial"/>
          <w:color w:val="000000"/>
        </w:rPr>
        <w:t>It is c</w:t>
      </w:r>
      <w:r w:rsidR="0055304E">
        <w:rPr>
          <w:rFonts w:cs="Arial"/>
          <w:color w:val="000000"/>
        </w:rPr>
        <w:t xml:space="preserve">ommon practice in the NT for an </w:t>
      </w:r>
      <w:r>
        <w:rPr>
          <w:rFonts w:cs="Arial"/>
          <w:color w:val="000000"/>
        </w:rPr>
        <w:t xml:space="preserve">application to be served on the defendant with the supporting </w:t>
      </w:r>
      <w:r w:rsidR="00701723">
        <w:rPr>
          <w:rFonts w:cs="Arial"/>
          <w:color w:val="000000"/>
        </w:rPr>
        <w:t xml:space="preserve">affidavit. </w:t>
      </w:r>
      <w:r w:rsidR="001B3161">
        <w:rPr>
          <w:rFonts w:cs="Arial"/>
          <w:color w:val="000000"/>
        </w:rPr>
        <w:t xml:space="preserve"> </w:t>
      </w:r>
      <w:r w:rsidR="00701723">
        <w:rPr>
          <w:rFonts w:cs="Arial"/>
          <w:color w:val="000000"/>
        </w:rPr>
        <w:t>Although</w:t>
      </w:r>
      <w:r>
        <w:rPr>
          <w:rFonts w:cs="Arial"/>
          <w:color w:val="000000"/>
        </w:rPr>
        <w:t xml:space="preserve"> section 31 of the DFV</w:t>
      </w:r>
      <w:r w:rsidR="001B3161">
        <w:rPr>
          <w:rFonts w:cs="Arial"/>
          <w:color w:val="000000"/>
        </w:rPr>
        <w:t> </w:t>
      </w:r>
      <w:r>
        <w:rPr>
          <w:rFonts w:cs="Arial"/>
          <w:color w:val="000000"/>
        </w:rPr>
        <w:t>A</w:t>
      </w:r>
      <w:r w:rsidR="001B3161">
        <w:rPr>
          <w:rFonts w:cs="Arial"/>
          <w:color w:val="000000"/>
        </w:rPr>
        <w:t>ct</w:t>
      </w:r>
      <w:r>
        <w:rPr>
          <w:rFonts w:cs="Arial"/>
          <w:color w:val="000000"/>
        </w:rPr>
        <w:t xml:space="preserve"> does not require </w:t>
      </w:r>
      <w:r w:rsidR="008B3CCC">
        <w:rPr>
          <w:rFonts w:cs="Arial"/>
          <w:color w:val="000000"/>
        </w:rPr>
        <w:t>service of the affidavit, Practice D</w:t>
      </w:r>
      <w:r w:rsidR="008B3CCC" w:rsidRPr="008B3CCC">
        <w:rPr>
          <w:rFonts w:cs="Arial"/>
          <w:color w:val="000000"/>
        </w:rPr>
        <w:t xml:space="preserve">irection 30 of the NT Local Court requires the filing of an affidavit in </w:t>
      </w:r>
      <w:r w:rsidR="008B3CCC" w:rsidRPr="00780D9B">
        <w:rPr>
          <w:rFonts w:cs="Arial"/>
          <w:color w:val="000000"/>
        </w:rPr>
        <w:t xml:space="preserve">support of a DVO </w:t>
      </w:r>
      <w:r w:rsidR="00780D9B">
        <w:rPr>
          <w:rFonts w:cs="Arial"/>
          <w:color w:val="000000"/>
        </w:rPr>
        <w:t xml:space="preserve">application </w:t>
      </w:r>
      <w:r w:rsidR="008B3CCC" w:rsidRPr="00780D9B">
        <w:rPr>
          <w:rFonts w:cs="Arial"/>
          <w:color w:val="000000"/>
        </w:rPr>
        <w:t xml:space="preserve">and </w:t>
      </w:r>
      <w:r w:rsidR="001B3161" w:rsidRPr="00780D9B">
        <w:rPr>
          <w:rFonts w:cs="Arial"/>
          <w:color w:val="000000"/>
        </w:rPr>
        <w:t xml:space="preserve">rule </w:t>
      </w:r>
      <w:r w:rsidR="00780D9B" w:rsidRPr="00780D9B">
        <w:rPr>
          <w:rFonts w:cs="Arial"/>
          <w:color w:val="000000"/>
        </w:rPr>
        <w:t xml:space="preserve">6.01 of </w:t>
      </w:r>
      <w:r w:rsidR="008B3CCC" w:rsidRPr="00780D9B">
        <w:rPr>
          <w:rFonts w:cs="Arial"/>
          <w:color w:val="000000"/>
        </w:rPr>
        <w:t xml:space="preserve">the </w:t>
      </w:r>
      <w:r w:rsidR="00780D9B" w:rsidRPr="00780D9B">
        <w:rPr>
          <w:rFonts w:asciiTheme="minorHAnsi" w:hAnsiTheme="minorHAnsi" w:cstheme="minorHAnsi"/>
          <w:i/>
          <w:color w:val="000000"/>
        </w:rPr>
        <w:t>Local Court (Civil Jurisdiction) Rules 1998</w:t>
      </w:r>
      <w:r w:rsidR="001B3161">
        <w:rPr>
          <w:rFonts w:asciiTheme="minorHAnsi" w:hAnsiTheme="minorHAnsi" w:cstheme="minorHAnsi"/>
          <w:i/>
          <w:color w:val="000000"/>
        </w:rPr>
        <w:t xml:space="preserve">. </w:t>
      </w:r>
      <w:r w:rsidR="00780D9B" w:rsidRPr="00780D9B">
        <w:rPr>
          <w:rFonts w:asciiTheme="minorHAnsi" w:hAnsiTheme="minorHAnsi" w:cstheme="minorHAnsi"/>
          <w:i/>
          <w:color w:val="000000"/>
        </w:rPr>
        <w:t xml:space="preserve"> </w:t>
      </w:r>
      <w:r w:rsidR="008B3CCC" w:rsidRPr="00780D9B">
        <w:rPr>
          <w:rFonts w:cs="Arial"/>
          <w:color w:val="000000"/>
        </w:rPr>
        <w:t xml:space="preserve">Local Court Rules require all documents filed in relation to a </w:t>
      </w:r>
      <w:r w:rsidR="00780D9B">
        <w:rPr>
          <w:rFonts w:cs="Arial"/>
          <w:color w:val="000000"/>
        </w:rPr>
        <w:t>proceeding must be served on the other party</w:t>
      </w:r>
      <w:r w:rsidR="008B3CCC" w:rsidRPr="00780D9B">
        <w:rPr>
          <w:rFonts w:cs="Arial"/>
          <w:color w:val="000000"/>
        </w:rPr>
        <w:t>.</w:t>
      </w:r>
    </w:p>
    <w:p w14:paraId="779F1835" w14:textId="795B80D8" w:rsidR="00A361B3" w:rsidRDefault="00A361B3" w:rsidP="001B3161">
      <w:pPr>
        <w:rPr>
          <w:rFonts w:cs="Arial"/>
          <w:color w:val="000000"/>
        </w:rPr>
      </w:pPr>
      <w:r>
        <w:rPr>
          <w:rFonts w:cs="Arial"/>
          <w:color w:val="000000"/>
        </w:rPr>
        <w:t>Some stakeholders argue that service of the supporting affidavit is necessary to provide procedural fairness for the accused.</w:t>
      </w:r>
    </w:p>
    <w:p w14:paraId="2D7090E2" w14:textId="3D19D3DA" w:rsidR="00A361B3" w:rsidRDefault="00A361B3" w:rsidP="001B3161">
      <w:pPr>
        <w:rPr>
          <w:rFonts w:cs="Arial"/>
          <w:color w:val="000000"/>
        </w:rPr>
      </w:pPr>
      <w:r>
        <w:rPr>
          <w:rFonts w:cs="Arial"/>
          <w:color w:val="000000"/>
        </w:rPr>
        <w:t>However</w:t>
      </w:r>
      <w:r w:rsidR="00A0392D">
        <w:rPr>
          <w:rFonts w:cs="Arial"/>
          <w:color w:val="000000"/>
        </w:rPr>
        <w:t>,</w:t>
      </w:r>
      <w:r>
        <w:rPr>
          <w:rFonts w:cs="Arial"/>
          <w:color w:val="000000"/>
        </w:rPr>
        <w:t xml:space="preserve"> in the </w:t>
      </w:r>
      <w:r w:rsidR="00CC73D2">
        <w:rPr>
          <w:rFonts w:cs="Arial"/>
          <w:color w:val="000000"/>
        </w:rPr>
        <w:t>2016 Consultation Report</w:t>
      </w:r>
      <w:r>
        <w:rPr>
          <w:rFonts w:cs="Arial"/>
          <w:color w:val="000000"/>
        </w:rPr>
        <w:t xml:space="preserve"> a number of stakeholders expressed the strong view that for safety reasons, amendments are needed to clarify that the defendant should only be served with a copy of the DVO application, with a copy of the supporting affidavit to be provided once the defendant attends </w:t>
      </w:r>
      <w:r w:rsidR="001B3161">
        <w:rPr>
          <w:rFonts w:cs="Arial"/>
          <w:color w:val="000000"/>
        </w:rPr>
        <w:t xml:space="preserve">court </w:t>
      </w:r>
      <w:r>
        <w:rPr>
          <w:rFonts w:cs="Arial"/>
          <w:color w:val="000000"/>
        </w:rPr>
        <w:t>or at the request of their legal representative.</w:t>
      </w:r>
    </w:p>
    <w:p w14:paraId="5272E9AB" w14:textId="77777777" w:rsidR="00A361B3" w:rsidRPr="00991DB0" w:rsidRDefault="00A361B3" w:rsidP="001B3161">
      <w:pPr>
        <w:spacing w:after="120"/>
        <w:rPr>
          <w:rFonts w:cs="Arial"/>
          <w:lang w:val="en-US"/>
        </w:rPr>
      </w:pPr>
      <w:r>
        <w:rPr>
          <w:rFonts w:cs="Arial"/>
          <w:lang w:val="en-US"/>
        </w:rPr>
        <w:t>The stakeholders</w:t>
      </w:r>
      <w:r w:rsidRPr="00991DB0">
        <w:rPr>
          <w:rFonts w:cs="Arial"/>
          <w:lang w:val="en-US"/>
        </w:rPr>
        <w:t xml:space="preserve"> expressed the following concerns about the defendant being served with a copy of the supporting affidavit before the matter reaches court:</w:t>
      </w:r>
    </w:p>
    <w:p w14:paraId="1D7B2E79" w14:textId="3EA9DD33" w:rsidR="00A361B3" w:rsidRPr="00991DB0" w:rsidRDefault="00A361B3" w:rsidP="0067521E">
      <w:pPr>
        <w:pStyle w:val="ListParagraph"/>
        <w:numPr>
          <w:ilvl w:val="0"/>
          <w:numId w:val="87"/>
        </w:numPr>
        <w:ind w:left="426" w:hanging="426"/>
        <w:rPr>
          <w:rFonts w:cs="Arial"/>
          <w:lang w:val="en-US"/>
        </w:rPr>
      </w:pPr>
      <w:r>
        <w:rPr>
          <w:rFonts w:cs="Arial"/>
        </w:rPr>
        <w:t>The particulars</w:t>
      </w:r>
      <w:r w:rsidRPr="00991DB0">
        <w:rPr>
          <w:rFonts w:cs="Arial"/>
        </w:rPr>
        <w:t xml:space="preserve"> contained in the su</w:t>
      </w:r>
      <w:r>
        <w:rPr>
          <w:rFonts w:cs="Arial"/>
        </w:rPr>
        <w:t>pporting affidavit may aggravate the defendant (and</w:t>
      </w:r>
      <w:r w:rsidRPr="00991DB0">
        <w:rPr>
          <w:rFonts w:cs="Arial"/>
        </w:rPr>
        <w:t xml:space="preserve"> </w:t>
      </w:r>
      <w:r>
        <w:rPr>
          <w:rFonts w:cs="Arial"/>
        </w:rPr>
        <w:t xml:space="preserve">potentially </w:t>
      </w:r>
      <w:r w:rsidRPr="00991DB0">
        <w:rPr>
          <w:rFonts w:cs="Arial"/>
        </w:rPr>
        <w:t>the families</w:t>
      </w:r>
      <w:r>
        <w:rPr>
          <w:rFonts w:cs="Arial"/>
        </w:rPr>
        <w:t xml:space="preserve"> of the defendant and the protected person) and escalate conflict</w:t>
      </w:r>
      <w:r w:rsidR="001B3161">
        <w:rPr>
          <w:rFonts w:cs="Arial"/>
        </w:rPr>
        <w:t>.</w:t>
      </w:r>
    </w:p>
    <w:p w14:paraId="19B29A45" w14:textId="77777777" w:rsidR="00A361B3" w:rsidRPr="000D35F0" w:rsidRDefault="00A361B3" w:rsidP="0067521E">
      <w:pPr>
        <w:pStyle w:val="ListParagraph"/>
        <w:numPr>
          <w:ilvl w:val="0"/>
          <w:numId w:val="87"/>
        </w:numPr>
        <w:ind w:left="425" w:hanging="425"/>
        <w:rPr>
          <w:rFonts w:cs="Arial"/>
          <w:lang w:val="en-US"/>
        </w:rPr>
      </w:pPr>
      <w:r>
        <w:rPr>
          <w:rFonts w:eastAsiaTheme="minorHAnsi" w:cs="Arial"/>
          <w:color w:val="000000"/>
        </w:rPr>
        <w:t>T</w:t>
      </w:r>
      <w:r w:rsidRPr="00991DB0">
        <w:rPr>
          <w:rFonts w:eastAsiaTheme="minorHAnsi" w:cs="Arial"/>
          <w:color w:val="000000"/>
        </w:rPr>
        <w:t>hese documents may be served through being left with another r</w:t>
      </w:r>
      <w:r>
        <w:rPr>
          <w:rFonts w:eastAsiaTheme="minorHAnsi" w:cs="Arial"/>
          <w:color w:val="000000"/>
        </w:rPr>
        <w:t xml:space="preserve">esident of the defendant’s home.  </w:t>
      </w:r>
      <w:r>
        <w:rPr>
          <w:rFonts w:cs="Arial"/>
        </w:rPr>
        <w:t>T</w:t>
      </w:r>
      <w:r w:rsidRPr="00991DB0">
        <w:rPr>
          <w:rFonts w:cs="Arial"/>
        </w:rPr>
        <w:t xml:space="preserve">here is a significant risk that sensitive information could be </w:t>
      </w:r>
      <w:r w:rsidRPr="00991DB0">
        <w:rPr>
          <w:rFonts w:eastAsiaTheme="minorHAnsi" w:cs="Arial"/>
          <w:color w:val="000000"/>
        </w:rPr>
        <w:t>circulated within the community, causing</w:t>
      </w:r>
      <w:r>
        <w:rPr>
          <w:rFonts w:eastAsiaTheme="minorHAnsi" w:cs="Arial"/>
          <w:color w:val="000000"/>
        </w:rPr>
        <w:t xml:space="preserve"> the victim shame. </w:t>
      </w:r>
    </w:p>
    <w:p w14:paraId="73D51963" w14:textId="77777777" w:rsidR="00A361B3" w:rsidRPr="000D35F0" w:rsidRDefault="00A361B3" w:rsidP="0067521E">
      <w:pPr>
        <w:pStyle w:val="ListParagraph"/>
        <w:numPr>
          <w:ilvl w:val="0"/>
          <w:numId w:val="87"/>
        </w:numPr>
        <w:spacing w:after="200"/>
        <w:ind w:left="425" w:hanging="425"/>
        <w:rPr>
          <w:rFonts w:cs="Arial"/>
          <w:lang w:val="en-US"/>
        </w:rPr>
      </w:pPr>
      <w:r>
        <w:rPr>
          <w:rFonts w:eastAsiaTheme="minorHAnsi" w:cs="Arial"/>
          <w:color w:val="000000"/>
        </w:rPr>
        <w:t>It is especially concerning if the matters set out in the affidavit involve sexual activity or abuse or other private and sensitive information.</w:t>
      </w:r>
    </w:p>
    <w:p w14:paraId="3E8D14F2" w14:textId="146F817A" w:rsidR="0055304E" w:rsidRDefault="00A361B3" w:rsidP="001B3161">
      <w:r>
        <w:t>For safety reason</w:t>
      </w:r>
      <w:r w:rsidR="00386AC4">
        <w:t>s</w:t>
      </w:r>
      <w:r>
        <w:t xml:space="preserve">, it is preferred </w:t>
      </w:r>
      <w:r w:rsidR="00D93EC9">
        <w:t xml:space="preserve">that the </w:t>
      </w:r>
      <w:r>
        <w:t xml:space="preserve">defendant receive the affidavit once the proceedings are under way and legal advice and support is available to the defendant. </w:t>
      </w:r>
    </w:p>
    <w:p w14:paraId="07C68F39" w14:textId="67B05827" w:rsidR="0055304E" w:rsidRPr="000D35F0" w:rsidRDefault="00A0392D" w:rsidP="001B3161">
      <w:pPr>
        <w:keepLines/>
        <w:spacing w:after="160"/>
        <w:contextualSpacing/>
      </w:pPr>
      <w:r>
        <w:lastRenderedPageBreak/>
        <w:t xml:space="preserve">Jurisdictions around Australia (other than SA and NT) do not require an affidavit to be filed in support of a DFV application. </w:t>
      </w:r>
      <w:r w:rsidR="001B3161">
        <w:t xml:space="preserve"> </w:t>
      </w:r>
      <w:r>
        <w:t>Their application forms are more comprehensive than the application forms in NT and the content of the application form itself contains sufficient information to provide procedural fairness for the defendant.</w:t>
      </w:r>
    </w:p>
    <w:p w14:paraId="011BB4FF" w14:textId="3624BF37" w:rsidR="00A361B3" w:rsidRPr="00002A94" w:rsidRDefault="00002A94" w:rsidP="001B3161">
      <w:pPr>
        <w:pStyle w:val="Heading4"/>
        <w:keepNext/>
        <w:numPr>
          <w:ilvl w:val="0"/>
          <w:numId w:val="0"/>
        </w:numPr>
        <w:spacing w:after="0" w:line="259" w:lineRule="auto"/>
        <w:ind w:left="864" w:hanging="864"/>
      </w:pPr>
      <w:r w:rsidRPr="00002A94">
        <w:t xml:space="preserve">PROPOSAL </w:t>
      </w:r>
      <w:r w:rsidR="001804B8">
        <w:t xml:space="preserve">LR </w:t>
      </w:r>
      <w:r w:rsidRPr="00002A94">
        <w:t>24</w:t>
      </w:r>
    </w:p>
    <w:p w14:paraId="1EFB4041" w14:textId="77777777" w:rsidR="00A361B3" w:rsidRPr="00002A94" w:rsidRDefault="00A361B3" w:rsidP="001B3161">
      <w:pPr>
        <w:keepNext/>
        <w:spacing w:after="0" w:line="259" w:lineRule="auto"/>
        <w:rPr>
          <w:b/>
        </w:rPr>
      </w:pPr>
      <w:r w:rsidRPr="00002A94">
        <w:rPr>
          <w:b/>
        </w:rPr>
        <w:t>It is proposed to amend section 30 so that the applicant’s address must not be stated on an application form unless:</w:t>
      </w:r>
    </w:p>
    <w:p w14:paraId="27DCB823" w14:textId="77777777" w:rsidR="00A361B3" w:rsidRPr="00002A94" w:rsidRDefault="00A361B3" w:rsidP="0067521E">
      <w:pPr>
        <w:pStyle w:val="ListParagraph"/>
        <w:numPr>
          <w:ilvl w:val="0"/>
          <w:numId w:val="150"/>
        </w:numPr>
        <w:spacing w:after="0" w:line="259" w:lineRule="auto"/>
        <w:ind w:left="567" w:hanging="567"/>
        <w:rPr>
          <w:b/>
        </w:rPr>
      </w:pPr>
      <w:r w:rsidRPr="00002A94">
        <w:rPr>
          <w:b/>
        </w:rPr>
        <w:t xml:space="preserve">the protected person consents to it being included knowing that the form will served on the defendant, or </w:t>
      </w:r>
    </w:p>
    <w:p w14:paraId="5990D05F" w14:textId="77777777" w:rsidR="00A361B3" w:rsidRPr="00002A94" w:rsidRDefault="00A361B3" w:rsidP="0067521E">
      <w:pPr>
        <w:pStyle w:val="ListParagraph"/>
        <w:numPr>
          <w:ilvl w:val="0"/>
          <w:numId w:val="150"/>
        </w:numPr>
        <w:spacing w:after="0" w:line="259" w:lineRule="auto"/>
        <w:ind w:left="567" w:hanging="567"/>
        <w:rPr>
          <w:b/>
        </w:rPr>
      </w:pPr>
      <w:r w:rsidRPr="00002A94">
        <w:rPr>
          <w:rFonts w:cs="Arial"/>
          <w:b/>
          <w:color w:val="000000"/>
        </w:rPr>
        <w:t xml:space="preserve">the defendant already knows the address, or </w:t>
      </w:r>
    </w:p>
    <w:p w14:paraId="2396B0CE" w14:textId="77777777" w:rsidR="00A361B3" w:rsidRPr="00002A94" w:rsidRDefault="00A361B3" w:rsidP="0067521E">
      <w:pPr>
        <w:pStyle w:val="ListParagraph"/>
        <w:numPr>
          <w:ilvl w:val="0"/>
          <w:numId w:val="150"/>
        </w:numPr>
        <w:spacing w:line="259" w:lineRule="auto"/>
        <w:ind w:left="567" w:hanging="567"/>
        <w:rPr>
          <w:b/>
        </w:rPr>
      </w:pPr>
      <w:r w:rsidRPr="00002A94">
        <w:rPr>
          <w:rFonts w:cs="Arial"/>
          <w:b/>
          <w:color w:val="000000"/>
        </w:rPr>
        <w:t>where it is necessary to state the address in order to achieve compliance with the order.</w:t>
      </w:r>
    </w:p>
    <w:p w14:paraId="4AA81847" w14:textId="07DFE10F" w:rsidR="00A0392D" w:rsidRDefault="00A0392D" w:rsidP="001B3161">
      <w:pPr>
        <w:pStyle w:val="Heading4"/>
        <w:keepNext/>
        <w:numPr>
          <w:ilvl w:val="0"/>
          <w:numId w:val="0"/>
        </w:numPr>
        <w:spacing w:after="0" w:line="259" w:lineRule="auto"/>
      </w:pPr>
      <w:r>
        <w:t xml:space="preserve">PROPOSAL </w:t>
      </w:r>
      <w:r w:rsidR="001804B8">
        <w:t xml:space="preserve">LR </w:t>
      </w:r>
      <w:r>
        <w:t>25</w:t>
      </w:r>
    </w:p>
    <w:p w14:paraId="0D37E0D0" w14:textId="531C2D2D" w:rsidR="00BC37DE" w:rsidRPr="00002A94" w:rsidRDefault="00A0392D" w:rsidP="001B3161">
      <w:pPr>
        <w:spacing w:after="0" w:line="259" w:lineRule="auto"/>
        <w:rPr>
          <w:b/>
        </w:rPr>
      </w:pPr>
      <w:r>
        <w:rPr>
          <w:b/>
        </w:rPr>
        <w:t xml:space="preserve">It is proposed to review the application forms for DVOs to consider whether procedural fairness for the defendant can be provided </w:t>
      </w:r>
      <w:r w:rsidR="00B21696">
        <w:rPr>
          <w:b/>
        </w:rPr>
        <w:t xml:space="preserve">through information in the form itself </w:t>
      </w:r>
      <w:r>
        <w:rPr>
          <w:b/>
        </w:rPr>
        <w:t xml:space="preserve">without the need to serve the </w:t>
      </w:r>
      <w:r w:rsidR="001B3161">
        <w:rPr>
          <w:b/>
        </w:rPr>
        <w:t>affidavit</w:t>
      </w:r>
      <w:r>
        <w:rPr>
          <w:b/>
        </w:rPr>
        <w:t>.</w:t>
      </w:r>
      <w:r w:rsidR="00A361B3" w:rsidRPr="00002A94">
        <w:rPr>
          <w:b/>
        </w:rPr>
        <w:t xml:space="preserve"> </w:t>
      </w:r>
    </w:p>
    <w:p w14:paraId="67099A5D" w14:textId="7992B481" w:rsidR="008A2D7D" w:rsidRDefault="00E65AF0" w:rsidP="001B3161">
      <w:pPr>
        <w:pStyle w:val="Heading3"/>
        <w:keepNext/>
        <w:rPr>
          <w:lang w:eastAsia="en-AU"/>
        </w:rPr>
      </w:pPr>
      <w:bookmarkStart w:id="56" w:name="_Toc112051843"/>
      <w:r>
        <w:rPr>
          <w:lang w:eastAsia="en-AU"/>
        </w:rPr>
        <w:t>Number of pr</w:t>
      </w:r>
      <w:r w:rsidR="003A0788">
        <w:rPr>
          <w:lang w:eastAsia="en-AU"/>
        </w:rPr>
        <w:t>otected persons listed on a DVO</w:t>
      </w:r>
      <w:bookmarkEnd w:id="56"/>
    </w:p>
    <w:p w14:paraId="231C3BE8" w14:textId="28C27FD9" w:rsidR="00D0377D" w:rsidRPr="00D0377D" w:rsidRDefault="00481A01" w:rsidP="00481A01">
      <w:pPr>
        <w:rPr>
          <w:lang w:eastAsia="en-AU"/>
        </w:rPr>
      </w:pPr>
      <w:r w:rsidRPr="00D0377D">
        <w:rPr>
          <w:lang w:eastAsia="en-AU"/>
        </w:rPr>
        <w:t>In the NT</w:t>
      </w:r>
      <w:r w:rsidR="001B3161">
        <w:rPr>
          <w:lang w:eastAsia="en-AU"/>
        </w:rPr>
        <w:t>,</w:t>
      </w:r>
      <w:r w:rsidRPr="00D0377D">
        <w:rPr>
          <w:lang w:eastAsia="en-AU"/>
        </w:rPr>
        <w:t xml:space="preserve"> section 13(3) allows for more than one protected person to be named in a DVO application and order. </w:t>
      </w:r>
      <w:r w:rsidR="001B3161">
        <w:rPr>
          <w:lang w:eastAsia="en-AU"/>
        </w:rPr>
        <w:t xml:space="preserve"> </w:t>
      </w:r>
      <w:r w:rsidRPr="00D0377D">
        <w:rPr>
          <w:lang w:eastAsia="en-AU"/>
        </w:rPr>
        <w:t xml:space="preserve">This is utilised so that child in the care of the protected person can be on the protected person’s order. </w:t>
      </w:r>
      <w:r w:rsidR="001B3161">
        <w:rPr>
          <w:lang w:eastAsia="en-AU"/>
        </w:rPr>
        <w:t xml:space="preserve"> </w:t>
      </w:r>
      <w:r w:rsidRPr="00D0377D">
        <w:rPr>
          <w:lang w:eastAsia="en-AU"/>
        </w:rPr>
        <w:t xml:space="preserve">However, it poses difficulties for multiple adult protected persons to be on one application and order and is generally not encouraged.  </w:t>
      </w:r>
      <w:r w:rsidR="00A839DC">
        <w:rPr>
          <w:lang w:eastAsia="en-AU"/>
        </w:rPr>
        <w:t>An exception might be helpful in relation to children of an adult protected person who are themselves young adults.</w:t>
      </w:r>
    </w:p>
    <w:p w14:paraId="0C23A07E" w14:textId="667CA7C2" w:rsidR="00481A01" w:rsidRDefault="00D0377D" w:rsidP="00481A01">
      <w:pPr>
        <w:rPr>
          <w:lang w:eastAsia="en-AU"/>
        </w:rPr>
      </w:pPr>
      <w:r w:rsidRPr="00D0377D">
        <w:rPr>
          <w:lang w:eastAsia="en-AU"/>
        </w:rPr>
        <w:t>It is noted that</w:t>
      </w:r>
      <w:r w:rsidR="00481A01" w:rsidRPr="00D0377D">
        <w:rPr>
          <w:lang w:eastAsia="en-AU"/>
        </w:rPr>
        <w:t xml:space="preserve"> </w:t>
      </w:r>
      <w:r w:rsidRPr="00D0377D">
        <w:rPr>
          <w:lang w:eastAsia="en-AU"/>
        </w:rPr>
        <w:t xml:space="preserve">section 76 of </w:t>
      </w:r>
      <w:r w:rsidR="00481A01" w:rsidRPr="00D0377D">
        <w:rPr>
          <w:lang w:eastAsia="en-AU"/>
        </w:rPr>
        <w:t>the</w:t>
      </w:r>
      <w:r w:rsidR="00481A01" w:rsidRPr="00D0377D">
        <w:rPr>
          <w:i/>
          <w:lang w:eastAsia="en-AU"/>
        </w:rPr>
        <w:t xml:space="preserve"> Family Violence Protection Act 2008</w:t>
      </w:r>
      <w:r w:rsidRPr="00D0377D">
        <w:rPr>
          <w:lang w:eastAsia="en-AU"/>
        </w:rPr>
        <w:t xml:space="preserve"> (Vic)</w:t>
      </w:r>
      <w:r>
        <w:rPr>
          <w:lang w:eastAsia="en-AU"/>
        </w:rPr>
        <w:t xml:space="preserve"> provides for </w:t>
      </w:r>
      <w:r w:rsidR="00642C9F">
        <w:rPr>
          <w:lang w:eastAsia="en-AU"/>
        </w:rPr>
        <w:t xml:space="preserve">the </w:t>
      </w:r>
      <w:r w:rsidR="002301CE">
        <w:rPr>
          <w:lang w:eastAsia="en-AU"/>
        </w:rPr>
        <w:t xml:space="preserve">court </w:t>
      </w:r>
      <w:r w:rsidR="00642C9F">
        <w:rPr>
          <w:lang w:eastAsia="en-AU"/>
        </w:rPr>
        <w:t>to make a final ord</w:t>
      </w:r>
      <w:r w:rsidR="00962F67">
        <w:rPr>
          <w:lang w:eastAsia="en-AU"/>
        </w:rPr>
        <w:t>er against an additional person</w:t>
      </w:r>
      <w:r w:rsidR="00642C9F">
        <w:rPr>
          <w:lang w:eastAsia="en-AU"/>
        </w:rPr>
        <w:t xml:space="preserve"> (who is an associate of the respondent) and make a final order to</w:t>
      </w:r>
      <w:r w:rsidR="00962F67">
        <w:rPr>
          <w:lang w:eastAsia="en-AU"/>
        </w:rPr>
        <w:t xml:space="preserve"> protect an additional person</w:t>
      </w:r>
      <w:r w:rsidR="00642C9F">
        <w:rPr>
          <w:lang w:eastAsia="en-AU"/>
        </w:rPr>
        <w:t xml:space="preserve"> (who is an associate of the protected person</w:t>
      </w:r>
      <w:r w:rsidR="00962F67">
        <w:rPr>
          <w:lang w:eastAsia="en-AU"/>
        </w:rPr>
        <w:t>)</w:t>
      </w:r>
      <w:r w:rsidR="00642C9F">
        <w:rPr>
          <w:lang w:eastAsia="en-AU"/>
        </w:rPr>
        <w:t>.</w:t>
      </w:r>
    </w:p>
    <w:p w14:paraId="1233B33F" w14:textId="2CD163A5" w:rsidR="00B2647E" w:rsidRDefault="001804B8" w:rsidP="001B3161">
      <w:pPr>
        <w:pStyle w:val="Heading4"/>
        <w:keepNext/>
        <w:numPr>
          <w:ilvl w:val="0"/>
          <w:numId w:val="0"/>
        </w:numPr>
        <w:spacing w:after="0" w:line="259" w:lineRule="auto"/>
        <w:ind w:left="862" w:hanging="862"/>
        <w:rPr>
          <w:lang w:eastAsia="en-AU"/>
        </w:rPr>
      </w:pPr>
      <w:r>
        <w:t xml:space="preserve">LR </w:t>
      </w:r>
      <w:r w:rsidR="00B2647E" w:rsidRPr="00D0377D">
        <w:t>PROPOSAL</w:t>
      </w:r>
      <w:r w:rsidR="00B2647E">
        <w:rPr>
          <w:lang w:eastAsia="en-AU"/>
        </w:rPr>
        <w:t xml:space="preserve"> 26</w:t>
      </w:r>
    </w:p>
    <w:p w14:paraId="35049D52" w14:textId="458405E5" w:rsidR="00BC37DE" w:rsidRPr="00642C9F" w:rsidRDefault="00D0377D" w:rsidP="001B3161">
      <w:pPr>
        <w:spacing w:after="0" w:line="259" w:lineRule="auto"/>
        <w:rPr>
          <w:b/>
          <w:lang w:eastAsia="en-AU"/>
        </w:rPr>
      </w:pPr>
      <w:r w:rsidRPr="00642C9F">
        <w:rPr>
          <w:b/>
          <w:lang w:eastAsia="en-AU"/>
        </w:rPr>
        <w:t>It is proposed to a</w:t>
      </w:r>
      <w:r w:rsidR="00962F67">
        <w:rPr>
          <w:b/>
          <w:lang w:eastAsia="en-AU"/>
        </w:rPr>
        <w:t>mend section 13(3) to limit</w:t>
      </w:r>
      <w:r w:rsidRPr="00642C9F">
        <w:rPr>
          <w:b/>
          <w:lang w:eastAsia="en-AU"/>
        </w:rPr>
        <w:t xml:space="preserve"> applications </w:t>
      </w:r>
      <w:r w:rsidR="00A839DC">
        <w:rPr>
          <w:b/>
          <w:lang w:eastAsia="en-AU"/>
        </w:rPr>
        <w:t xml:space="preserve">for DVOs </w:t>
      </w:r>
      <w:r w:rsidRPr="00642C9F">
        <w:rPr>
          <w:b/>
          <w:lang w:eastAsia="en-AU"/>
        </w:rPr>
        <w:t>to one adult protected person</w:t>
      </w:r>
      <w:r w:rsidR="005F0536">
        <w:rPr>
          <w:b/>
          <w:lang w:eastAsia="en-AU"/>
        </w:rPr>
        <w:t xml:space="preserve">, with an exception that </w:t>
      </w:r>
      <w:r w:rsidR="00A839DC">
        <w:rPr>
          <w:b/>
          <w:lang w:eastAsia="en-AU"/>
        </w:rPr>
        <w:t xml:space="preserve">children </w:t>
      </w:r>
      <w:r w:rsidR="005F0536">
        <w:rPr>
          <w:b/>
          <w:lang w:eastAsia="en-AU"/>
        </w:rPr>
        <w:t>up to 24 years of age</w:t>
      </w:r>
      <w:r w:rsidR="00386AC4">
        <w:rPr>
          <w:b/>
          <w:lang w:eastAsia="en-AU"/>
        </w:rPr>
        <w:t xml:space="preserve"> </w:t>
      </w:r>
      <w:r w:rsidR="00BF0076">
        <w:rPr>
          <w:b/>
          <w:lang w:eastAsia="en-AU"/>
        </w:rPr>
        <w:t>of</w:t>
      </w:r>
      <w:r w:rsidR="005F0536">
        <w:rPr>
          <w:b/>
          <w:lang w:eastAsia="en-AU"/>
        </w:rPr>
        <w:t xml:space="preserve"> </w:t>
      </w:r>
      <w:r w:rsidR="00A839DC">
        <w:rPr>
          <w:b/>
          <w:lang w:eastAsia="en-AU"/>
        </w:rPr>
        <w:t xml:space="preserve">an </w:t>
      </w:r>
      <w:r w:rsidR="00BF0076">
        <w:rPr>
          <w:b/>
          <w:lang w:eastAsia="en-AU"/>
        </w:rPr>
        <w:t>adult protected person</w:t>
      </w:r>
      <w:r w:rsidR="005F0536">
        <w:rPr>
          <w:b/>
          <w:lang w:eastAsia="en-AU"/>
        </w:rPr>
        <w:t>, or in the care of an adult protected person, may be included on the adult protected person’s DVO.</w:t>
      </w:r>
    </w:p>
    <w:p w14:paraId="7673BF38" w14:textId="77777777" w:rsidR="00F42E36" w:rsidRPr="007A3A32" w:rsidRDefault="00D21865" w:rsidP="002301CE">
      <w:pPr>
        <w:pStyle w:val="Heading3"/>
        <w:keepNext/>
        <w:rPr>
          <w:lang w:eastAsia="en-AU"/>
        </w:rPr>
      </w:pPr>
      <w:bookmarkStart w:id="57" w:name="_Toc112051844"/>
      <w:r w:rsidRPr="007A3A32">
        <w:rPr>
          <w:lang w:eastAsia="en-AU"/>
        </w:rPr>
        <w:t>Court may refuse to make a DVO</w:t>
      </w:r>
      <w:bookmarkEnd w:id="57"/>
      <w:r w:rsidR="00F42E36" w:rsidRPr="007A3A32">
        <w:rPr>
          <w:lang w:eastAsia="en-AU"/>
        </w:rPr>
        <w:t xml:space="preserve"> </w:t>
      </w:r>
    </w:p>
    <w:p w14:paraId="517BB497" w14:textId="615D5F35" w:rsidR="00F42E36" w:rsidRPr="0010730F" w:rsidRDefault="00F42E36" w:rsidP="00F42E36">
      <w:pPr>
        <w:rPr>
          <w:lang w:eastAsia="en-AU"/>
        </w:rPr>
      </w:pPr>
      <w:r w:rsidRPr="0010730F">
        <w:rPr>
          <w:lang w:eastAsia="en-AU"/>
        </w:rPr>
        <w:t xml:space="preserve">ANROWS Research on the misidentification of a person most in need of protection recommended that an important way to prevent misidentification was to provide an explicit option for the </w:t>
      </w:r>
      <w:r w:rsidR="002301CE" w:rsidRPr="0010730F">
        <w:rPr>
          <w:lang w:eastAsia="en-AU"/>
        </w:rPr>
        <w:t xml:space="preserve">court </w:t>
      </w:r>
      <w:r w:rsidRPr="0010730F">
        <w:rPr>
          <w:lang w:eastAsia="en-AU"/>
        </w:rPr>
        <w:t xml:space="preserve">to refuse to make a DVO if it believes a person who is a victim-survivor of DFV has been misidentified as a defendant in a DVO application. </w:t>
      </w:r>
      <w:r w:rsidRPr="0010730F">
        <w:rPr>
          <w:rStyle w:val="FootnoteReference"/>
          <w:lang w:eastAsia="en-AU"/>
        </w:rPr>
        <w:footnoteReference w:id="175"/>
      </w:r>
    </w:p>
    <w:p w14:paraId="11CBD867" w14:textId="69F49445" w:rsidR="00F42E36" w:rsidRPr="0010730F" w:rsidRDefault="007A3A32" w:rsidP="002301CE">
      <w:pPr>
        <w:pStyle w:val="Heading4"/>
        <w:keepNext/>
        <w:numPr>
          <w:ilvl w:val="0"/>
          <w:numId w:val="0"/>
        </w:numPr>
        <w:spacing w:after="0" w:line="259" w:lineRule="auto"/>
        <w:ind w:left="862" w:hanging="862"/>
        <w:rPr>
          <w:lang w:eastAsia="en-AU"/>
        </w:rPr>
      </w:pPr>
      <w:r>
        <w:rPr>
          <w:lang w:eastAsia="en-AU"/>
        </w:rPr>
        <w:lastRenderedPageBreak/>
        <w:t xml:space="preserve">PROPOSAL </w:t>
      </w:r>
      <w:r w:rsidR="001804B8">
        <w:rPr>
          <w:lang w:eastAsia="en-AU"/>
        </w:rPr>
        <w:t xml:space="preserve">LR </w:t>
      </w:r>
      <w:r>
        <w:rPr>
          <w:lang w:eastAsia="en-AU"/>
        </w:rPr>
        <w:t>27</w:t>
      </w:r>
    </w:p>
    <w:p w14:paraId="5439AF33" w14:textId="59965483" w:rsidR="004D44DA" w:rsidRPr="000A09DB" w:rsidRDefault="00F42E36" w:rsidP="002301CE">
      <w:pPr>
        <w:keepNext/>
        <w:keepLines/>
        <w:spacing w:after="0" w:line="259" w:lineRule="auto"/>
        <w:rPr>
          <w:b/>
          <w:lang w:eastAsia="en-AU"/>
        </w:rPr>
      </w:pPr>
      <w:r w:rsidRPr="000A09DB">
        <w:rPr>
          <w:b/>
          <w:lang w:eastAsia="en-AU"/>
        </w:rPr>
        <w:t xml:space="preserve">It is proposed to amend Part 2.4 Division 3 </w:t>
      </w:r>
      <w:r w:rsidR="000A09DB" w:rsidRPr="000A09DB">
        <w:rPr>
          <w:b/>
          <w:lang w:eastAsia="en-AU"/>
        </w:rPr>
        <w:t>‘</w:t>
      </w:r>
      <w:r w:rsidRPr="000A09DB">
        <w:rPr>
          <w:b/>
          <w:lang w:eastAsia="en-AU"/>
        </w:rPr>
        <w:t>Miscel</w:t>
      </w:r>
      <w:r w:rsidR="004971C2" w:rsidRPr="000A09DB">
        <w:rPr>
          <w:b/>
          <w:lang w:eastAsia="en-AU"/>
        </w:rPr>
        <w:t>laneous Matters</w:t>
      </w:r>
      <w:r w:rsidR="000A09DB" w:rsidRPr="000A09DB">
        <w:rPr>
          <w:b/>
          <w:lang w:eastAsia="en-AU"/>
        </w:rPr>
        <w:t>’</w:t>
      </w:r>
      <w:r w:rsidR="004971C2" w:rsidRPr="000A09DB">
        <w:rPr>
          <w:b/>
          <w:lang w:eastAsia="en-AU"/>
        </w:rPr>
        <w:t xml:space="preserve"> so that the </w:t>
      </w:r>
      <w:r w:rsidR="002301CE" w:rsidRPr="000A09DB">
        <w:rPr>
          <w:b/>
          <w:lang w:eastAsia="en-AU"/>
        </w:rPr>
        <w:t xml:space="preserve">court </w:t>
      </w:r>
      <w:r w:rsidR="004D44DA" w:rsidRPr="000A09DB">
        <w:rPr>
          <w:rFonts w:asciiTheme="minorHAnsi" w:hAnsiTheme="minorHAnsi"/>
          <w:b/>
        </w:rPr>
        <w:t>may refus</w:t>
      </w:r>
      <w:r w:rsidR="000A09DB" w:rsidRPr="000A09DB">
        <w:rPr>
          <w:rFonts w:asciiTheme="minorHAnsi" w:hAnsiTheme="minorHAnsi"/>
          <w:b/>
        </w:rPr>
        <w:t xml:space="preserve">e to make a DVO, or </w:t>
      </w:r>
      <w:r w:rsidR="0046313C">
        <w:rPr>
          <w:rFonts w:asciiTheme="minorHAnsi" w:hAnsiTheme="minorHAnsi"/>
          <w:b/>
        </w:rPr>
        <w:t xml:space="preserve">may </w:t>
      </w:r>
      <w:r w:rsidR="000A09DB" w:rsidRPr="000A09DB">
        <w:rPr>
          <w:rFonts w:asciiTheme="minorHAnsi" w:hAnsiTheme="minorHAnsi"/>
          <w:b/>
        </w:rPr>
        <w:t>revoke</w:t>
      </w:r>
      <w:r w:rsidR="004D44DA" w:rsidRPr="000A09DB">
        <w:rPr>
          <w:rFonts w:asciiTheme="minorHAnsi" w:hAnsiTheme="minorHAnsi"/>
          <w:b/>
        </w:rPr>
        <w:t xml:space="preserve"> </w:t>
      </w:r>
      <w:r w:rsidR="00386AC4">
        <w:rPr>
          <w:rFonts w:asciiTheme="minorHAnsi" w:hAnsiTheme="minorHAnsi"/>
          <w:b/>
        </w:rPr>
        <w:t xml:space="preserve">a </w:t>
      </w:r>
      <w:r w:rsidR="004D44DA" w:rsidRPr="000A09DB">
        <w:rPr>
          <w:rFonts w:asciiTheme="minorHAnsi" w:hAnsiTheme="minorHAnsi"/>
          <w:b/>
        </w:rPr>
        <w:t xml:space="preserve">police DVO, at any stage in the proceedings if the </w:t>
      </w:r>
      <w:r w:rsidR="002301CE" w:rsidRPr="000A09DB">
        <w:rPr>
          <w:rFonts w:asciiTheme="minorHAnsi" w:hAnsiTheme="minorHAnsi"/>
          <w:b/>
        </w:rPr>
        <w:t xml:space="preserve">court </w:t>
      </w:r>
      <w:r w:rsidR="004D44DA" w:rsidRPr="000A09DB">
        <w:rPr>
          <w:rFonts w:asciiTheme="minorHAnsi" w:hAnsiTheme="minorHAnsi"/>
          <w:b/>
        </w:rPr>
        <w:t>believes that the making of a DVO against the defendant is likely to be inappropriate given the objects and principles in the Act.</w:t>
      </w:r>
    </w:p>
    <w:p w14:paraId="440311D1" w14:textId="61F579E9" w:rsidR="004D44DA" w:rsidRPr="000A09DB" w:rsidRDefault="004D44DA" w:rsidP="004D44DA">
      <w:pPr>
        <w:pStyle w:val="PlainText"/>
        <w:rPr>
          <w:rFonts w:asciiTheme="minorHAnsi" w:hAnsiTheme="minorHAnsi"/>
          <w:b/>
        </w:rPr>
      </w:pPr>
      <w:r w:rsidRPr="000A09DB">
        <w:rPr>
          <w:rFonts w:asciiTheme="minorHAnsi" w:hAnsiTheme="minorHAnsi"/>
          <w:b/>
        </w:rPr>
        <w:t xml:space="preserve">It is </w:t>
      </w:r>
      <w:r w:rsidR="000A09DB">
        <w:rPr>
          <w:rFonts w:asciiTheme="minorHAnsi" w:hAnsiTheme="minorHAnsi"/>
          <w:b/>
        </w:rPr>
        <w:t xml:space="preserve">further </w:t>
      </w:r>
      <w:r w:rsidRPr="000A09DB">
        <w:rPr>
          <w:rFonts w:asciiTheme="minorHAnsi" w:hAnsiTheme="minorHAnsi"/>
          <w:b/>
        </w:rPr>
        <w:t>proposed to add a note beneath the provision along the lines:</w:t>
      </w:r>
    </w:p>
    <w:p w14:paraId="60D81105" w14:textId="63F94DD1" w:rsidR="00EA0549" w:rsidRPr="000A09DB" w:rsidRDefault="004D44DA" w:rsidP="002301CE">
      <w:pPr>
        <w:pStyle w:val="PlainText"/>
        <w:ind w:left="567"/>
        <w:rPr>
          <w:rFonts w:asciiTheme="minorHAnsi" w:hAnsiTheme="minorHAnsi"/>
          <w:b/>
        </w:rPr>
      </w:pPr>
      <w:r w:rsidRPr="000A09DB">
        <w:rPr>
          <w:rFonts w:asciiTheme="minorHAnsi" w:hAnsiTheme="minorHAnsi"/>
          <w:b/>
        </w:rPr>
        <w:t xml:space="preserve">An example for the purposes of this section is that the </w:t>
      </w:r>
      <w:r w:rsidR="002301CE" w:rsidRPr="000A09DB">
        <w:rPr>
          <w:rFonts w:asciiTheme="minorHAnsi" w:hAnsiTheme="minorHAnsi"/>
          <w:b/>
        </w:rPr>
        <w:t xml:space="preserve">court </w:t>
      </w:r>
      <w:r w:rsidRPr="000A09DB">
        <w:rPr>
          <w:rFonts w:asciiTheme="minorHAnsi" w:hAnsiTheme="minorHAnsi"/>
          <w:b/>
        </w:rPr>
        <w:t>believes that defendant in a DVO application or order is the pers</w:t>
      </w:r>
      <w:r w:rsidR="000A09DB" w:rsidRPr="000A09DB">
        <w:rPr>
          <w:rFonts w:asciiTheme="minorHAnsi" w:hAnsiTheme="minorHAnsi"/>
          <w:b/>
        </w:rPr>
        <w:t xml:space="preserve">on most in need of protection. </w:t>
      </w:r>
    </w:p>
    <w:p w14:paraId="5C11E3A7" w14:textId="77777777" w:rsidR="008A2D7D" w:rsidRDefault="008A2D7D" w:rsidP="002301CE">
      <w:pPr>
        <w:pStyle w:val="Heading3"/>
        <w:keepNext/>
        <w:rPr>
          <w:lang w:eastAsia="en-AU"/>
        </w:rPr>
      </w:pPr>
      <w:bookmarkStart w:id="58" w:name="_Toc112051845"/>
      <w:r>
        <w:rPr>
          <w:lang w:eastAsia="en-AU"/>
        </w:rPr>
        <w:t xml:space="preserve">Interim </w:t>
      </w:r>
      <w:r w:rsidR="0014343A">
        <w:rPr>
          <w:lang w:eastAsia="en-AU"/>
        </w:rPr>
        <w:t xml:space="preserve">Court </w:t>
      </w:r>
      <w:r>
        <w:rPr>
          <w:lang w:eastAsia="en-AU"/>
        </w:rPr>
        <w:t>DVOs</w:t>
      </w:r>
      <w:bookmarkEnd w:id="58"/>
    </w:p>
    <w:p w14:paraId="35575AA8" w14:textId="023132B3" w:rsidR="0014343A" w:rsidRDefault="0014343A" w:rsidP="002301CE">
      <w:pPr>
        <w:spacing w:after="120"/>
        <w:rPr>
          <w:lang w:eastAsia="en-AU"/>
        </w:rPr>
      </w:pPr>
      <w:r>
        <w:rPr>
          <w:lang w:eastAsia="en-AU"/>
        </w:rPr>
        <w:t>Section 35 provides for the making of</w:t>
      </w:r>
      <w:r w:rsidR="000B4F78">
        <w:rPr>
          <w:lang w:eastAsia="en-AU"/>
        </w:rPr>
        <w:t xml:space="preserve"> Interim </w:t>
      </w:r>
      <w:r w:rsidR="002301CE">
        <w:rPr>
          <w:lang w:eastAsia="en-AU"/>
        </w:rPr>
        <w:t xml:space="preserve">court </w:t>
      </w:r>
      <w:r w:rsidR="00D111FA">
        <w:rPr>
          <w:lang w:eastAsia="en-AU"/>
        </w:rPr>
        <w:t xml:space="preserve">DVOs.  The </w:t>
      </w:r>
      <w:r w:rsidR="002301CE">
        <w:rPr>
          <w:lang w:eastAsia="en-AU"/>
        </w:rPr>
        <w:t xml:space="preserve">court </w:t>
      </w:r>
      <w:r w:rsidR="00D111FA">
        <w:rPr>
          <w:lang w:eastAsia="en-AU"/>
        </w:rPr>
        <w:t xml:space="preserve">may make the </w:t>
      </w:r>
      <w:r w:rsidR="002301CE">
        <w:rPr>
          <w:lang w:eastAsia="en-AU"/>
        </w:rPr>
        <w:t xml:space="preserve">interim court </w:t>
      </w:r>
      <w:r w:rsidR="000B4F78">
        <w:rPr>
          <w:lang w:eastAsia="en-AU"/>
        </w:rPr>
        <w:t>DVO</w:t>
      </w:r>
      <w:r w:rsidR="002301CE">
        <w:rPr>
          <w:lang w:eastAsia="en-AU"/>
        </w:rPr>
        <w:t>:</w:t>
      </w:r>
    </w:p>
    <w:p w14:paraId="733DA277" w14:textId="3724A534" w:rsidR="000B4F78" w:rsidRDefault="002301CE" w:rsidP="0067521E">
      <w:pPr>
        <w:pStyle w:val="ListParagraph"/>
        <w:numPr>
          <w:ilvl w:val="0"/>
          <w:numId w:val="91"/>
        </w:numPr>
        <w:ind w:left="567" w:hanging="567"/>
        <w:rPr>
          <w:lang w:eastAsia="en-AU"/>
        </w:rPr>
      </w:pPr>
      <w:r>
        <w:rPr>
          <w:lang w:eastAsia="en-AU"/>
        </w:rPr>
        <w:t xml:space="preserve">even </w:t>
      </w:r>
      <w:r w:rsidR="000B4F78">
        <w:rPr>
          <w:lang w:eastAsia="en-AU"/>
        </w:rPr>
        <w:t>if the defendant does not appear at the hearing; or</w:t>
      </w:r>
    </w:p>
    <w:p w14:paraId="1E8E9B5B" w14:textId="57E9EADD" w:rsidR="000B4F78" w:rsidRDefault="002301CE" w:rsidP="0067521E">
      <w:pPr>
        <w:pStyle w:val="ListParagraph"/>
        <w:numPr>
          <w:ilvl w:val="0"/>
          <w:numId w:val="91"/>
        </w:numPr>
        <w:ind w:left="567" w:hanging="567"/>
        <w:rPr>
          <w:lang w:eastAsia="en-AU"/>
        </w:rPr>
      </w:pPr>
      <w:r>
        <w:rPr>
          <w:lang w:eastAsia="en-AU"/>
        </w:rPr>
        <w:t xml:space="preserve">if </w:t>
      </w:r>
      <w:r w:rsidR="000B4F78">
        <w:rPr>
          <w:lang w:eastAsia="en-AU"/>
        </w:rPr>
        <w:t>the defendant appears at the hearing:</w:t>
      </w:r>
    </w:p>
    <w:p w14:paraId="5FEAA9BB" w14:textId="0F8A1663" w:rsidR="000B4F78" w:rsidRDefault="002301CE" w:rsidP="0067521E">
      <w:pPr>
        <w:pStyle w:val="ListParagraph"/>
        <w:numPr>
          <w:ilvl w:val="1"/>
          <w:numId w:val="91"/>
        </w:numPr>
        <w:ind w:left="1134"/>
        <w:rPr>
          <w:lang w:eastAsia="en-AU"/>
        </w:rPr>
      </w:pPr>
      <w:r>
        <w:rPr>
          <w:lang w:eastAsia="en-AU"/>
        </w:rPr>
        <w:t xml:space="preserve">before </w:t>
      </w:r>
      <w:r w:rsidR="000B4F78">
        <w:rPr>
          <w:lang w:eastAsia="en-AU"/>
        </w:rPr>
        <w:t>hearing the defendant’s evidence; or</w:t>
      </w:r>
    </w:p>
    <w:p w14:paraId="597677C4" w14:textId="3E1165E1" w:rsidR="00EC3BDB" w:rsidRDefault="002301CE" w:rsidP="0067521E">
      <w:pPr>
        <w:pStyle w:val="ListParagraph"/>
        <w:numPr>
          <w:ilvl w:val="1"/>
          <w:numId w:val="91"/>
        </w:numPr>
        <w:ind w:left="1134" w:hanging="357"/>
        <w:rPr>
          <w:lang w:eastAsia="en-AU"/>
        </w:rPr>
      </w:pPr>
      <w:r>
        <w:rPr>
          <w:lang w:eastAsia="en-AU"/>
        </w:rPr>
        <w:t xml:space="preserve">even </w:t>
      </w:r>
      <w:r w:rsidR="000B4F78">
        <w:rPr>
          <w:lang w:eastAsia="en-AU"/>
        </w:rPr>
        <w:t>if the defendant objects to the order being made.</w:t>
      </w:r>
    </w:p>
    <w:p w14:paraId="2B339505" w14:textId="0C9E08C9" w:rsidR="00EC3BDB" w:rsidRDefault="00EC3BDB" w:rsidP="002301CE">
      <w:pPr>
        <w:spacing w:after="120"/>
        <w:rPr>
          <w:lang w:eastAsia="en-AU"/>
        </w:rPr>
      </w:pPr>
      <w:r>
        <w:rPr>
          <w:lang w:eastAsia="en-AU"/>
        </w:rPr>
        <w:t xml:space="preserve">There is a need to clarify that an interim </w:t>
      </w:r>
      <w:r w:rsidR="002301CE">
        <w:rPr>
          <w:lang w:eastAsia="en-AU"/>
        </w:rPr>
        <w:t xml:space="preserve">court </w:t>
      </w:r>
      <w:r>
        <w:rPr>
          <w:lang w:eastAsia="en-AU"/>
        </w:rPr>
        <w:t>DVO can be made or varied at any stage in the proceedings.</w:t>
      </w:r>
    </w:p>
    <w:p w14:paraId="119981C0" w14:textId="733446FC" w:rsidR="00EC3BDB" w:rsidRDefault="00EC3BDB" w:rsidP="00173C5D">
      <w:pPr>
        <w:rPr>
          <w:lang w:eastAsia="en-AU"/>
        </w:rPr>
      </w:pPr>
      <w:r>
        <w:rPr>
          <w:lang w:eastAsia="en-AU"/>
        </w:rPr>
        <w:t>Following the decision in</w:t>
      </w:r>
      <w:r w:rsidRPr="00173C5D">
        <w:rPr>
          <w:i/>
          <w:lang w:eastAsia="en-AU"/>
        </w:rPr>
        <w:t xml:space="preserve"> Atkinson v Bardon</w:t>
      </w:r>
      <w:r w:rsidR="0037490B">
        <w:rPr>
          <w:rStyle w:val="FootnoteReference"/>
          <w:lang w:eastAsia="en-AU"/>
        </w:rPr>
        <w:footnoteReference w:id="176"/>
      </w:r>
      <w:r>
        <w:rPr>
          <w:lang w:eastAsia="en-AU"/>
        </w:rPr>
        <w:t xml:space="preserve"> it has also been proposed that there is a need to clarify that an inter</w:t>
      </w:r>
      <w:r w:rsidR="0037490B">
        <w:rPr>
          <w:lang w:eastAsia="en-AU"/>
        </w:rPr>
        <w:t xml:space="preserve">im order can be made even if </w:t>
      </w:r>
      <w:r>
        <w:rPr>
          <w:lang w:eastAsia="en-AU"/>
        </w:rPr>
        <w:t>the defendant has not been able to be served with the initiating documents or provided with the time, date and place of the hearing.</w:t>
      </w:r>
    </w:p>
    <w:p w14:paraId="32194D9C" w14:textId="30302FE3" w:rsidR="00EC3BDB" w:rsidRDefault="0037490B" w:rsidP="00173C5D">
      <w:pPr>
        <w:rPr>
          <w:lang w:eastAsia="en-AU"/>
        </w:rPr>
      </w:pPr>
      <w:r>
        <w:rPr>
          <w:lang w:eastAsia="en-AU"/>
        </w:rPr>
        <w:t xml:space="preserve">The order </w:t>
      </w:r>
      <w:r w:rsidR="00EC3BDB">
        <w:rPr>
          <w:lang w:eastAsia="en-AU"/>
        </w:rPr>
        <w:t>cannot be enforced until the defendant has been given a copy (see section 120(2)(a).</w:t>
      </w:r>
    </w:p>
    <w:p w14:paraId="184EAF36" w14:textId="57C3E79E" w:rsidR="008A2D7D" w:rsidRDefault="0046313C" w:rsidP="002301CE">
      <w:pPr>
        <w:pStyle w:val="Heading4"/>
        <w:keepNext/>
        <w:numPr>
          <w:ilvl w:val="0"/>
          <w:numId w:val="0"/>
        </w:numPr>
        <w:spacing w:after="0" w:line="259" w:lineRule="auto"/>
        <w:ind w:left="864" w:hanging="864"/>
        <w:rPr>
          <w:lang w:eastAsia="en-AU"/>
        </w:rPr>
      </w:pPr>
      <w:r>
        <w:rPr>
          <w:lang w:eastAsia="en-AU"/>
        </w:rPr>
        <w:t xml:space="preserve">PROPOSAL </w:t>
      </w:r>
      <w:r w:rsidR="001804B8">
        <w:rPr>
          <w:lang w:eastAsia="en-AU"/>
        </w:rPr>
        <w:t xml:space="preserve">LR </w:t>
      </w:r>
      <w:r>
        <w:rPr>
          <w:lang w:eastAsia="en-AU"/>
        </w:rPr>
        <w:t>28</w:t>
      </w:r>
    </w:p>
    <w:p w14:paraId="1DA4739A" w14:textId="0D5B5D17" w:rsidR="000B4F78" w:rsidRPr="00BC37DE" w:rsidRDefault="0014343A" w:rsidP="002301CE">
      <w:pPr>
        <w:keepNext/>
        <w:spacing w:after="0" w:line="259" w:lineRule="auto"/>
        <w:rPr>
          <w:b/>
          <w:lang w:eastAsia="en-AU"/>
        </w:rPr>
      </w:pPr>
      <w:r w:rsidRPr="00BC37DE">
        <w:rPr>
          <w:b/>
          <w:lang w:eastAsia="en-AU"/>
        </w:rPr>
        <w:t>It is propose</w:t>
      </w:r>
      <w:r w:rsidR="000B4F78" w:rsidRPr="00BC37DE">
        <w:rPr>
          <w:b/>
          <w:lang w:eastAsia="en-AU"/>
        </w:rPr>
        <w:t>d to amend section 35</w:t>
      </w:r>
      <w:r w:rsidR="00EC3BDB">
        <w:rPr>
          <w:b/>
          <w:lang w:eastAsia="en-AU"/>
        </w:rPr>
        <w:t xml:space="preserve"> </w:t>
      </w:r>
      <w:r w:rsidR="000B4F78" w:rsidRPr="00BC37DE">
        <w:rPr>
          <w:b/>
          <w:lang w:eastAsia="en-AU"/>
        </w:rPr>
        <w:t>along the lines</w:t>
      </w:r>
      <w:r w:rsidRPr="00BC37DE">
        <w:rPr>
          <w:b/>
          <w:lang w:eastAsia="en-AU"/>
        </w:rPr>
        <w:t xml:space="preserve"> that</w:t>
      </w:r>
      <w:r w:rsidR="000B4F78" w:rsidRPr="00BC37DE">
        <w:rPr>
          <w:b/>
          <w:lang w:eastAsia="en-AU"/>
        </w:rPr>
        <w:t>:</w:t>
      </w:r>
    </w:p>
    <w:p w14:paraId="48F38B46" w14:textId="32AF08B2" w:rsidR="008A2D7D" w:rsidRPr="00BC37DE" w:rsidRDefault="0014343A" w:rsidP="0067521E">
      <w:pPr>
        <w:pStyle w:val="ListParagraph"/>
        <w:numPr>
          <w:ilvl w:val="0"/>
          <w:numId w:val="178"/>
        </w:numPr>
        <w:spacing w:after="0" w:line="259" w:lineRule="auto"/>
        <w:ind w:left="567" w:hanging="567"/>
        <w:rPr>
          <w:b/>
          <w:lang w:eastAsia="en-AU"/>
        </w:rPr>
      </w:pPr>
      <w:r w:rsidRPr="00BC37DE">
        <w:rPr>
          <w:b/>
          <w:lang w:eastAsia="en-AU"/>
        </w:rPr>
        <w:t xml:space="preserve">an interim </w:t>
      </w:r>
      <w:r w:rsidR="002301CE" w:rsidRPr="00BC37DE">
        <w:rPr>
          <w:b/>
          <w:lang w:eastAsia="en-AU"/>
        </w:rPr>
        <w:t xml:space="preserve">court </w:t>
      </w:r>
      <w:r w:rsidRPr="00BC37DE">
        <w:rPr>
          <w:b/>
          <w:lang w:eastAsia="en-AU"/>
        </w:rPr>
        <w:t>DVO can mad</w:t>
      </w:r>
      <w:r w:rsidR="000B4F78" w:rsidRPr="00BC37DE">
        <w:rPr>
          <w:b/>
          <w:lang w:eastAsia="en-AU"/>
        </w:rPr>
        <w:t>e or</w:t>
      </w:r>
      <w:r w:rsidRPr="00BC37DE">
        <w:rPr>
          <w:b/>
          <w:lang w:eastAsia="en-AU"/>
        </w:rPr>
        <w:t xml:space="preserve"> varied by the </w:t>
      </w:r>
      <w:r w:rsidR="002301CE" w:rsidRPr="00BC37DE">
        <w:rPr>
          <w:b/>
          <w:lang w:eastAsia="en-AU"/>
        </w:rPr>
        <w:t xml:space="preserve">court </w:t>
      </w:r>
      <w:r w:rsidRPr="00BC37DE">
        <w:rPr>
          <w:b/>
          <w:lang w:eastAsia="en-AU"/>
        </w:rPr>
        <w:t>at any time in the proceedings before t</w:t>
      </w:r>
      <w:r w:rsidR="000B4F78" w:rsidRPr="00BC37DE">
        <w:rPr>
          <w:b/>
          <w:lang w:eastAsia="en-AU"/>
        </w:rPr>
        <w:t>he Local Court DVO is finalised; and</w:t>
      </w:r>
    </w:p>
    <w:p w14:paraId="199C6312" w14:textId="283BAEE6" w:rsidR="00A06569" w:rsidRPr="0055304E" w:rsidRDefault="000B4F78" w:rsidP="0067521E">
      <w:pPr>
        <w:pStyle w:val="ListParagraph"/>
        <w:numPr>
          <w:ilvl w:val="0"/>
          <w:numId w:val="178"/>
        </w:numPr>
        <w:spacing w:line="259" w:lineRule="auto"/>
        <w:ind w:left="567" w:hanging="567"/>
        <w:rPr>
          <w:b/>
          <w:lang w:eastAsia="en-AU"/>
        </w:rPr>
      </w:pPr>
      <w:r w:rsidRPr="00A06569">
        <w:rPr>
          <w:b/>
          <w:lang w:eastAsia="en-AU"/>
        </w:rPr>
        <w:t>can b</w:t>
      </w:r>
      <w:r w:rsidR="000D5A06">
        <w:rPr>
          <w:b/>
          <w:lang w:eastAsia="en-AU"/>
        </w:rPr>
        <w:t xml:space="preserve">e made </w:t>
      </w:r>
      <w:r w:rsidR="00386AC4">
        <w:rPr>
          <w:b/>
          <w:lang w:eastAsia="en-AU"/>
        </w:rPr>
        <w:t xml:space="preserve">or varied </w:t>
      </w:r>
      <w:r w:rsidRPr="00A06569">
        <w:rPr>
          <w:b/>
          <w:lang w:eastAsia="en-AU"/>
        </w:rPr>
        <w:t>befor</w:t>
      </w:r>
      <w:r w:rsidR="00A06569" w:rsidRPr="00A06569">
        <w:rPr>
          <w:b/>
          <w:lang w:eastAsia="en-AU"/>
        </w:rPr>
        <w:t>e the defendant has been serve</w:t>
      </w:r>
      <w:r w:rsidR="0055304E">
        <w:rPr>
          <w:b/>
          <w:lang w:eastAsia="en-AU"/>
        </w:rPr>
        <w:t>d.</w:t>
      </w:r>
    </w:p>
    <w:p w14:paraId="343BBC44" w14:textId="77777777" w:rsidR="004C2F2C" w:rsidRDefault="00F2541A" w:rsidP="002301CE">
      <w:pPr>
        <w:pStyle w:val="Heading3"/>
        <w:keepNext/>
      </w:pPr>
      <w:bookmarkStart w:id="59" w:name="_Toc112051846"/>
      <w:r>
        <w:t>DVOs with the consent of the parties</w:t>
      </w:r>
      <w:bookmarkEnd w:id="59"/>
    </w:p>
    <w:p w14:paraId="72B23B31" w14:textId="00EDDC99" w:rsidR="00050976" w:rsidRDefault="00FD5A41" w:rsidP="002301CE">
      <w:pPr>
        <w:spacing w:after="120"/>
      </w:pPr>
      <w:r>
        <w:t>Part 2.5 of the DFV</w:t>
      </w:r>
      <w:r w:rsidR="002301CE">
        <w:t> </w:t>
      </w:r>
      <w:r>
        <w:t>A</w:t>
      </w:r>
      <w:r w:rsidR="002301CE">
        <w:t>ct</w:t>
      </w:r>
      <w:r w:rsidR="00FD771B" w:rsidRPr="00EE5DAD">
        <w:t xml:space="preserve"> </w:t>
      </w:r>
      <w:r w:rsidR="00F2541A">
        <w:t xml:space="preserve">provides for the making of a </w:t>
      </w:r>
      <w:r w:rsidR="00FD771B" w:rsidRPr="00EE5DAD">
        <w:t>DVOs with the consent of the pa</w:t>
      </w:r>
      <w:r>
        <w:t>rties</w:t>
      </w:r>
      <w:r w:rsidR="00F2541A">
        <w:t xml:space="preserve">. </w:t>
      </w:r>
      <w:r w:rsidR="00050976">
        <w:t xml:space="preserve"> Reciprocal DVOs are sometimes made under this section with the consent of both parties.</w:t>
      </w:r>
    </w:p>
    <w:p w14:paraId="1C0F24FF" w14:textId="6B8A5B76" w:rsidR="004C2F2C" w:rsidRDefault="00617C96" w:rsidP="002301CE">
      <w:pPr>
        <w:spacing w:after="120"/>
      </w:pPr>
      <w:r>
        <w:t>Stakeholders have advised that sometime</w:t>
      </w:r>
      <w:r w:rsidR="00050976">
        <w:t>s</w:t>
      </w:r>
      <w:r>
        <w:t xml:space="preserve"> there is a genuine need for both parties to be protected from each other, and reciprocal orders are justified. </w:t>
      </w:r>
      <w:r w:rsidR="002301CE">
        <w:t xml:space="preserve"> </w:t>
      </w:r>
      <w:r>
        <w:t xml:space="preserve">However, </w:t>
      </w:r>
      <w:r w:rsidR="00050976">
        <w:t>sometimes cross applications are a tactic or a way for a perpetrator of DFV to place some of the blame on the victim by only consenting to an orders if the victim-survivor also consents to an order.</w:t>
      </w:r>
    </w:p>
    <w:p w14:paraId="6B7F57F8" w14:textId="3C2E2CB3" w:rsidR="00FD5A41" w:rsidRPr="00FD5A41" w:rsidRDefault="00FD5A41" w:rsidP="002301CE">
      <w:pPr>
        <w:pStyle w:val="Heading4"/>
        <w:keepNext/>
        <w:numPr>
          <w:ilvl w:val="0"/>
          <w:numId w:val="0"/>
        </w:numPr>
        <w:spacing w:before="0" w:after="0" w:line="252" w:lineRule="auto"/>
        <w:ind w:left="864" w:hanging="864"/>
      </w:pPr>
      <w:r>
        <w:t xml:space="preserve">PROPOSAL </w:t>
      </w:r>
      <w:r w:rsidR="001804B8">
        <w:t xml:space="preserve">LR </w:t>
      </w:r>
      <w:r>
        <w:t>29</w:t>
      </w:r>
    </w:p>
    <w:p w14:paraId="6BF4B925" w14:textId="37116869" w:rsidR="001804B8" w:rsidRDefault="00F2541A" w:rsidP="002301CE">
      <w:pPr>
        <w:keepNext/>
        <w:spacing w:after="0" w:line="252" w:lineRule="auto"/>
        <w:rPr>
          <w:b/>
        </w:rPr>
      </w:pPr>
      <w:r w:rsidRPr="001035EB">
        <w:rPr>
          <w:b/>
        </w:rPr>
        <w:t>It is proposed to amend section</w:t>
      </w:r>
      <w:r w:rsidR="004971C2" w:rsidRPr="001035EB">
        <w:rPr>
          <w:b/>
        </w:rPr>
        <w:t xml:space="preserve"> 38 so that r</w:t>
      </w:r>
      <w:r w:rsidRPr="001035EB">
        <w:rPr>
          <w:b/>
        </w:rPr>
        <w:t xml:space="preserve">eciprocal orders cannot be made by consent unless the </w:t>
      </w:r>
      <w:r w:rsidR="002301CE" w:rsidRPr="001035EB">
        <w:rPr>
          <w:b/>
        </w:rPr>
        <w:t xml:space="preserve">court </w:t>
      </w:r>
      <w:r w:rsidRPr="001035EB">
        <w:rPr>
          <w:b/>
        </w:rPr>
        <w:t>is satisfied that there are grounds for makin</w:t>
      </w:r>
      <w:r w:rsidR="001804B8">
        <w:rPr>
          <w:b/>
        </w:rPr>
        <w:t>g the order against each party.</w:t>
      </w:r>
    </w:p>
    <w:p w14:paraId="1E923B63" w14:textId="1A2080AA" w:rsidR="004971C2" w:rsidRPr="001035EB" w:rsidRDefault="004971C2" w:rsidP="002301CE">
      <w:pPr>
        <w:keepNext/>
        <w:spacing w:after="0" w:line="252" w:lineRule="auto"/>
        <w:rPr>
          <w:b/>
        </w:rPr>
      </w:pPr>
      <w:r w:rsidRPr="001035EB">
        <w:rPr>
          <w:b/>
        </w:rPr>
        <w:t>It is proposed to add a note beneath the provision along the lines:</w:t>
      </w:r>
    </w:p>
    <w:p w14:paraId="6AFD130A" w14:textId="7963D03C" w:rsidR="00E65AF0" w:rsidRPr="001035EB" w:rsidRDefault="001035EB" w:rsidP="002301CE">
      <w:pPr>
        <w:spacing w:line="252" w:lineRule="auto"/>
        <w:ind w:left="567"/>
        <w:rPr>
          <w:b/>
        </w:rPr>
      </w:pPr>
      <w:r>
        <w:rPr>
          <w:b/>
        </w:rPr>
        <w:t>T</w:t>
      </w:r>
      <w:r w:rsidR="004971C2" w:rsidRPr="001035EB">
        <w:rPr>
          <w:b/>
        </w:rPr>
        <w:t xml:space="preserve">he </w:t>
      </w:r>
      <w:r w:rsidR="002301CE" w:rsidRPr="001035EB">
        <w:rPr>
          <w:b/>
        </w:rPr>
        <w:t xml:space="preserve">court </w:t>
      </w:r>
      <w:r w:rsidR="004971C2" w:rsidRPr="001035EB">
        <w:rPr>
          <w:b/>
        </w:rPr>
        <w:t xml:space="preserve">may refuse to make a DVO, or may revoke a police DVO, at any stage in the proceedings if the </w:t>
      </w:r>
      <w:r w:rsidR="002301CE" w:rsidRPr="001035EB">
        <w:rPr>
          <w:b/>
        </w:rPr>
        <w:t xml:space="preserve">court </w:t>
      </w:r>
      <w:r w:rsidR="004971C2" w:rsidRPr="001035EB">
        <w:rPr>
          <w:b/>
        </w:rPr>
        <w:t>believes that the making of a DVO against the defendant is likely to be inappropriate given the objects and principles in the Act.</w:t>
      </w:r>
      <w:r w:rsidR="005236A1" w:rsidRPr="001035EB">
        <w:rPr>
          <w:b/>
        </w:rPr>
        <w:t xml:space="preserve"> </w:t>
      </w:r>
    </w:p>
    <w:p w14:paraId="09D04AD1" w14:textId="77777777" w:rsidR="00050976" w:rsidRDefault="00050976" w:rsidP="002619DD">
      <w:pPr>
        <w:pStyle w:val="Heading3"/>
        <w:keepNext/>
      </w:pPr>
      <w:bookmarkStart w:id="60" w:name="_Toc112051847"/>
      <w:r>
        <w:lastRenderedPageBreak/>
        <w:t>Police DVOs</w:t>
      </w:r>
      <w:bookmarkEnd w:id="60"/>
    </w:p>
    <w:p w14:paraId="16D2E1DC" w14:textId="63694DDD" w:rsidR="00050976" w:rsidRDefault="008A28F1" w:rsidP="002619DD">
      <w:pPr>
        <w:keepNext/>
        <w:spacing w:after="120"/>
      </w:pPr>
      <w:r>
        <w:t>Section 41(1)</w:t>
      </w:r>
      <w:r w:rsidR="00050976">
        <w:t xml:space="preserve"> provides for the making of</w:t>
      </w:r>
      <w:r w:rsidR="00057E69">
        <w:t xml:space="preserve"> a</w:t>
      </w:r>
      <w:r w:rsidR="00050976">
        <w:t xml:space="preserve"> DVO by authorised police officers if the police officer is satisfied</w:t>
      </w:r>
      <w:r w:rsidR="00C4709B">
        <w:t>:</w:t>
      </w:r>
    </w:p>
    <w:p w14:paraId="332F75A9" w14:textId="373AA472" w:rsidR="00050976" w:rsidRPr="002619DD" w:rsidRDefault="002619DD" w:rsidP="0067521E">
      <w:pPr>
        <w:pStyle w:val="ListParagraph"/>
        <w:numPr>
          <w:ilvl w:val="0"/>
          <w:numId w:val="89"/>
        </w:numPr>
        <w:ind w:left="567" w:hanging="567"/>
      </w:pPr>
      <w:r w:rsidRPr="002619DD">
        <w:t xml:space="preserve">it </w:t>
      </w:r>
      <w:r w:rsidR="00050976" w:rsidRPr="002619DD">
        <w:t>is necessary to ensure a person’s safety</w:t>
      </w:r>
      <w:r w:rsidR="00C4709B" w:rsidRPr="002619DD">
        <w:t>:</w:t>
      </w:r>
    </w:p>
    <w:p w14:paraId="3EC1ABD6" w14:textId="45F2921F" w:rsidR="00050976" w:rsidRPr="002619DD" w:rsidRDefault="002619DD" w:rsidP="0067521E">
      <w:pPr>
        <w:pStyle w:val="ListParagraph"/>
        <w:numPr>
          <w:ilvl w:val="1"/>
          <w:numId w:val="89"/>
        </w:numPr>
        <w:ind w:left="1134" w:hanging="425"/>
      </w:pPr>
      <w:r w:rsidRPr="002619DD">
        <w:t xml:space="preserve">because </w:t>
      </w:r>
      <w:r w:rsidR="00050976" w:rsidRPr="002619DD">
        <w:t>of urgent circumstances; or</w:t>
      </w:r>
    </w:p>
    <w:p w14:paraId="26EA099C" w14:textId="7780CCE5" w:rsidR="00050976" w:rsidRPr="002619DD" w:rsidRDefault="002619DD" w:rsidP="0067521E">
      <w:pPr>
        <w:pStyle w:val="ListParagraph"/>
        <w:numPr>
          <w:ilvl w:val="1"/>
          <w:numId w:val="89"/>
        </w:numPr>
        <w:ind w:left="1134" w:hanging="425"/>
      </w:pPr>
      <w:r w:rsidRPr="002619DD">
        <w:t xml:space="preserve">because </w:t>
      </w:r>
      <w:r w:rsidR="00050976" w:rsidRPr="002619DD">
        <w:t>it is not otherwise practicable in the circumstances to obtain a Local Court DVO; and</w:t>
      </w:r>
    </w:p>
    <w:p w14:paraId="7B7F697B" w14:textId="49C21888" w:rsidR="00050976" w:rsidRPr="002619DD" w:rsidRDefault="002619DD" w:rsidP="0067521E">
      <w:pPr>
        <w:pStyle w:val="ListParagraph"/>
        <w:numPr>
          <w:ilvl w:val="0"/>
          <w:numId w:val="89"/>
        </w:numPr>
        <w:spacing w:after="200"/>
        <w:ind w:left="567" w:hanging="567"/>
      </w:pPr>
      <w:r w:rsidRPr="002619DD">
        <w:t xml:space="preserve">a </w:t>
      </w:r>
      <w:r w:rsidR="00050976" w:rsidRPr="002619DD">
        <w:t>Local Court DVO might reasonably have been made had it been practicable to apply for one.</w:t>
      </w:r>
    </w:p>
    <w:p w14:paraId="61FE7C48" w14:textId="188C5C32" w:rsidR="00050976" w:rsidRDefault="008A28F1" w:rsidP="00050976">
      <w:r>
        <w:t>Section 41(2) provides that: ‘T</w:t>
      </w:r>
      <w:r w:rsidR="00050976">
        <w:t>he police DVO</w:t>
      </w:r>
      <w:r w:rsidR="00C4709B">
        <w:t xml:space="preserve"> may be made even if the defendant has not been given an opportunity to answer any allegation made in relation to the making of the DVO.</w:t>
      </w:r>
      <w:r>
        <w:t>’</w:t>
      </w:r>
    </w:p>
    <w:p w14:paraId="08BE96D6" w14:textId="1B219B50" w:rsidR="008A28F1" w:rsidRDefault="008A28F1" w:rsidP="00050976">
      <w:r>
        <w:t xml:space="preserve">The police DVO is a summons to the defendant to appear before court to show cause why the DVO should not be confirmed by the </w:t>
      </w:r>
      <w:r w:rsidR="002619DD">
        <w:t xml:space="preserve">court </w:t>
      </w:r>
      <w:r>
        <w:t>(section 44).</w:t>
      </w:r>
    </w:p>
    <w:p w14:paraId="46355593" w14:textId="4BD28360" w:rsidR="008A28F1" w:rsidRDefault="008A28F1" w:rsidP="00050976">
      <w:r>
        <w:t>Once a police DVO is made</w:t>
      </w:r>
      <w:r w:rsidR="002619DD">
        <w:t>,</w:t>
      </w:r>
      <w:r>
        <w:t xml:space="preserve"> only the </w:t>
      </w:r>
      <w:r w:rsidR="002619DD">
        <w:t xml:space="preserve">court </w:t>
      </w:r>
      <w:r>
        <w:t>has the power to revoke or vary a police DVO.</w:t>
      </w:r>
      <w:r>
        <w:rPr>
          <w:rStyle w:val="FootnoteReference"/>
        </w:rPr>
        <w:footnoteReference w:id="177"/>
      </w:r>
    </w:p>
    <w:p w14:paraId="7AF2C5DF" w14:textId="6FA73226" w:rsidR="00050976" w:rsidRDefault="00684E7D" w:rsidP="002619DD">
      <w:pPr>
        <w:pStyle w:val="Heading4"/>
        <w:keepNext/>
        <w:numPr>
          <w:ilvl w:val="0"/>
          <w:numId w:val="0"/>
        </w:numPr>
        <w:spacing w:after="0"/>
      </w:pPr>
      <w:r>
        <w:t xml:space="preserve">PROPOSAL </w:t>
      </w:r>
      <w:r w:rsidR="001804B8">
        <w:t xml:space="preserve">LR </w:t>
      </w:r>
      <w:r>
        <w:t>30</w:t>
      </w:r>
    </w:p>
    <w:p w14:paraId="4E9DF58B" w14:textId="28B4C5A5" w:rsidR="00EF021A" w:rsidRPr="00684E7D" w:rsidRDefault="00EF021A" w:rsidP="002619DD">
      <w:pPr>
        <w:keepNext/>
        <w:spacing w:after="0"/>
        <w:rPr>
          <w:b/>
        </w:rPr>
      </w:pPr>
      <w:r w:rsidRPr="00684E7D">
        <w:rPr>
          <w:b/>
        </w:rPr>
        <w:t xml:space="preserve">It is </w:t>
      </w:r>
      <w:r w:rsidR="00D940A3" w:rsidRPr="00684E7D">
        <w:rPr>
          <w:b/>
        </w:rPr>
        <w:t xml:space="preserve">proposed to amend Part 2.6 </w:t>
      </w:r>
      <w:r w:rsidR="00766754">
        <w:rPr>
          <w:b/>
        </w:rPr>
        <w:t xml:space="preserve">in relation to police DVOs </w:t>
      </w:r>
      <w:r w:rsidR="00D940A3" w:rsidRPr="00684E7D">
        <w:rPr>
          <w:b/>
        </w:rPr>
        <w:t>along the lines that:</w:t>
      </w:r>
    </w:p>
    <w:p w14:paraId="69A70A21" w14:textId="1328CAF9" w:rsidR="00766754" w:rsidRDefault="00057E69" w:rsidP="0067521E">
      <w:pPr>
        <w:pStyle w:val="ListParagraph"/>
        <w:numPr>
          <w:ilvl w:val="0"/>
          <w:numId w:val="151"/>
        </w:numPr>
        <w:spacing w:after="0" w:line="259" w:lineRule="auto"/>
        <w:ind w:left="567" w:hanging="567"/>
        <w:jc w:val="both"/>
        <w:rPr>
          <w:rFonts w:cs="Arial"/>
          <w:b/>
        </w:rPr>
      </w:pPr>
      <w:r w:rsidRPr="00684E7D">
        <w:rPr>
          <w:rFonts w:cs="Arial"/>
          <w:b/>
        </w:rPr>
        <w:t xml:space="preserve">On the first occasion a police DVO is </w:t>
      </w:r>
      <w:r w:rsidR="00766754">
        <w:rPr>
          <w:rFonts w:cs="Arial"/>
          <w:b/>
        </w:rPr>
        <w:t xml:space="preserve">before the </w:t>
      </w:r>
      <w:r w:rsidR="002619DD">
        <w:rPr>
          <w:rFonts w:cs="Arial"/>
          <w:b/>
        </w:rPr>
        <w:t>court</w:t>
      </w:r>
      <w:r w:rsidR="00766754">
        <w:rPr>
          <w:rFonts w:cs="Arial"/>
          <w:b/>
        </w:rPr>
        <w:t xml:space="preserve">, the </w:t>
      </w:r>
      <w:r w:rsidR="002619DD">
        <w:rPr>
          <w:rFonts w:cs="Arial"/>
          <w:b/>
        </w:rPr>
        <w:t xml:space="preserve">court </w:t>
      </w:r>
      <w:r w:rsidR="00766754">
        <w:rPr>
          <w:rFonts w:cs="Arial"/>
          <w:b/>
        </w:rPr>
        <w:t>may</w:t>
      </w:r>
      <w:r w:rsidRPr="00684E7D">
        <w:rPr>
          <w:rFonts w:cs="Arial"/>
          <w:b/>
        </w:rPr>
        <w:t xml:space="preserve"> consider whether the order should continue in the terms m</w:t>
      </w:r>
      <w:r w:rsidR="002619DD">
        <w:rPr>
          <w:rFonts w:cs="Arial"/>
          <w:b/>
        </w:rPr>
        <w:t>ade or with different terms.</w:t>
      </w:r>
    </w:p>
    <w:p w14:paraId="1CA81E88" w14:textId="2476A39B" w:rsidR="00057E69" w:rsidRPr="00766754" w:rsidRDefault="00057E69" w:rsidP="0067521E">
      <w:pPr>
        <w:pStyle w:val="ListParagraph"/>
        <w:numPr>
          <w:ilvl w:val="0"/>
          <w:numId w:val="151"/>
        </w:numPr>
        <w:spacing w:after="0" w:line="259" w:lineRule="auto"/>
        <w:ind w:left="567" w:hanging="567"/>
        <w:jc w:val="both"/>
        <w:rPr>
          <w:rFonts w:cs="Arial"/>
          <w:b/>
        </w:rPr>
      </w:pPr>
      <w:r w:rsidRPr="00766754">
        <w:rPr>
          <w:b/>
        </w:rPr>
        <w:t xml:space="preserve">The </w:t>
      </w:r>
      <w:r w:rsidR="002619DD" w:rsidRPr="00766754">
        <w:rPr>
          <w:b/>
        </w:rPr>
        <w:t xml:space="preserve">court </w:t>
      </w:r>
      <w:r w:rsidRPr="00766754">
        <w:rPr>
          <w:b/>
        </w:rPr>
        <w:t xml:space="preserve">may revoke a police DVO if the </w:t>
      </w:r>
      <w:r w:rsidR="002619DD" w:rsidRPr="00766754">
        <w:rPr>
          <w:b/>
        </w:rPr>
        <w:t xml:space="preserve">court </w:t>
      </w:r>
      <w:r w:rsidRPr="00766754">
        <w:rPr>
          <w:b/>
        </w:rPr>
        <w:t>believes that:</w:t>
      </w:r>
    </w:p>
    <w:p w14:paraId="78A81268" w14:textId="534B4083" w:rsidR="00057E69" w:rsidRPr="00684E7D" w:rsidRDefault="002619DD" w:rsidP="0067521E">
      <w:pPr>
        <w:pStyle w:val="ListParagraph"/>
        <w:numPr>
          <w:ilvl w:val="1"/>
          <w:numId w:val="151"/>
        </w:numPr>
        <w:spacing w:after="0" w:line="259" w:lineRule="auto"/>
        <w:ind w:left="1134"/>
        <w:rPr>
          <w:b/>
        </w:rPr>
      </w:pPr>
      <w:r w:rsidRPr="00684E7D">
        <w:rPr>
          <w:b/>
        </w:rPr>
        <w:t xml:space="preserve">there </w:t>
      </w:r>
      <w:r w:rsidR="00057E69" w:rsidRPr="00684E7D">
        <w:rPr>
          <w:b/>
        </w:rPr>
        <w:t xml:space="preserve">are no grounds for the DVO to be made, or </w:t>
      </w:r>
    </w:p>
    <w:p w14:paraId="62D7192A" w14:textId="2EF7E704" w:rsidR="001B67B3" w:rsidRDefault="002619DD" w:rsidP="0067521E">
      <w:pPr>
        <w:pStyle w:val="ListParagraph"/>
        <w:numPr>
          <w:ilvl w:val="1"/>
          <w:numId w:val="151"/>
        </w:numPr>
        <w:spacing w:after="0" w:line="259" w:lineRule="auto"/>
        <w:ind w:left="1134"/>
        <w:rPr>
          <w:b/>
        </w:rPr>
      </w:pPr>
      <w:r w:rsidRPr="00684E7D">
        <w:rPr>
          <w:b/>
        </w:rPr>
        <w:t xml:space="preserve">the </w:t>
      </w:r>
      <w:r w:rsidR="00057E69" w:rsidRPr="00684E7D">
        <w:rPr>
          <w:b/>
        </w:rPr>
        <w:t xml:space="preserve">making or variation of the </w:t>
      </w:r>
      <w:r w:rsidR="00B55954" w:rsidRPr="00684E7D">
        <w:rPr>
          <w:b/>
        </w:rPr>
        <w:t>order may be inappropriate given the objects of the Act</w:t>
      </w:r>
      <w:r w:rsidR="00057E69" w:rsidRPr="00684E7D">
        <w:rPr>
          <w:b/>
        </w:rPr>
        <w:t>.</w:t>
      </w:r>
    </w:p>
    <w:p w14:paraId="70ED43FC" w14:textId="75AA3E5D" w:rsidR="00A361B3" w:rsidRPr="00684E7D" w:rsidRDefault="00A361B3" w:rsidP="0067521E">
      <w:pPr>
        <w:pStyle w:val="ListParagraph"/>
        <w:numPr>
          <w:ilvl w:val="0"/>
          <w:numId w:val="151"/>
        </w:numPr>
        <w:spacing w:after="0" w:line="259" w:lineRule="auto"/>
        <w:ind w:left="567" w:hanging="567"/>
        <w:rPr>
          <w:b/>
        </w:rPr>
      </w:pPr>
      <w:r w:rsidRPr="00684E7D">
        <w:rPr>
          <w:b/>
        </w:rPr>
        <w:t>Add a note beneath this provision along the lines</w:t>
      </w:r>
      <w:r w:rsidR="002619DD">
        <w:rPr>
          <w:b/>
        </w:rPr>
        <w:t>:</w:t>
      </w:r>
    </w:p>
    <w:p w14:paraId="595611AF" w14:textId="3822B4B4" w:rsidR="00A361B3" w:rsidRPr="00766754" w:rsidRDefault="00A361B3" w:rsidP="002619DD">
      <w:pPr>
        <w:spacing w:after="0" w:line="259" w:lineRule="auto"/>
        <w:ind w:left="567"/>
        <w:rPr>
          <w:b/>
        </w:rPr>
      </w:pPr>
      <w:r w:rsidRPr="00766754">
        <w:rPr>
          <w:b/>
        </w:rPr>
        <w:t xml:space="preserve">An example </w:t>
      </w:r>
      <w:r w:rsidR="00B55954" w:rsidRPr="00766754">
        <w:rPr>
          <w:b/>
        </w:rPr>
        <w:t>of when making an order may be inappropriate given the objects of the Act, is if</w:t>
      </w:r>
      <w:r w:rsidRPr="00766754">
        <w:rPr>
          <w:b/>
        </w:rPr>
        <w:t xml:space="preserve"> the </w:t>
      </w:r>
      <w:r w:rsidR="002619DD" w:rsidRPr="00766754">
        <w:rPr>
          <w:b/>
        </w:rPr>
        <w:t xml:space="preserve">court </w:t>
      </w:r>
      <w:r w:rsidRPr="00766754">
        <w:rPr>
          <w:b/>
        </w:rPr>
        <w:t xml:space="preserve">believes that a victim of DFV has been named as a defendant in a DVO application and that making the order may </w:t>
      </w:r>
      <w:r w:rsidR="00B55954" w:rsidRPr="00766754">
        <w:rPr>
          <w:b/>
        </w:rPr>
        <w:t>expose the defendant to domestic violence and be contrary to their safety and protection.</w:t>
      </w:r>
    </w:p>
    <w:p w14:paraId="55F13938" w14:textId="1A22EFFD" w:rsidR="00057E69" w:rsidRPr="00684E7D" w:rsidRDefault="001B67B3" w:rsidP="0067521E">
      <w:pPr>
        <w:pStyle w:val="ListParagraph"/>
        <w:numPr>
          <w:ilvl w:val="0"/>
          <w:numId w:val="151"/>
        </w:numPr>
        <w:spacing w:after="0" w:line="259" w:lineRule="auto"/>
        <w:ind w:left="567" w:hanging="567"/>
        <w:rPr>
          <w:b/>
        </w:rPr>
      </w:pPr>
      <w:r w:rsidRPr="00684E7D">
        <w:rPr>
          <w:b/>
        </w:rPr>
        <w:t>To a</w:t>
      </w:r>
      <w:r w:rsidR="00386AC4">
        <w:rPr>
          <w:b/>
        </w:rPr>
        <w:t>void any doubt</w:t>
      </w:r>
      <w:r w:rsidR="002619DD">
        <w:rPr>
          <w:b/>
        </w:rPr>
        <w:t>,</w:t>
      </w:r>
      <w:r w:rsidR="00386AC4">
        <w:rPr>
          <w:b/>
        </w:rPr>
        <w:t xml:space="preserve"> </w:t>
      </w:r>
      <w:r w:rsidR="00057E69" w:rsidRPr="00684E7D">
        <w:rPr>
          <w:b/>
        </w:rPr>
        <w:t>a police DVO is in force until it is either:</w:t>
      </w:r>
    </w:p>
    <w:p w14:paraId="222D0099" w14:textId="16412D55" w:rsidR="00057E69" w:rsidRPr="00684E7D" w:rsidRDefault="00057E69" w:rsidP="0067521E">
      <w:pPr>
        <w:pStyle w:val="ListParagraph"/>
        <w:numPr>
          <w:ilvl w:val="1"/>
          <w:numId w:val="151"/>
        </w:numPr>
        <w:spacing w:after="0" w:line="259" w:lineRule="auto"/>
        <w:ind w:left="1134"/>
        <w:rPr>
          <w:b/>
        </w:rPr>
      </w:pPr>
      <w:r w:rsidRPr="00684E7D">
        <w:rPr>
          <w:b/>
        </w:rPr>
        <w:t xml:space="preserve">confirmed under Part 2.10 when it becomes a </w:t>
      </w:r>
      <w:r w:rsidR="002619DD" w:rsidRPr="00684E7D">
        <w:rPr>
          <w:b/>
        </w:rPr>
        <w:t xml:space="preserve">court </w:t>
      </w:r>
      <w:r w:rsidRPr="00684E7D">
        <w:rPr>
          <w:b/>
        </w:rPr>
        <w:t>DVO, or</w:t>
      </w:r>
    </w:p>
    <w:p w14:paraId="337CAC99" w14:textId="6449712C" w:rsidR="00057E69" w:rsidRPr="00684E7D" w:rsidRDefault="00057E69" w:rsidP="0067521E">
      <w:pPr>
        <w:pStyle w:val="ListParagraph"/>
        <w:numPr>
          <w:ilvl w:val="1"/>
          <w:numId w:val="151"/>
        </w:numPr>
        <w:spacing w:after="0" w:line="259" w:lineRule="auto"/>
        <w:ind w:left="1134"/>
        <w:rPr>
          <w:b/>
        </w:rPr>
      </w:pPr>
      <w:r w:rsidRPr="00684E7D">
        <w:rPr>
          <w:b/>
        </w:rPr>
        <w:t xml:space="preserve">varied by the </w:t>
      </w:r>
      <w:r w:rsidR="002619DD" w:rsidRPr="00684E7D">
        <w:rPr>
          <w:b/>
        </w:rPr>
        <w:t xml:space="preserve">court </w:t>
      </w:r>
      <w:r w:rsidR="00B55954" w:rsidRPr="00684E7D">
        <w:rPr>
          <w:b/>
        </w:rPr>
        <w:t>in accordance with 2.8</w:t>
      </w:r>
      <w:r w:rsidRPr="00684E7D">
        <w:rPr>
          <w:b/>
        </w:rPr>
        <w:t xml:space="preserve">, or </w:t>
      </w:r>
    </w:p>
    <w:p w14:paraId="50F63A34" w14:textId="29C1B5B7" w:rsidR="00746664" w:rsidRPr="00684E7D" w:rsidRDefault="00057E69" w:rsidP="0067521E">
      <w:pPr>
        <w:pStyle w:val="ListParagraph"/>
        <w:numPr>
          <w:ilvl w:val="1"/>
          <w:numId w:val="151"/>
        </w:numPr>
        <w:spacing w:after="0" w:line="259" w:lineRule="auto"/>
        <w:ind w:left="1134"/>
        <w:rPr>
          <w:b/>
        </w:rPr>
      </w:pPr>
      <w:r w:rsidRPr="00684E7D">
        <w:rPr>
          <w:b/>
        </w:rPr>
        <w:t xml:space="preserve">it is </w:t>
      </w:r>
      <w:r w:rsidR="00B55954" w:rsidRPr="00684E7D">
        <w:rPr>
          <w:b/>
        </w:rPr>
        <w:t>revoked, or</w:t>
      </w:r>
    </w:p>
    <w:p w14:paraId="0764EFF2" w14:textId="27CFB921" w:rsidR="00B55954" w:rsidRPr="00684E7D" w:rsidRDefault="00B55954" w:rsidP="0067521E">
      <w:pPr>
        <w:pStyle w:val="ListParagraph"/>
        <w:numPr>
          <w:ilvl w:val="1"/>
          <w:numId w:val="151"/>
        </w:numPr>
        <w:spacing w:after="0" w:line="259" w:lineRule="auto"/>
        <w:ind w:left="1134"/>
        <w:rPr>
          <w:b/>
        </w:rPr>
      </w:pPr>
      <w:r w:rsidRPr="00684E7D">
        <w:rPr>
          <w:b/>
        </w:rPr>
        <w:t>set aside on appeal.</w:t>
      </w:r>
    </w:p>
    <w:p w14:paraId="1123C7D1" w14:textId="6274EE08" w:rsidR="00057E69" w:rsidRPr="00684E7D" w:rsidRDefault="00746664" w:rsidP="0067521E">
      <w:pPr>
        <w:pStyle w:val="ListParagraph"/>
        <w:numPr>
          <w:ilvl w:val="0"/>
          <w:numId w:val="151"/>
        </w:numPr>
        <w:spacing w:after="0" w:line="259" w:lineRule="auto"/>
        <w:ind w:left="567" w:hanging="567"/>
        <w:rPr>
          <w:b/>
        </w:rPr>
      </w:pPr>
      <w:r w:rsidRPr="00684E7D">
        <w:rPr>
          <w:b/>
        </w:rPr>
        <w:t>Amend section 43(2) to require the police to also give an explanation of the order to the protected person</w:t>
      </w:r>
      <w:r w:rsidR="00183FE5">
        <w:rPr>
          <w:b/>
        </w:rPr>
        <w:t>.</w:t>
      </w:r>
    </w:p>
    <w:p w14:paraId="24B5581F" w14:textId="7028F824" w:rsidR="000D6920" w:rsidRPr="00684E7D" w:rsidRDefault="00183FE5" w:rsidP="002619DD">
      <w:pPr>
        <w:spacing w:after="0" w:line="259" w:lineRule="auto"/>
        <w:rPr>
          <w:b/>
        </w:rPr>
      </w:pPr>
      <w:r>
        <w:rPr>
          <w:b/>
        </w:rPr>
        <w:t xml:space="preserve">It is further proposed to amend </w:t>
      </w:r>
      <w:r w:rsidR="002619DD">
        <w:rPr>
          <w:b/>
        </w:rPr>
        <w:t xml:space="preserve">Part </w:t>
      </w:r>
      <w:r>
        <w:rPr>
          <w:b/>
        </w:rPr>
        <w:t>2.6</w:t>
      </w:r>
      <w:r w:rsidR="000D6920" w:rsidRPr="00684E7D">
        <w:rPr>
          <w:b/>
        </w:rPr>
        <w:t xml:space="preserve"> </w:t>
      </w:r>
      <w:r w:rsidR="00057E69" w:rsidRPr="00684E7D">
        <w:rPr>
          <w:b/>
        </w:rPr>
        <w:t>to</w:t>
      </w:r>
      <w:r w:rsidR="000D6920" w:rsidRPr="00684E7D">
        <w:rPr>
          <w:b/>
        </w:rPr>
        <w:t>:</w:t>
      </w:r>
    </w:p>
    <w:p w14:paraId="5C0263C5" w14:textId="4F859DEA" w:rsidR="000D6920" w:rsidRPr="00684E7D" w:rsidRDefault="002619DD" w:rsidP="0067521E">
      <w:pPr>
        <w:pStyle w:val="ListParagraph"/>
        <w:numPr>
          <w:ilvl w:val="0"/>
          <w:numId w:val="90"/>
        </w:numPr>
        <w:spacing w:after="0" w:line="259" w:lineRule="auto"/>
        <w:ind w:left="567" w:hanging="567"/>
        <w:rPr>
          <w:b/>
        </w:rPr>
      </w:pPr>
      <w:r w:rsidRPr="00684E7D">
        <w:rPr>
          <w:b/>
        </w:rPr>
        <w:t xml:space="preserve">avoid </w:t>
      </w:r>
      <w:r w:rsidR="00057E69" w:rsidRPr="00684E7D">
        <w:rPr>
          <w:b/>
        </w:rPr>
        <w:t>any doubt that a police DVO may be made when police are consider</w:t>
      </w:r>
      <w:r w:rsidR="000D6920" w:rsidRPr="00684E7D">
        <w:rPr>
          <w:b/>
        </w:rPr>
        <w:t>ing releasing a person on bail; and</w:t>
      </w:r>
    </w:p>
    <w:p w14:paraId="62BA537B" w14:textId="2D5DB511" w:rsidR="00D940A3" w:rsidRPr="00684E7D" w:rsidRDefault="002619DD" w:rsidP="0067521E">
      <w:pPr>
        <w:pStyle w:val="ListParagraph"/>
        <w:numPr>
          <w:ilvl w:val="0"/>
          <w:numId w:val="90"/>
        </w:numPr>
        <w:spacing w:after="200" w:line="259" w:lineRule="auto"/>
        <w:ind w:left="567" w:hanging="567"/>
        <w:rPr>
          <w:b/>
        </w:rPr>
      </w:pPr>
      <w:r w:rsidRPr="00684E7D">
        <w:rPr>
          <w:b/>
        </w:rPr>
        <w:t xml:space="preserve">the </w:t>
      </w:r>
      <w:r w:rsidR="000D6920" w:rsidRPr="00684E7D">
        <w:rPr>
          <w:b/>
        </w:rPr>
        <w:t>bail decision maker must</w:t>
      </w:r>
      <w:r w:rsidR="00057E69" w:rsidRPr="00684E7D">
        <w:rPr>
          <w:b/>
        </w:rPr>
        <w:t xml:space="preserve"> ensure that the bail conditions and the DVO conditions are not inconsistent.</w:t>
      </w:r>
    </w:p>
    <w:p w14:paraId="21218A80" w14:textId="321BA42C" w:rsidR="001B67B3" w:rsidRPr="00EF021A" w:rsidRDefault="000A7160" w:rsidP="001B67B3">
      <w:r>
        <w:t xml:space="preserve">This is consistent with the proposed amendments to the </w:t>
      </w:r>
      <w:r w:rsidRPr="000A7160">
        <w:rPr>
          <w:i/>
        </w:rPr>
        <w:t>Bail Act 1982</w:t>
      </w:r>
      <w:r>
        <w:t xml:space="preserve">, </w:t>
      </w:r>
      <w:r w:rsidRPr="002619DD">
        <w:t xml:space="preserve">outlined in </w:t>
      </w:r>
      <w:r w:rsidR="002619DD" w:rsidRPr="002619DD">
        <w:t xml:space="preserve">Part </w:t>
      </w:r>
      <w:r w:rsidR="00B55954" w:rsidRPr="002619DD">
        <w:t>5.2</w:t>
      </w:r>
      <w:r>
        <w:t xml:space="preserve"> below. </w:t>
      </w:r>
    </w:p>
    <w:p w14:paraId="55F46587" w14:textId="77777777" w:rsidR="002619DD" w:rsidRDefault="002619DD">
      <w:pPr>
        <w:rPr>
          <w:rFonts w:asciiTheme="majorHAnsi" w:hAnsiTheme="majorHAnsi" w:cs="Arial"/>
          <w:bCs/>
          <w:color w:val="1F1F5F" w:themeColor="text1"/>
          <w:sz w:val="28"/>
          <w:szCs w:val="28"/>
          <w:lang w:eastAsia="en-AU"/>
        </w:rPr>
      </w:pPr>
      <w:r>
        <w:rPr>
          <w:lang w:eastAsia="en-AU"/>
        </w:rPr>
        <w:br w:type="page"/>
      </w:r>
    </w:p>
    <w:p w14:paraId="1ECB0ACC" w14:textId="6726C8DB" w:rsidR="00C4709B" w:rsidRDefault="00C4709B" w:rsidP="002619DD">
      <w:pPr>
        <w:pStyle w:val="Heading3"/>
        <w:keepNext/>
        <w:rPr>
          <w:lang w:eastAsia="en-AU"/>
        </w:rPr>
      </w:pPr>
      <w:bookmarkStart w:id="61" w:name="_Toc112051848"/>
      <w:r>
        <w:rPr>
          <w:lang w:eastAsia="en-AU"/>
        </w:rPr>
        <w:lastRenderedPageBreak/>
        <w:t>DVOs made by courts in criminal proceedings</w:t>
      </w:r>
      <w:bookmarkEnd w:id="61"/>
    </w:p>
    <w:p w14:paraId="21AFE6E3" w14:textId="32E8CEC0" w:rsidR="001420D3" w:rsidRPr="001420D3" w:rsidRDefault="001420D3" w:rsidP="002619DD">
      <w:pPr>
        <w:spacing w:after="120"/>
        <w:rPr>
          <w:lang w:eastAsia="en-AU"/>
        </w:rPr>
      </w:pPr>
      <w:r w:rsidRPr="001420D3">
        <w:rPr>
          <w:lang w:eastAsia="en-AU"/>
        </w:rPr>
        <w:t>Often DVO applications travel with related criminal proceeding</w:t>
      </w:r>
      <w:r>
        <w:rPr>
          <w:lang w:eastAsia="en-AU"/>
        </w:rPr>
        <w:t>s, and after</w:t>
      </w:r>
      <w:r w:rsidRPr="001420D3">
        <w:rPr>
          <w:lang w:eastAsia="en-AU"/>
        </w:rPr>
        <w:t xml:space="preserve"> a person has </w:t>
      </w:r>
      <w:r>
        <w:rPr>
          <w:lang w:eastAsia="en-AU"/>
        </w:rPr>
        <w:t xml:space="preserve">been found guilty of the criminal offence, or entered a plea of guilt, the </w:t>
      </w:r>
      <w:r w:rsidR="002619DD">
        <w:rPr>
          <w:lang w:eastAsia="en-AU"/>
        </w:rPr>
        <w:t xml:space="preserve">court </w:t>
      </w:r>
      <w:r>
        <w:rPr>
          <w:lang w:eastAsia="en-AU"/>
        </w:rPr>
        <w:t xml:space="preserve">makes a DVO. </w:t>
      </w:r>
      <w:r w:rsidR="002619DD">
        <w:rPr>
          <w:lang w:eastAsia="en-AU"/>
        </w:rPr>
        <w:t xml:space="preserve"> </w:t>
      </w:r>
      <w:r>
        <w:rPr>
          <w:lang w:eastAsia="en-AU"/>
        </w:rPr>
        <w:t>If a DVO is already in place</w:t>
      </w:r>
      <w:r w:rsidR="002619DD">
        <w:rPr>
          <w:lang w:eastAsia="en-AU"/>
        </w:rPr>
        <w:t>,</w:t>
      </w:r>
      <w:r>
        <w:rPr>
          <w:lang w:eastAsia="en-AU"/>
        </w:rPr>
        <w:t xml:space="preserve"> the </w:t>
      </w:r>
      <w:r w:rsidR="002619DD">
        <w:rPr>
          <w:lang w:eastAsia="en-AU"/>
        </w:rPr>
        <w:t xml:space="preserve">court </w:t>
      </w:r>
      <w:r>
        <w:rPr>
          <w:lang w:eastAsia="en-AU"/>
        </w:rPr>
        <w:t xml:space="preserve">may vary the existing DVO. </w:t>
      </w:r>
      <w:r w:rsidR="002619DD">
        <w:rPr>
          <w:lang w:eastAsia="en-AU"/>
        </w:rPr>
        <w:t xml:space="preserve"> </w:t>
      </w:r>
      <w:r>
        <w:rPr>
          <w:lang w:eastAsia="en-AU"/>
        </w:rPr>
        <w:t>This prevents the</w:t>
      </w:r>
      <w:r w:rsidR="00350EBC">
        <w:rPr>
          <w:lang w:eastAsia="en-AU"/>
        </w:rPr>
        <w:t xml:space="preserve"> need for additional civil</w:t>
      </w:r>
      <w:r>
        <w:rPr>
          <w:lang w:eastAsia="en-AU"/>
        </w:rPr>
        <w:t xml:space="preserve"> proceedings which may add to the stress and trauma of the victim. </w:t>
      </w:r>
      <w:r w:rsidR="002619DD">
        <w:rPr>
          <w:lang w:eastAsia="en-AU"/>
        </w:rPr>
        <w:t xml:space="preserve"> </w:t>
      </w:r>
      <w:r>
        <w:rPr>
          <w:lang w:eastAsia="en-AU"/>
        </w:rPr>
        <w:t>Section 45 provides:</w:t>
      </w:r>
    </w:p>
    <w:p w14:paraId="596B108E" w14:textId="519007FF" w:rsidR="001420D3" w:rsidRPr="002619DD" w:rsidRDefault="001420D3" w:rsidP="002619DD">
      <w:pPr>
        <w:pStyle w:val="NewSectionHeading"/>
        <w:keepNext w:val="0"/>
        <w:keepLines w:val="0"/>
        <w:spacing w:after="120"/>
        <w:ind w:hanging="532"/>
        <w:rPr>
          <w:rFonts w:asciiTheme="minorHAnsi" w:hAnsiTheme="minorHAnsi"/>
          <w:sz w:val="22"/>
          <w:szCs w:val="22"/>
        </w:rPr>
      </w:pPr>
      <w:r w:rsidRPr="002619DD">
        <w:rPr>
          <w:rFonts w:asciiTheme="minorHAnsi" w:hAnsiTheme="minorHAnsi"/>
          <w:sz w:val="22"/>
          <w:szCs w:val="22"/>
        </w:rPr>
        <w:t>Power of court if person guilty of related offence</w:t>
      </w:r>
    </w:p>
    <w:p w14:paraId="5D3F08E0" w14:textId="698B76C5" w:rsidR="001420D3" w:rsidRPr="002619DD" w:rsidRDefault="001420D3" w:rsidP="002619DD">
      <w:pPr>
        <w:pStyle w:val="Subsection"/>
        <w:tabs>
          <w:tab w:val="clear" w:pos="902"/>
        </w:tabs>
        <w:spacing w:after="120"/>
        <w:ind w:hanging="533"/>
        <w:rPr>
          <w:rFonts w:asciiTheme="minorHAnsi" w:hAnsiTheme="minorHAnsi"/>
          <w:sz w:val="22"/>
          <w:szCs w:val="22"/>
        </w:rPr>
      </w:pPr>
      <w:r w:rsidRPr="002619DD">
        <w:rPr>
          <w:rFonts w:asciiTheme="minorHAnsi" w:hAnsiTheme="minorHAnsi"/>
          <w:sz w:val="22"/>
          <w:szCs w:val="22"/>
        </w:rPr>
        <w:t>(1)</w:t>
      </w:r>
      <w:r w:rsidRPr="002619DD">
        <w:rPr>
          <w:rFonts w:asciiTheme="minorHAnsi" w:hAnsiTheme="minorHAnsi"/>
          <w:sz w:val="22"/>
          <w:szCs w:val="22"/>
        </w:rPr>
        <w:tab/>
        <w:t>A court before which a person pleads guilty to, or is found guilty of, an offence that involves domestic violence may make a domestic violence order under this Part against the person if it is satisfied a Local Court DVO could be made against the person.</w:t>
      </w:r>
    </w:p>
    <w:p w14:paraId="564470E2" w14:textId="71815B42" w:rsidR="001420D3" w:rsidRPr="002619DD" w:rsidRDefault="001420D3" w:rsidP="002619DD">
      <w:pPr>
        <w:pStyle w:val="Subsection"/>
        <w:tabs>
          <w:tab w:val="clear" w:pos="902"/>
        </w:tabs>
        <w:spacing w:after="120"/>
        <w:ind w:hanging="533"/>
        <w:rPr>
          <w:rFonts w:asciiTheme="minorHAnsi" w:hAnsiTheme="minorHAnsi"/>
          <w:sz w:val="22"/>
          <w:szCs w:val="22"/>
        </w:rPr>
      </w:pPr>
      <w:r w:rsidRPr="002619DD">
        <w:rPr>
          <w:rFonts w:asciiTheme="minorHAnsi" w:hAnsiTheme="minorHAnsi"/>
          <w:sz w:val="22"/>
          <w:szCs w:val="22"/>
        </w:rPr>
        <w:t>(2)</w:t>
      </w:r>
      <w:r w:rsidRPr="002619DD">
        <w:rPr>
          <w:rFonts w:asciiTheme="minorHAnsi" w:hAnsiTheme="minorHAnsi"/>
          <w:sz w:val="22"/>
          <w:szCs w:val="22"/>
        </w:rPr>
        <w:tab/>
        <w:t>The court may make the order on its own initiative or on application by the prosecutor.</w:t>
      </w:r>
    </w:p>
    <w:p w14:paraId="1AAB8371" w14:textId="1DE9793D" w:rsidR="001420D3" w:rsidRPr="002619DD" w:rsidRDefault="001420D3" w:rsidP="002619DD">
      <w:pPr>
        <w:pStyle w:val="Subsection"/>
        <w:tabs>
          <w:tab w:val="clear" w:pos="902"/>
        </w:tabs>
        <w:spacing w:after="120"/>
        <w:ind w:hanging="533"/>
        <w:rPr>
          <w:rFonts w:asciiTheme="minorHAnsi" w:hAnsiTheme="minorHAnsi"/>
          <w:sz w:val="22"/>
          <w:szCs w:val="22"/>
        </w:rPr>
      </w:pPr>
      <w:r w:rsidRPr="002619DD">
        <w:rPr>
          <w:rFonts w:asciiTheme="minorHAnsi" w:hAnsiTheme="minorHAnsi"/>
          <w:sz w:val="22"/>
          <w:szCs w:val="22"/>
        </w:rPr>
        <w:t>(3)</w:t>
      </w:r>
      <w:r w:rsidRPr="002619DD">
        <w:rPr>
          <w:rFonts w:asciiTheme="minorHAnsi" w:hAnsiTheme="minorHAnsi"/>
          <w:sz w:val="22"/>
          <w:szCs w:val="22"/>
        </w:rPr>
        <w:tab/>
        <w:t>If a DVO is already in force against the person, the court:</w:t>
      </w:r>
    </w:p>
    <w:p w14:paraId="40DE4AC3" w14:textId="77777777" w:rsidR="001420D3" w:rsidRPr="002619DD" w:rsidRDefault="001420D3" w:rsidP="002619DD">
      <w:pPr>
        <w:pStyle w:val="Paragraph"/>
        <w:spacing w:after="120"/>
        <w:rPr>
          <w:rFonts w:asciiTheme="minorHAnsi" w:hAnsiTheme="minorHAnsi"/>
          <w:sz w:val="22"/>
          <w:szCs w:val="22"/>
        </w:rPr>
      </w:pPr>
      <w:r w:rsidRPr="002619DD">
        <w:rPr>
          <w:rFonts w:asciiTheme="minorHAnsi" w:hAnsiTheme="minorHAnsi"/>
          <w:sz w:val="22"/>
          <w:szCs w:val="22"/>
        </w:rPr>
        <w:t>(a)</w:t>
      </w:r>
      <w:r w:rsidRPr="002619DD">
        <w:rPr>
          <w:rFonts w:asciiTheme="minorHAnsi" w:hAnsiTheme="minorHAnsi"/>
          <w:sz w:val="22"/>
          <w:szCs w:val="22"/>
        </w:rPr>
        <w:tab/>
        <w:t>must consider the DVO and whether, in the circumstances, the DVO needs to be varied, including, for example, by varying the date the DVO ends; and</w:t>
      </w:r>
    </w:p>
    <w:p w14:paraId="2AE6E3F9" w14:textId="77777777" w:rsidR="001420D3" w:rsidRPr="002619DD" w:rsidRDefault="001420D3" w:rsidP="002619DD">
      <w:pPr>
        <w:pStyle w:val="Paragraph"/>
        <w:spacing w:after="120"/>
        <w:rPr>
          <w:rFonts w:asciiTheme="minorHAnsi" w:hAnsiTheme="minorHAnsi"/>
          <w:sz w:val="22"/>
          <w:szCs w:val="22"/>
        </w:rPr>
      </w:pPr>
      <w:r w:rsidRPr="002619DD">
        <w:rPr>
          <w:rFonts w:asciiTheme="minorHAnsi" w:hAnsiTheme="minorHAnsi"/>
          <w:sz w:val="22"/>
          <w:szCs w:val="22"/>
        </w:rPr>
        <w:t>(b)</w:t>
      </w:r>
      <w:r w:rsidRPr="002619DD">
        <w:rPr>
          <w:rFonts w:asciiTheme="minorHAnsi" w:hAnsiTheme="minorHAnsi"/>
          <w:sz w:val="22"/>
          <w:szCs w:val="22"/>
        </w:rPr>
        <w:tab/>
        <w:t>may vary the DVO if the court considers it needs to be varied.</w:t>
      </w:r>
    </w:p>
    <w:p w14:paraId="0C17D875" w14:textId="485F4181" w:rsidR="001420D3" w:rsidRPr="002619DD" w:rsidRDefault="001420D3" w:rsidP="002619DD">
      <w:pPr>
        <w:pStyle w:val="Subsection"/>
        <w:tabs>
          <w:tab w:val="clear" w:pos="902"/>
        </w:tabs>
        <w:spacing w:after="200"/>
        <w:ind w:hanging="533"/>
        <w:rPr>
          <w:rFonts w:asciiTheme="minorHAnsi" w:hAnsiTheme="minorHAnsi" w:cs="Times-Roman"/>
          <w:sz w:val="22"/>
          <w:szCs w:val="22"/>
        </w:rPr>
      </w:pPr>
      <w:r w:rsidRPr="002619DD">
        <w:rPr>
          <w:rFonts w:asciiTheme="minorHAnsi" w:hAnsiTheme="minorHAnsi"/>
          <w:sz w:val="22"/>
          <w:szCs w:val="22"/>
        </w:rPr>
        <w:t>(4)</w:t>
      </w:r>
      <w:r w:rsidRPr="002619DD">
        <w:rPr>
          <w:rFonts w:asciiTheme="minorHAnsi" w:hAnsiTheme="minorHAnsi"/>
          <w:sz w:val="22"/>
          <w:szCs w:val="22"/>
        </w:rPr>
        <w:tab/>
        <w:t xml:space="preserve">This section applies whether or not the court makes another </w:t>
      </w:r>
      <w:r w:rsidRPr="002619DD">
        <w:rPr>
          <w:rFonts w:asciiTheme="minorHAnsi" w:hAnsiTheme="minorHAnsi" w:cs="Times-Roman"/>
          <w:sz w:val="22"/>
          <w:szCs w:val="22"/>
        </w:rPr>
        <w:t xml:space="preserve">order in relation to the </w:t>
      </w:r>
      <w:r w:rsidRPr="002619DD">
        <w:rPr>
          <w:rFonts w:asciiTheme="minorHAnsi" w:hAnsiTheme="minorHAnsi"/>
          <w:sz w:val="22"/>
          <w:szCs w:val="22"/>
        </w:rPr>
        <w:t>person</w:t>
      </w:r>
      <w:r w:rsidR="00350EBC" w:rsidRPr="002619DD">
        <w:rPr>
          <w:rFonts w:asciiTheme="minorHAnsi" w:hAnsiTheme="minorHAnsi" w:cs="Times-Roman"/>
          <w:sz w:val="22"/>
          <w:szCs w:val="22"/>
        </w:rPr>
        <w:t>.</w:t>
      </w:r>
    </w:p>
    <w:p w14:paraId="21105617" w14:textId="77FCF4DB" w:rsidR="00913B14" w:rsidRPr="004346D4" w:rsidRDefault="00233440" w:rsidP="002619DD">
      <w:pPr>
        <w:rPr>
          <w:lang w:eastAsia="en-AU"/>
        </w:rPr>
      </w:pPr>
      <w:r w:rsidRPr="00233440">
        <w:rPr>
          <w:lang w:eastAsia="en-AU"/>
        </w:rPr>
        <w:t xml:space="preserve">In </w:t>
      </w:r>
      <w:r w:rsidRPr="00F86F63">
        <w:rPr>
          <w:i/>
          <w:lang w:eastAsia="en-AU"/>
        </w:rPr>
        <w:t>Arnott v Beams and Anor</w:t>
      </w:r>
      <w:r w:rsidR="002619DD">
        <w:rPr>
          <w:i/>
          <w:lang w:eastAsia="en-AU"/>
        </w:rPr>
        <w:t>,</w:t>
      </w:r>
      <w:r>
        <w:rPr>
          <w:lang w:eastAsia="en-AU"/>
        </w:rPr>
        <w:t xml:space="preserve"> t</w:t>
      </w:r>
      <w:r w:rsidR="001420D3" w:rsidRPr="004346D4">
        <w:rPr>
          <w:lang w:eastAsia="en-AU"/>
        </w:rPr>
        <w:t xml:space="preserve">he NT Supreme Court </w:t>
      </w:r>
      <w:r w:rsidR="00913B14" w:rsidRPr="004346D4">
        <w:rPr>
          <w:lang w:eastAsia="en-AU"/>
        </w:rPr>
        <w:t xml:space="preserve">held </w:t>
      </w:r>
      <w:r w:rsidR="005A0387">
        <w:rPr>
          <w:lang w:eastAsia="en-AU"/>
        </w:rPr>
        <w:t xml:space="preserve">that a </w:t>
      </w:r>
      <w:r w:rsidR="002619DD">
        <w:rPr>
          <w:lang w:eastAsia="en-AU"/>
        </w:rPr>
        <w:t xml:space="preserve">court </w:t>
      </w:r>
      <w:r w:rsidR="005A0387">
        <w:rPr>
          <w:lang w:eastAsia="en-AU"/>
        </w:rPr>
        <w:t xml:space="preserve">can </w:t>
      </w:r>
      <w:r w:rsidR="00913B14" w:rsidRPr="004346D4">
        <w:rPr>
          <w:lang w:eastAsia="en-AU"/>
        </w:rPr>
        <w:t xml:space="preserve">vary a </w:t>
      </w:r>
      <w:r w:rsidR="002619DD" w:rsidRPr="004346D4">
        <w:rPr>
          <w:lang w:eastAsia="en-AU"/>
        </w:rPr>
        <w:t xml:space="preserve">police </w:t>
      </w:r>
      <w:r w:rsidR="002619DD">
        <w:rPr>
          <w:lang w:eastAsia="en-AU"/>
        </w:rPr>
        <w:t>DVO under section </w:t>
      </w:r>
      <w:r w:rsidR="00913B14" w:rsidRPr="004346D4">
        <w:rPr>
          <w:lang w:eastAsia="en-AU"/>
        </w:rPr>
        <w:t xml:space="preserve">45 but cannot confirm the </w:t>
      </w:r>
      <w:r w:rsidR="002619DD" w:rsidRPr="004346D4">
        <w:rPr>
          <w:lang w:eastAsia="en-AU"/>
        </w:rPr>
        <w:t xml:space="preserve">police </w:t>
      </w:r>
      <w:r w:rsidR="00913B14" w:rsidRPr="004346D4">
        <w:rPr>
          <w:lang w:eastAsia="en-AU"/>
        </w:rPr>
        <w:t xml:space="preserve">DVO </w:t>
      </w:r>
      <w:r w:rsidR="00D55AAF">
        <w:rPr>
          <w:lang w:eastAsia="en-AU"/>
        </w:rPr>
        <w:t>making it a f</w:t>
      </w:r>
      <w:r w:rsidR="005A0387">
        <w:rPr>
          <w:lang w:eastAsia="en-AU"/>
        </w:rPr>
        <w:t xml:space="preserve">inal DVO </w:t>
      </w:r>
      <w:r w:rsidR="00913B14" w:rsidRPr="004346D4">
        <w:rPr>
          <w:lang w:eastAsia="en-AU"/>
        </w:rPr>
        <w:t>unless the requirements of P</w:t>
      </w:r>
      <w:r w:rsidR="002619DD">
        <w:rPr>
          <w:lang w:eastAsia="en-AU"/>
        </w:rPr>
        <w:t>art </w:t>
      </w:r>
      <w:r w:rsidR="001420D3" w:rsidRPr="004346D4">
        <w:rPr>
          <w:lang w:eastAsia="en-AU"/>
        </w:rPr>
        <w:t xml:space="preserve">2.10 have been met, that is, the defendant has been given a copy of the DVO and the </w:t>
      </w:r>
      <w:r w:rsidR="002619DD" w:rsidRPr="004346D4">
        <w:rPr>
          <w:lang w:eastAsia="en-AU"/>
        </w:rPr>
        <w:t xml:space="preserve">court </w:t>
      </w:r>
      <w:r w:rsidR="001420D3" w:rsidRPr="004346D4">
        <w:rPr>
          <w:lang w:eastAsia="en-AU"/>
        </w:rPr>
        <w:t>has considered any evidence or submissions from the parties.</w:t>
      </w:r>
      <w:r w:rsidR="00913B14" w:rsidRPr="004346D4">
        <w:rPr>
          <w:rStyle w:val="FootnoteReference"/>
          <w:lang w:eastAsia="en-AU"/>
        </w:rPr>
        <w:footnoteReference w:id="178"/>
      </w:r>
      <w:r w:rsidR="001420D3" w:rsidRPr="004346D4">
        <w:rPr>
          <w:lang w:eastAsia="en-AU"/>
        </w:rPr>
        <w:t xml:space="preserve"> </w:t>
      </w:r>
    </w:p>
    <w:p w14:paraId="416178F8" w14:textId="5EC11660" w:rsidR="00D55AAF" w:rsidRDefault="00F86F63" w:rsidP="002619DD">
      <w:pPr>
        <w:rPr>
          <w:lang w:eastAsia="en-AU"/>
        </w:rPr>
      </w:pPr>
      <w:r>
        <w:rPr>
          <w:lang w:eastAsia="en-AU"/>
        </w:rPr>
        <w:t>Stakeholders have suggest</w:t>
      </w:r>
      <w:r w:rsidR="004346D4">
        <w:rPr>
          <w:lang w:eastAsia="en-AU"/>
        </w:rPr>
        <w:t>ed that section 45 requires urgent amendmen</w:t>
      </w:r>
      <w:r w:rsidR="00D55AAF">
        <w:rPr>
          <w:lang w:eastAsia="en-AU"/>
        </w:rPr>
        <w:t xml:space="preserve">t, as this decision creates practical </w:t>
      </w:r>
      <w:r w:rsidR="00233440">
        <w:rPr>
          <w:lang w:eastAsia="en-AU"/>
        </w:rPr>
        <w:t>difficulties and inconsistences and may create added stress for victims.</w:t>
      </w:r>
    </w:p>
    <w:p w14:paraId="1A551B36" w14:textId="0E4C59BB" w:rsidR="00D55AAF" w:rsidRDefault="00386AC4" w:rsidP="002619DD">
      <w:pPr>
        <w:spacing w:after="120"/>
        <w:rPr>
          <w:lang w:eastAsia="en-AU"/>
        </w:rPr>
      </w:pPr>
      <w:r>
        <w:rPr>
          <w:lang w:eastAsia="en-AU"/>
        </w:rPr>
        <w:t>An implication of</w:t>
      </w:r>
      <w:r w:rsidR="00350EBC">
        <w:rPr>
          <w:lang w:eastAsia="en-AU"/>
        </w:rPr>
        <w:t xml:space="preserve"> the decision in </w:t>
      </w:r>
      <w:r w:rsidR="00350EBC" w:rsidRPr="00F86F63">
        <w:rPr>
          <w:i/>
          <w:lang w:eastAsia="en-AU"/>
        </w:rPr>
        <w:t>Arnott v Beams and Anor</w:t>
      </w:r>
      <w:r w:rsidR="00350EBC">
        <w:rPr>
          <w:lang w:eastAsia="en-AU"/>
        </w:rPr>
        <w:t xml:space="preserve"> </w:t>
      </w:r>
      <w:r>
        <w:rPr>
          <w:lang w:eastAsia="en-AU"/>
        </w:rPr>
        <w:t xml:space="preserve">is that </w:t>
      </w:r>
      <w:r w:rsidR="00350EBC">
        <w:rPr>
          <w:lang w:eastAsia="en-AU"/>
        </w:rPr>
        <w:t>t</w:t>
      </w:r>
      <w:r w:rsidR="00D55AAF">
        <w:rPr>
          <w:lang w:eastAsia="en-AU"/>
        </w:rPr>
        <w:t xml:space="preserve">he </w:t>
      </w:r>
      <w:r w:rsidR="002619DD">
        <w:rPr>
          <w:lang w:eastAsia="en-AU"/>
        </w:rPr>
        <w:t xml:space="preserve">court </w:t>
      </w:r>
      <w:r w:rsidR="00D55AAF">
        <w:rPr>
          <w:lang w:eastAsia="en-AU"/>
        </w:rPr>
        <w:t>can make a DVO</w:t>
      </w:r>
      <w:r w:rsidR="00350EBC">
        <w:rPr>
          <w:lang w:eastAsia="en-AU"/>
        </w:rPr>
        <w:t xml:space="preserve"> under section 45</w:t>
      </w:r>
      <w:r w:rsidR="00D55AAF">
        <w:rPr>
          <w:lang w:eastAsia="en-AU"/>
        </w:rPr>
        <w:t>:</w:t>
      </w:r>
    </w:p>
    <w:p w14:paraId="4EDCCE4C" w14:textId="2C2C991B" w:rsidR="00D55AAF" w:rsidRDefault="002619DD" w:rsidP="0067521E">
      <w:pPr>
        <w:pStyle w:val="ListParagraph"/>
        <w:numPr>
          <w:ilvl w:val="0"/>
          <w:numId w:val="179"/>
        </w:numPr>
        <w:tabs>
          <w:tab w:val="clear" w:pos="720"/>
        </w:tabs>
        <w:ind w:left="567" w:hanging="567"/>
        <w:rPr>
          <w:lang w:eastAsia="en-AU"/>
        </w:rPr>
      </w:pPr>
      <w:r>
        <w:rPr>
          <w:lang w:eastAsia="en-AU"/>
        </w:rPr>
        <w:t xml:space="preserve">where </w:t>
      </w:r>
      <w:r w:rsidR="00386AC4">
        <w:rPr>
          <w:lang w:eastAsia="en-AU"/>
        </w:rPr>
        <w:t>a</w:t>
      </w:r>
      <w:r w:rsidR="00D55AAF">
        <w:rPr>
          <w:lang w:eastAsia="en-AU"/>
        </w:rPr>
        <w:t xml:space="preserve"> </w:t>
      </w:r>
      <w:r w:rsidR="002119C5">
        <w:rPr>
          <w:lang w:eastAsia="en-AU"/>
        </w:rPr>
        <w:t xml:space="preserve">police </w:t>
      </w:r>
      <w:r w:rsidR="00D55AAF">
        <w:rPr>
          <w:lang w:eastAsia="en-AU"/>
        </w:rPr>
        <w:t>DVO has already had a confirmation hearing under Part 2.10 and become a final DVO;</w:t>
      </w:r>
    </w:p>
    <w:p w14:paraId="07319346" w14:textId="3C895E5B" w:rsidR="00D55AAF" w:rsidRDefault="002619DD" w:rsidP="0067521E">
      <w:pPr>
        <w:pStyle w:val="ListParagraph"/>
        <w:numPr>
          <w:ilvl w:val="0"/>
          <w:numId w:val="179"/>
        </w:numPr>
        <w:tabs>
          <w:tab w:val="clear" w:pos="720"/>
        </w:tabs>
        <w:ind w:left="567" w:hanging="567"/>
        <w:rPr>
          <w:lang w:eastAsia="en-AU"/>
        </w:rPr>
      </w:pPr>
      <w:r>
        <w:rPr>
          <w:lang w:eastAsia="en-AU"/>
        </w:rPr>
        <w:t xml:space="preserve">where </w:t>
      </w:r>
      <w:r w:rsidR="00D55AAF">
        <w:rPr>
          <w:lang w:eastAsia="en-AU"/>
        </w:rPr>
        <w:t xml:space="preserve">there is a final </w:t>
      </w:r>
      <w:r w:rsidR="002119C5">
        <w:rPr>
          <w:lang w:eastAsia="en-AU"/>
        </w:rPr>
        <w:t xml:space="preserve">court </w:t>
      </w:r>
      <w:r w:rsidR="00D55AAF">
        <w:rPr>
          <w:lang w:eastAsia="en-AU"/>
        </w:rPr>
        <w:t>DVO already in place; and</w:t>
      </w:r>
    </w:p>
    <w:p w14:paraId="5F95F85A" w14:textId="05DA2AF6" w:rsidR="00D55AAF" w:rsidRDefault="002619DD" w:rsidP="0067521E">
      <w:pPr>
        <w:pStyle w:val="ListParagraph"/>
        <w:numPr>
          <w:ilvl w:val="0"/>
          <w:numId w:val="179"/>
        </w:numPr>
        <w:tabs>
          <w:tab w:val="clear" w:pos="720"/>
        </w:tabs>
        <w:spacing w:after="240"/>
        <w:ind w:left="567" w:hanging="567"/>
        <w:rPr>
          <w:lang w:eastAsia="en-AU"/>
        </w:rPr>
      </w:pPr>
      <w:r>
        <w:rPr>
          <w:lang w:eastAsia="en-AU"/>
        </w:rPr>
        <w:t xml:space="preserve">where </w:t>
      </w:r>
      <w:r w:rsidR="00D55AAF">
        <w:rPr>
          <w:lang w:eastAsia="en-AU"/>
        </w:rPr>
        <w:t>there is no DVO in place.</w:t>
      </w:r>
    </w:p>
    <w:p w14:paraId="2C766607" w14:textId="70E4B707" w:rsidR="00D55AAF" w:rsidRDefault="00350EBC" w:rsidP="00C4709B">
      <w:pPr>
        <w:rPr>
          <w:lang w:eastAsia="en-AU"/>
        </w:rPr>
      </w:pPr>
      <w:r>
        <w:rPr>
          <w:lang w:eastAsia="en-AU"/>
        </w:rPr>
        <w:t xml:space="preserve">However, it </w:t>
      </w:r>
      <w:r w:rsidR="00D55AAF">
        <w:rPr>
          <w:lang w:eastAsia="en-AU"/>
        </w:rPr>
        <w:t xml:space="preserve">cannot confirm a </w:t>
      </w:r>
      <w:r w:rsidR="002619DD">
        <w:rPr>
          <w:lang w:eastAsia="en-AU"/>
        </w:rPr>
        <w:t xml:space="preserve">police </w:t>
      </w:r>
      <w:r w:rsidR="00D55AAF">
        <w:rPr>
          <w:lang w:eastAsia="en-AU"/>
        </w:rPr>
        <w:t>DVO to make it a final order without meeting</w:t>
      </w:r>
      <w:r w:rsidR="002119C5">
        <w:rPr>
          <w:lang w:eastAsia="en-AU"/>
        </w:rPr>
        <w:t xml:space="preserve"> the requirements in Part </w:t>
      </w:r>
      <w:r w:rsidR="00233440">
        <w:rPr>
          <w:lang w:eastAsia="en-AU"/>
        </w:rPr>
        <w:t>2.10.</w:t>
      </w:r>
      <w:r w:rsidR="002619DD">
        <w:rPr>
          <w:lang w:eastAsia="en-AU"/>
        </w:rPr>
        <w:t xml:space="preserve"> </w:t>
      </w:r>
      <w:r>
        <w:rPr>
          <w:lang w:eastAsia="en-AU"/>
        </w:rPr>
        <w:t xml:space="preserve"> This is likely to require a separate hearing.</w:t>
      </w:r>
    </w:p>
    <w:p w14:paraId="613F22A1" w14:textId="1818A5ED" w:rsidR="001420D3" w:rsidRDefault="00AE337F" w:rsidP="00C4709B">
      <w:pPr>
        <w:rPr>
          <w:lang w:eastAsia="en-AU"/>
        </w:rPr>
      </w:pPr>
      <w:r>
        <w:rPr>
          <w:lang w:eastAsia="en-AU"/>
        </w:rPr>
        <w:t>In the N</w:t>
      </w:r>
      <w:r w:rsidR="00F86F63">
        <w:rPr>
          <w:lang w:eastAsia="en-AU"/>
        </w:rPr>
        <w:t>T</w:t>
      </w:r>
      <w:r w:rsidR="002619DD">
        <w:rPr>
          <w:lang w:eastAsia="en-AU"/>
        </w:rPr>
        <w:t>,</w:t>
      </w:r>
      <w:r w:rsidR="00F86F63">
        <w:rPr>
          <w:lang w:eastAsia="en-AU"/>
        </w:rPr>
        <w:t xml:space="preserve"> approximately 85</w:t>
      </w:r>
      <w:r w:rsidR="002619DD">
        <w:rPr>
          <w:lang w:eastAsia="en-AU"/>
        </w:rPr>
        <w:t> per cent</w:t>
      </w:r>
      <w:r w:rsidR="00F86F63">
        <w:rPr>
          <w:lang w:eastAsia="en-AU"/>
        </w:rPr>
        <w:t xml:space="preserve"> of DVOs are</w:t>
      </w:r>
      <w:r>
        <w:rPr>
          <w:lang w:eastAsia="en-AU"/>
        </w:rPr>
        <w:t xml:space="preserve"> made by Police under section 41</w:t>
      </w:r>
      <w:r w:rsidR="00D55AAF">
        <w:rPr>
          <w:lang w:eastAsia="en-AU"/>
        </w:rPr>
        <w:t xml:space="preserve"> and so this decision may impact on a significant number of matters</w:t>
      </w:r>
      <w:r>
        <w:rPr>
          <w:lang w:eastAsia="en-AU"/>
        </w:rPr>
        <w:t xml:space="preserve">. </w:t>
      </w:r>
    </w:p>
    <w:p w14:paraId="4EF78C41" w14:textId="600A319A" w:rsidR="002D270A" w:rsidRDefault="00BA35B7" w:rsidP="00C4709B">
      <w:pPr>
        <w:rPr>
          <w:lang w:eastAsia="en-AU"/>
        </w:rPr>
      </w:pPr>
      <w:r>
        <w:rPr>
          <w:lang w:eastAsia="en-AU"/>
        </w:rPr>
        <w:t>Stakeholders have also observed</w:t>
      </w:r>
      <w:r w:rsidR="002D270A">
        <w:rPr>
          <w:lang w:eastAsia="en-AU"/>
        </w:rPr>
        <w:t xml:space="preserve"> that the Supreme Court seems reluctant to m</w:t>
      </w:r>
      <w:r w:rsidR="002619DD">
        <w:rPr>
          <w:lang w:eastAsia="en-AU"/>
        </w:rPr>
        <w:t>ake a DVO under Part </w:t>
      </w:r>
      <w:r w:rsidR="00233440">
        <w:rPr>
          <w:lang w:eastAsia="en-AU"/>
        </w:rPr>
        <w:t>2.7</w:t>
      </w:r>
      <w:r>
        <w:rPr>
          <w:lang w:eastAsia="en-AU"/>
        </w:rPr>
        <w:t>.</w:t>
      </w:r>
    </w:p>
    <w:p w14:paraId="366E21F0" w14:textId="327BBC58" w:rsidR="00C4709B" w:rsidRDefault="00DB2B10" w:rsidP="002119C5">
      <w:pPr>
        <w:pStyle w:val="Heading4"/>
        <w:keepNext/>
        <w:numPr>
          <w:ilvl w:val="0"/>
          <w:numId w:val="0"/>
        </w:numPr>
        <w:spacing w:before="0" w:after="0" w:line="259" w:lineRule="auto"/>
        <w:rPr>
          <w:lang w:eastAsia="en-AU"/>
        </w:rPr>
      </w:pPr>
      <w:r>
        <w:rPr>
          <w:lang w:eastAsia="en-AU"/>
        </w:rPr>
        <w:t xml:space="preserve">PROPOSAL </w:t>
      </w:r>
      <w:r w:rsidR="001804B8">
        <w:rPr>
          <w:lang w:eastAsia="en-AU"/>
        </w:rPr>
        <w:t xml:space="preserve">LR </w:t>
      </w:r>
      <w:r>
        <w:rPr>
          <w:lang w:eastAsia="en-AU"/>
        </w:rPr>
        <w:t>31</w:t>
      </w:r>
    </w:p>
    <w:p w14:paraId="3A18B274" w14:textId="26ACABE8" w:rsidR="00C4709B" w:rsidRPr="00DB2B10" w:rsidRDefault="00E37C84" w:rsidP="002119C5">
      <w:pPr>
        <w:keepNext/>
        <w:spacing w:after="0" w:line="259" w:lineRule="auto"/>
        <w:rPr>
          <w:b/>
        </w:rPr>
      </w:pPr>
      <w:r w:rsidRPr="00DB2B10">
        <w:rPr>
          <w:b/>
        </w:rPr>
        <w:t>It is proposed to a</w:t>
      </w:r>
      <w:r w:rsidR="00C4709B" w:rsidRPr="00DB2B10">
        <w:rPr>
          <w:b/>
        </w:rPr>
        <w:t>mend Part 2.7 along the lines</w:t>
      </w:r>
      <w:r w:rsidR="00233440">
        <w:rPr>
          <w:b/>
        </w:rPr>
        <w:t>:</w:t>
      </w:r>
    </w:p>
    <w:p w14:paraId="186A439C" w14:textId="1EE71D81" w:rsidR="00E37C84" w:rsidRPr="00DB2B10" w:rsidRDefault="00E37C84" w:rsidP="0067521E">
      <w:pPr>
        <w:pStyle w:val="ListParagraph"/>
        <w:numPr>
          <w:ilvl w:val="0"/>
          <w:numId w:val="88"/>
        </w:numPr>
        <w:spacing w:after="0" w:line="259" w:lineRule="auto"/>
        <w:ind w:left="567" w:hanging="567"/>
        <w:rPr>
          <w:b/>
        </w:rPr>
      </w:pPr>
      <w:r w:rsidRPr="00DB2B10">
        <w:rPr>
          <w:b/>
        </w:rPr>
        <w:t xml:space="preserve">The </w:t>
      </w:r>
      <w:r w:rsidR="002619DD" w:rsidRPr="00DB2B10">
        <w:rPr>
          <w:b/>
        </w:rPr>
        <w:t xml:space="preserve">court </w:t>
      </w:r>
      <w:r w:rsidRPr="00DB2B10">
        <w:rPr>
          <w:b/>
        </w:rPr>
        <w:t>may make an interim DVO or vary a DVO on its own initiative or on application of the prosecutor at any stage in the criminal proceedings.</w:t>
      </w:r>
    </w:p>
    <w:p w14:paraId="3FB06F1F" w14:textId="72552C89" w:rsidR="00E37C84" w:rsidRPr="00DB2B10" w:rsidRDefault="00E37C84" w:rsidP="0067521E">
      <w:pPr>
        <w:pStyle w:val="ListParagraph"/>
        <w:numPr>
          <w:ilvl w:val="0"/>
          <w:numId w:val="88"/>
        </w:numPr>
        <w:spacing w:after="0" w:line="259" w:lineRule="auto"/>
        <w:ind w:left="567" w:hanging="567"/>
        <w:rPr>
          <w:b/>
        </w:rPr>
      </w:pPr>
      <w:r w:rsidRPr="00DB2B10">
        <w:rPr>
          <w:b/>
        </w:rPr>
        <w:t>After a plea of guilt or a finding of guilt</w:t>
      </w:r>
      <w:r w:rsidR="002619DD">
        <w:rPr>
          <w:b/>
        </w:rPr>
        <w:t>,</w:t>
      </w:r>
      <w:r w:rsidRPr="00DB2B10">
        <w:rPr>
          <w:b/>
        </w:rPr>
        <w:t xml:space="preserve"> the </w:t>
      </w:r>
      <w:r w:rsidR="002619DD" w:rsidRPr="00DB2B10">
        <w:rPr>
          <w:b/>
        </w:rPr>
        <w:t xml:space="preserve">court </w:t>
      </w:r>
      <w:r w:rsidRPr="00DB2B10">
        <w:rPr>
          <w:b/>
        </w:rPr>
        <w:t>‘</w:t>
      </w:r>
      <w:r w:rsidRPr="00DB2B10">
        <w:rPr>
          <w:b/>
          <w:i/>
          <w:iCs w:val="0"/>
          <w:u w:val="single"/>
        </w:rPr>
        <w:t>must’</w:t>
      </w:r>
      <w:r w:rsidRPr="00DB2B10">
        <w:rPr>
          <w:b/>
        </w:rPr>
        <w:t xml:space="preserve"> consider whether to make a DVO (currently it is ‘</w:t>
      </w:r>
      <w:r w:rsidRPr="00DB2B10">
        <w:rPr>
          <w:b/>
          <w:i/>
          <w:iCs w:val="0"/>
        </w:rPr>
        <w:t>may’</w:t>
      </w:r>
      <w:r w:rsidRPr="00DB2B10">
        <w:rPr>
          <w:b/>
        </w:rPr>
        <w:t>)</w:t>
      </w:r>
      <w:r w:rsidR="002119C5">
        <w:rPr>
          <w:b/>
        </w:rPr>
        <w:t>.</w:t>
      </w:r>
    </w:p>
    <w:p w14:paraId="6EA3BB9F" w14:textId="14E935A0" w:rsidR="00E37C84" w:rsidRPr="00DB2B10" w:rsidRDefault="00E37C84" w:rsidP="0067521E">
      <w:pPr>
        <w:pStyle w:val="ListParagraph"/>
        <w:keepNext/>
        <w:numPr>
          <w:ilvl w:val="0"/>
          <w:numId w:val="88"/>
        </w:numPr>
        <w:spacing w:after="0" w:line="259" w:lineRule="auto"/>
        <w:ind w:left="567" w:hanging="567"/>
        <w:rPr>
          <w:b/>
        </w:rPr>
      </w:pPr>
      <w:r w:rsidRPr="00DB2B10">
        <w:rPr>
          <w:b/>
        </w:rPr>
        <w:lastRenderedPageBreak/>
        <w:t xml:space="preserve">If a police or </w:t>
      </w:r>
      <w:r w:rsidR="002119C5" w:rsidRPr="00DB2B10">
        <w:rPr>
          <w:b/>
        </w:rPr>
        <w:t xml:space="preserve">court </w:t>
      </w:r>
      <w:r w:rsidRPr="00DB2B10">
        <w:rPr>
          <w:b/>
        </w:rPr>
        <w:t xml:space="preserve">DVO is already in force against the person, the </w:t>
      </w:r>
      <w:r w:rsidR="002119C5" w:rsidRPr="00DB2B10">
        <w:rPr>
          <w:b/>
        </w:rPr>
        <w:t>court</w:t>
      </w:r>
      <w:r w:rsidRPr="00DB2B10">
        <w:rPr>
          <w:b/>
        </w:rPr>
        <w:t>:</w:t>
      </w:r>
    </w:p>
    <w:p w14:paraId="1A61A7EB" w14:textId="2B51F395" w:rsidR="00E37C84" w:rsidRPr="00DB2B10" w:rsidRDefault="002119C5" w:rsidP="0067521E">
      <w:pPr>
        <w:pStyle w:val="ListParagraph"/>
        <w:numPr>
          <w:ilvl w:val="1"/>
          <w:numId w:val="88"/>
        </w:numPr>
        <w:spacing w:after="0" w:line="259" w:lineRule="auto"/>
        <w:ind w:left="993" w:hanging="426"/>
        <w:rPr>
          <w:b/>
        </w:rPr>
      </w:pPr>
      <w:r w:rsidRPr="00DB2B10">
        <w:rPr>
          <w:b/>
        </w:rPr>
        <w:t xml:space="preserve">must </w:t>
      </w:r>
      <w:r w:rsidR="00E37C84" w:rsidRPr="00DB2B10">
        <w:rPr>
          <w:b/>
        </w:rPr>
        <w:t>consider the DVO and whether, in the circumstances the DVO needs to be varied, including for example, by varying the date the DVO ends; and</w:t>
      </w:r>
    </w:p>
    <w:p w14:paraId="2F739E3D" w14:textId="7410B6FE" w:rsidR="00E37C84" w:rsidRPr="00DB2B10" w:rsidRDefault="002119C5" w:rsidP="0067521E">
      <w:pPr>
        <w:pStyle w:val="ListParagraph"/>
        <w:numPr>
          <w:ilvl w:val="1"/>
          <w:numId w:val="88"/>
        </w:numPr>
        <w:spacing w:after="0" w:line="259" w:lineRule="auto"/>
        <w:ind w:left="993" w:hanging="426"/>
        <w:rPr>
          <w:b/>
        </w:rPr>
      </w:pPr>
      <w:r w:rsidRPr="00DB2B10">
        <w:rPr>
          <w:b/>
        </w:rPr>
        <w:t xml:space="preserve">may </w:t>
      </w:r>
      <w:r w:rsidR="00E37C84" w:rsidRPr="00DB2B10">
        <w:rPr>
          <w:b/>
        </w:rPr>
        <w:t xml:space="preserve">vary the DVO if the </w:t>
      </w:r>
      <w:r w:rsidRPr="00DB2B10">
        <w:rPr>
          <w:b/>
        </w:rPr>
        <w:t xml:space="preserve">court </w:t>
      </w:r>
      <w:r w:rsidR="00E37C84" w:rsidRPr="00DB2B10">
        <w:rPr>
          <w:b/>
        </w:rPr>
        <w:t>considers it should be varied</w:t>
      </w:r>
      <w:r>
        <w:rPr>
          <w:b/>
        </w:rPr>
        <w:t>;</w:t>
      </w:r>
      <w:r w:rsidR="00E37C84" w:rsidRPr="00DB2B10">
        <w:rPr>
          <w:b/>
        </w:rPr>
        <w:t xml:space="preserve"> </w:t>
      </w:r>
    </w:p>
    <w:p w14:paraId="018A6906" w14:textId="30B7BFD5" w:rsidR="00E37C84" w:rsidRPr="00DB2B10" w:rsidRDefault="002119C5" w:rsidP="0067521E">
      <w:pPr>
        <w:pStyle w:val="ListParagraph"/>
        <w:numPr>
          <w:ilvl w:val="1"/>
          <w:numId w:val="88"/>
        </w:numPr>
        <w:spacing w:after="0" w:line="259" w:lineRule="auto"/>
        <w:ind w:left="993" w:hanging="426"/>
        <w:rPr>
          <w:b/>
        </w:rPr>
      </w:pPr>
      <w:r w:rsidRPr="00DB2B10">
        <w:rPr>
          <w:b/>
        </w:rPr>
        <w:t xml:space="preserve">may </w:t>
      </w:r>
      <w:r w:rsidR="00E37C84" w:rsidRPr="00DB2B10">
        <w:rPr>
          <w:b/>
        </w:rPr>
        <w:t>confirm the DVO</w:t>
      </w:r>
      <w:r>
        <w:rPr>
          <w:b/>
        </w:rPr>
        <w:t>.</w:t>
      </w:r>
    </w:p>
    <w:p w14:paraId="35EBBD02" w14:textId="4E4BEB67" w:rsidR="00E37C84" w:rsidRPr="00DB2B10" w:rsidRDefault="00E37C84" w:rsidP="0067521E">
      <w:pPr>
        <w:pStyle w:val="ListParagraph"/>
        <w:numPr>
          <w:ilvl w:val="0"/>
          <w:numId w:val="88"/>
        </w:numPr>
        <w:spacing w:after="0" w:line="259" w:lineRule="auto"/>
        <w:ind w:left="567" w:hanging="567"/>
        <w:rPr>
          <w:b/>
        </w:rPr>
      </w:pPr>
      <w:r w:rsidRPr="00DB2B10">
        <w:rPr>
          <w:b/>
        </w:rPr>
        <w:t>To avoid any doubt</w:t>
      </w:r>
      <w:r w:rsidR="002119C5">
        <w:rPr>
          <w:b/>
        </w:rPr>
        <w:t>,</w:t>
      </w:r>
      <w:r w:rsidRPr="00DB2B10">
        <w:rPr>
          <w:b/>
        </w:rPr>
        <w:t xml:space="preserve"> if the defendant has been found guilty of an o</w:t>
      </w:r>
      <w:r w:rsidR="004346D4" w:rsidRPr="00DB2B10">
        <w:rPr>
          <w:b/>
        </w:rPr>
        <w:t>ffence</w:t>
      </w:r>
      <w:r w:rsidR="002119C5">
        <w:rPr>
          <w:b/>
        </w:rPr>
        <w:t>,</w:t>
      </w:r>
      <w:r w:rsidR="004346D4" w:rsidRPr="00DB2B10">
        <w:rPr>
          <w:b/>
        </w:rPr>
        <w:t xml:space="preserve"> the </w:t>
      </w:r>
      <w:r w:rsidR="002119C5" w:rsidRPr="00DB2B10">
        <w:rPr>
          <w:b/>
        </w:rPr>
        <w:t xml:space="preserve">court </w:t>
      </w:r>
      <w:r w:rsidR="004346D4" w:rsidRPr="00DB2B10">
        <w:rPr>
          <w:b/>
        </w:rPr>
        <w:t xml:space="preserve">may confirm a </w:t>
      </w:r>
      <w:r w:rsidR="002119C5" w:rsidRPr="00DB2B10">
        <w:rPr>
          <w:b/>
        </w:rPr>
        <w:t xml:space="preserve">police </w:t>
      </w:r>
      <w:r w:rsidRPr="00DB2B10">
        <w:rPr>
          <w:b/>
        </w:rPr>
        <w:t xml:space="preserve">DVO or a </w:t>
      </w:r>
      <w:r w:rsidR="002119C5" w:rsidRPr="00DB2B10">
        <w:rPr>
          <w:b/>
        </w:rPr>
        <w:t xml:space="preserve">court </w:t>
      </w:r>
      <w:r w:rsidRPr="00DB2B10">
        <w:rPr>
          <w:b/>
        </w:rPr>
        <w:t xml:space="preserve">DVO </w:t>
      </w:r>
      <w:r w:rsidR="004346D4" w:rsidRPr="00DB2B10">
        <w:rPr>
          <w:b/>
        </w:rPr>
        <w:t>without complying with Part 2.10</w:t>
      </w:r>
      <w:r w:rsidRPr="00DB2B10">
        <w:rPr>
          <w:b/>
        </w:rPr>
        <w:t>.</w:t>
      </w:r>
    </w:p>
    <w:p w14:paraId="2FBEC78D" w14:textId="1732CA44" w:rsidR="00E37C84" w:rsidRPr="00DB2B10" w:rsidRDefault="00E37C84" w:rsidP="0067521E">
      <w:pPr>
        <w:pStyle w:val="ListParagraph"/>
        <w:numPr>
          <w:ilvl w:val="0"/>
          <w:numId w:val="88"/>
        </w:numPr>
        <w:spacing w:after="0" w:line="259" w:lineRule="auto"/>
        <w:ind w:left="567" w:hanging="567"/>
        <w:rPr>
          <w:b/>
        </w:rPr>
      </w:pPr>
      <w:r w:rsidRPr="00DB2B10">
        <w:rPr>
          <w:b/>
        </w:rPr>
        <w:t xml:space="preserve">The </w:t>
      </w:r>
      <w:r w:rsidR="002119C5" w:rsidRPr="00DB2B10">
        <w:rPr>
          <w:b/>
        </w:rPr>
        <w:t xml:space="preserve">court </w:t>
      </w:r>
      <w:r w:rsidRPr="00DB2B10">
        <w:rPr>
          <w:b/>
        </w:rPr>
        <w:t>may hear submissions from the parties to the DVO and the prosecutor in making a decision about the conditions in the DVO</w:t>
      </w:r>
      <w:r w:rsidR="004346D4" w:rsidRPr="00DB2B10">
        <w:rPr>
          <w:b/>
        </w:rPr>
        <w:t xml:space="preserve"> but is not required to do so.</w:t>
      </w:r>
    </w:p>
    <w:p w14:paraId="4E5C1CA2" w14:textId="5244CC25" w:rsidR="00C4709B" w:rsidRDefault="001420D3" w:rsidP="0067521E">
      <w:pPr>
        <w:pStyle w:val="ListParagraph"/>
        <w:numPr>
          <w:ilvl w:val="0"/>
          <w:numId w:val="88"/>
        </w:numPr>
        <w:spacing w:after="0" w:line="259" w:lineRule="auto"/>
        <w:ind w:left="567" w:hanging="567"/>
        <w:rPr>
          <w:b/>
        </w:rPr>
      </w:pPr>
      <w:r w:rsidRPr="00DB2B10">
        <w:rPr>
          <w:b/>
        </w:rPr>
        <w:t>Notice</w:t>
      </w:r>
      <w:r w:rsidR="00E37C84" w:rsidRPr="00DB2B10">
        <w:rPr>
          <w:b/>
        </w:rPr>
        <w:t xml:space="preserve"> of order </w:t>
      </w:r>
      <w:r w:rsidRPr="00DB2B10">
        <w:rPr>
          <w:b/>
        </w:rPr>
        <w:t xml:space="preserve">must </w:t>
      </w:r>
      <w:r w:rsidR="00386AC4">
        <w:rPr>
          <w:b/>
        </w:rPr>
        <w:t xml:space="preserve">be provided </w:t>
      </w:r>
      <w:r w:rsidR="004346D4" w:rsidRPr="00DB2B10">
        <w:rPr>
          <w:b/>
        </w:rPr>
        <w:t>– see section 46.</w:t>
      </w:r>
    </w:p>
    <w:p w14:paraId="1868FC16" w14:textId="5A2D1959" w:rsidR="002D270A" w:rsidRPr="00DB2B10" w:rsidRDefault="00DB2B10" w:rsidP="002119C5">
      <w:pPr>
        <w:spacing w:line="259" w:lineRule="auto"/>
        <w:rPr>
          <w:b/>
        </w:rPr>
      </w:pPr>
      <w:r>
        <w:rPr>
          <w:b/>
        </w:rPr>
        <w:t>It is further</w:t>
      </w:r>
      <w:r w:rsidR="002D270A" w:rsidRPr="00DB2B10">
        <w:rPr>
          <w:b/>
        </w:rPr>
        <w:t xml:space="preserve"> proposed to include a provision along the lines that: To avoid any doubt, the Supreme Court may make a DVO in accordance with Part 2.7.</w:t>
      </w:r>
    </w:p>
    <w:p w14:paraId="3EC35502" w14:textId="4B5D03C5" w:rsidR="00FA4FCF" w:rsidRPr="001906BA" w:rsidRDefault="00E01D61" w:rsidP="002119C5">
      <w:pPr>
        <w:pStyle w:val="Heading3"/>
        <w:keepNext/>
      </w:pPr>
      <w:bookmarkStart w:id="62" w:name="_Toc112051849"/>
      <w:r>
        <w:t>V</w:t>
      </w:r>
      <w:r w:rsidR="00FA4FCF" w:rsidRPr="001906BA">
        <w:t>ariation and confirmation of DVOs (Part</w:t>
      </w:r>
      <w:r w:rsidR="008404FA" w:rsidRPr="001906BA">
        <w:t>s</w:t>
      </w:r>
      <w:r w:rsidR="00FA4FCF" w:rsidRPr="001906BA">
        <w:t xml:space="preserve"> 2.8, 2.9 and 2.10)</w:t>
      </w:r>
      <w:bookmarkEnd w:id="62"/>
    </w:p>
    <w:p w14:paraId="66A1059E" w14:textId="7E8EBE93" w:rsidR="00FA4FCF" w:rsidRDefault="00FA4FCF" w:rsidP="00FA4FCF">
      <w:r>
        <w:t>The provisions for the variation and confirmation of DVOs are structured in the following way in the DFV</w:t>
      </w:r>
      <w:r w:rsidR="002119C5">
        <w:t> </w:t>
      </w:r>
      <w:r>
        <w:t>A</w:t>
      </w:r>
      <w:r w:rsidR="002119C5">
        <w:t>ct</w:t>
      </w:r>
      <w:r>
        <w:t>.</w:t>
      </w:r>
    </w:p>
    <w:p w14:paraId="4A615AB6" w14:textId="77777777" w:rsidR="00FA4FCF" w:rsidRDefault="00FA4FCF" w:rsidP="002119C5">
      <w:pPr>
        <w:spacing w:after="120"/>
      </w:pPr>
      <w:r w:rsidRPr="001B47AF">
        <w:rPr>
          <w:b/>
        </w:rPr>
        <w:t>Part 2.8</w:t>
      </w:r>
      <w:r>
        <w:t xml:space="preserve"> provides for the variation an</w:t>
      </w:r>
      <w:r w:rsidR="008404FA">
        <w:t>d revocation of DVOs:</w:t>
      </w:r>
    </w:p>
    <w:p w14:paraId="13E1C991" w14:textId="29C8B7DF" w:rsidR="00FA4FCF" w:rsidRDefault="008404FA" w:rsidP="0067521E">
      <w:pPr>
        <w:pStyle w:val="ListParagraph"/>
        <w:numPr>
          <w:ilvl w:val="0"/>
          <w:numId w:val="39"/>
        </w:numPr>
        <w:ind w:left="567" w:hanging="567"/>
      </w:pPr>
      <w:r>
        <w:t>Division 1 provides for the variation and revocation of DVOs, and s</w:t>
      </w:r>
      <w:r w:rsidR="00FA4FCF">
        <w:t>pecial pro</w:t>
      </w:r>
      <w:r w:rsidR="00E83116">
        <w:t xml:space="preserve">visions for variation ex parte </w:t>
      </w:r>
      <w:r>
        <w:t xml:space="preserve">and </w:t>
      </w:r>
      <w:r w:rsidR="00BD4E0F">
        <w:t xml:space="preserve">variation </w:t>
      </w:r>
      <w:r>
        <w:t xml:space="preserve">by consent.  Division 1 only applies to a </w:t>
      </w:r>
      <w:r w:rsidR="002119C5">
        <w:t xml:space="preserve">court </w:t>
      </w:r>
      <w:r>
        <w:t xml:space="preserve">DVO, other than an interim </w:t>
      </w:r>
      <w:r w:rsidR="002119C5">
        <w:t xml:space="preserve">court </w:t>
      </w:r>
      <w:r>
        <w:t>DVO.</w:t>
      </w:r>
      <w:r w:rsidR="002119C5">
        <w:t xml:space="preserve"> </w:t>
      </w:r>
      <w:r>
        <w:t xml:space="preserve"> It does not apply to </w:t>
      </w:r>
      <w:r w:rsidR="002119C5">
        <w:t xml:space="preserve">police </w:t>
      </w:r>
      <w:r>
        <w:t>DVOs (s</w:t>
      </w:r>
      <w:r w:rsidR="002119C5">
        <w:t>ection </w:t>
      </w:r>
      <w:r>
        <w:t>47).</w:t>
      </w:r>
    </w:p>
    <w:p w14:paraId="57FE8429" w14:textId="5FD27908" w:rsidR="00FA4FCF" w:rsidRDefault="008404FA" w:rsidP="0067521E">
      <w:pPr>
        <w:pStyle w:val="ListParagraph"/>
        <w:numPr>
          <w:ilvl w:val="0"/>
          <w:numId w:val="39"/>
        </w:numPr>
        <w:spacing w:after="200"/>
        <w:ind w:left="567" w:hanging="567"/>
      </w:pPr>
      <w:r>
        <w:t>Division 2 provides for variation of DVOs i</w:t>
      </w:r>
      <w:r w:rsidR="00FA4FCF">
        <w:t>n ur</w:t>
      </w:r>
      <w:r>
        <w:t>gent circumstances</w:t>
      </w:r>
      <w:r w:rsidR="00FA4FCF">
        <w:t xml:space="preserve">. </w:t>
      </w:r>
      <w:r w:rsidR="002119C5">
        <w:t xml:space="preserve"> </w:t>
      </w:r>
      <w:r w:rsidR="00FA4FCF">
        <w:t xml:space="preserve">Division 2 applies to both </w:t>
      </w:r>
      <w:r w:rsidR="002119C5">
        <w:t>court and po</w:t>
      </w:r>
      <w:r w:rsidR="00FA4FCF">
        <w:t xml:space="preserve">lice DVOs, other than an interim </w:t>
      </w:r>
      <w:r w:rsidR="002119C5">
        <w:t xml:space="preserve">court </w:t>
      </w:r>
      <w:r w:rsidR="00FA4FCF">
        <w:t>DVO (s</w:t>
      </w:r>
      <w:r w:rsidR="002119C5">
        <w:t>ection </w:t>
      </w:r>
      <w:r w:rsidR="00FA4FCF">
        <w:t>64).</w:t>
      </w:r>
    </w:p>
    <w:p w14:paraId="5A20F37B" w14:textId="0C935FAA" w:rsidR="00FA4FCF" w:rsidRDefault="00FA4FCF" w:rsidP="00FA4FCF">
      <w:r w:rsidRPr="001B47AF">
        <w:rPr>
          <w:b/>
        </w:rPr>
        <w:t>Part 2.9</w:t>
      </w:r>
      <w:r>
        <w:t xml:space="preserve"> provides for the review of </w:t>
      </w:r>
      <w:r w:rsidR="002119C5">
        <w:t xml:space="preserve">police </w:t>
      </w:r>
      <w:r>
        <w:t xml:space="preserve">DVOs. </w:t>
      </w:r>
      <w:r w:rsidR="002119C5">
        <w:t xml:space="preserve"> </w:t>
      </w:r>
      <w:r>
        <w:t xml:space="preserve">It must be facilitated by a police officer.  The DVO may be confirmed with or without variations or revoked. </w:t>
      </w:r>
      <w:r w:rsidR="002119C5">
        <w:t xml:space="preserve"> </w:t>
      </w:r>
      <w:r>
        <w:t>If the order is confirmed</w:t>
      </w:r>
      <w:r w:rsidR="002119C5">
        <w:t>,</w:t>
      </w:r>
      <w:r>
        <w:t xml:space="preserve"> it is taken to be a summons for the defendant to appear before the </w:t>
      </w:r>
      <w:r w:rsidR="002119C5">
        <w:t>court</w:t>
      </w:r>
      <w:r>
        <w:t xml:space="preserve">, to show cause as to why the DVO as varied should not be confirmed by the </w:t>
      </w:r>
      <w:r w:rsidR="002119C5">
        <w:t>court</w:t>
      </w:r>
      <w:r>
        <w:t>.</w:t>
      </w:r>
    </w:p>
    <w:p w14:paraId="3D29A6AD" w14:textId="290042AF" w:rsidR="00FA4FCF" w:rsidRDefault="00FA4FCF" w:rsidP="00FA4FCF">
      <w:r w:rsidRPr="001B47AF">
        <w:rPr>
          <w:b/>
        </w:rPr>
        <w:t>Part 2.10</w:t>
      </w:r>
      <w:r>
        <w:t xml:space="preserve"> provides for the confirmation of DVOs. It applies if the defendant is summoned to appear before </w:t>
      </w:r>
      <w:r w:rsidR="002119C5">
        <w:t xml:space="preserve">court </w:t>
      </w:r>
      <w:r>
        <w:t>to show cause why a DVO should not be confirmed (s</w:t>
      </w:r>
      <w:r w:rsidR="002119C5">
        <w:t>ection </w:t>
      </w:r>
      <w:r>
        <w:t xml:space="preserve">80). </w:t>
      </w:r>
    </w:p>
    <w:p w14:paraId="04C5C81B" w14:textId="77777777" w:rsidR="00100C3F" w:rsidRPr="004A1EB3" w:rsidRDefault="00100C3F" w:rsidP="00100C3F">
      <w:pPr>
        <w:pStyle w:val="Paragraph"/>
        <w:ind w:left="0" w:firstLine="0"/>
        <w:rPr>
          <w:rFonts w:asciiTheme="minorHAnsi" w:hAnsiTheme="minorHAnsi"/>
          <w:b/>
          <w:sz w:val="22"/>
          <w:szCs w:val="22"/>
        </w:rPr>
      </w:pPr>
      <w:r w:rsidRPr="004A1EB3">
        <w:rPr>
          <w:rFonts w:asciiTheme="minorHAnsi" w:hAnsiTheme="minorHAnsi"/>
          <w:b/>
          <w:sz w:val="22"/>
          <w:szCs w:val="22"/>
        </w:rPr>
        <w:t xml:space="preserve">Table </w:t>
      </w:r>
      <w:r>
        <w:rPr>
          <w:rFonts w:asciiTheme="minorHAnsi" w:hAnsiTheme="minorHAnsi"/>
          <w:b/>
          <w:sz w:val="22"/>
          <w:szCs w:val="22"/>
        </w:rPr>
        <w:t>1:  Summary of</w:t>
      </w:r>
      <w:r w:rsidRPr="004A1EB3">
        <w:rPr>
          <w:rFonts w:asciiTheme="minorHAnsi" w:hAnsiTheme="minorHAnsi"/>
          <w:b/>
          <w:sz w:val="22"/>
          <w:szCs w:val="22"/>
        </w:rPr>
        <w:t xml:space="preserve"> </w:t>
      </w:r>
      <w:r>
        <w:rPr>
          <w:rFonts w:asciiTheme="minorHAnsi" w:hAnsiTheme="minorHAnsi"/>
          <w:b/>
          <w:sz w:val="22"/>
          <w:szCs w:val="22"/>
        </w:rPr>
        <w:t xml:space="preserve">the structure of </w:t>
      </w:r>
      <w:r w:rsidRPr="004A1EB3">
        <w:rPr>
          <w:rFonts w:asciiTheme="minorHAnsi" w:hAnsiTheme="minorHAnsi"/>
          <w:b/>
          <w:sz w:val="22"/>
          <w:szCs w:val="22"/>
        </w:rPr>
        <w:t xml:space="preserve">Chapter 2 of the </w:t>
      </w:r>
      <w:r w:rsidRPr="004A1EB3">
        <w:rPr>
          <w:rFonts w:asciiTheme="minorHAnsi" w:hAnsiTheme="minorHAnsi"/>
          <w:b/>
          <w:i/>
          <w:sz w:val="22"/>
          <w:szCs w:val="22"/>
        </w:rPr>
        <w:t>Domestic and Family Violence Act 2007</w:t>
      </w:r>
    </w:p>
    <w:tbl>
      <w:tblPr>
        <w:tblStyle w:val="TableGrid"/>
        <w:tblW w:w="0" w:type="auto"/>
        <w:tblLook w:val="04A0" w:firstRow="1" w:lastRow="0" w:firstColumn="1" w:lastColumn="0" w:noHBand="0" w:noVBand="1"/>
      </w:tblPr>
      <w:tblGrid>
        <w:gridCol w:w="1679"/>
        <w:gridCol w:w="1669"/>
        <w:gridCol w:w="1537"/>
        <w:gridCol w:w="1949"/>
        <w:gridCol w:w="1244"/>
        <w:gridCol w:w="1671"/>
      </w:tblGrid>
      <w:tr w:rsidR="00100C3F" w14:paraId="3D8C2F5B" w14:textId="77777777" w:rsidTr="001D41D9">
        <w:tc>
          <w:tcPr>
            <w:tcW w:w="1696" w:type="dxa"/>
            <w:shd w:val="clear" w:color="auto" w:fill="C8E6FA" w:themeFill="accent2" w:themeFillTint="33"/>
          </w:tcPr>
          <w:p w14:paraId="329A584D" w14:textId="77777777" w:rsidR="00100C3F" w:rsidRPr="00F237D1" w:rsidRDefault="00100C3F" w:rsidP="001D41D9">
            <w:pPr>
              <w:rPr>
                <w:sz w:val="18"/>
                <w:szCs w:val="18"/>
              </w:rPr>
            </w:pPr>
            <w:r w:rsidRPr="00F237D1">
              <w:rPr>
                <w:sz w:val="18"/>
                <w:szCs w:val="18"/>
              </w:rPr>
              <w:t>How it is initiated</w:t>
            </w:r>
          </w:p>
        </w:tc>
        <w:tc>
          <w:tcPr>
            <w:tcW w:w="1701" w:type="dxa"/>
            <w:shd w:val="clear" w:color="auto" w:fill="C8E6FA" w:themeFill="accent2" w:themeFillTint="33"/>
          </w:tcPr>
          <w:p w14:paraId="663A470E" w14:textId="77777777" w:rsidR="00100C3F" w:rsidRPr="00F237D1" w:rsidRDefault="00100C3F" w:rsidP="001D41D9">
            <w:pPr>
              <w:rPr>
                <w:sz w:val="18"/>
                <w:szCs w:val="18"/>
              </w:rPr>
            </w:pPr>
            <w:r w:rsidRPr="00F237D1">
              <w:rPr>
                <w:sz w:val="18"/>
                <w:szCs w:val="18"/>
              </w:rPr>
              <w:t>Interim protection</w:t>
            </w:r>
          </w:p>
        </w:tc>
        <w:tc>
          <w:tcPr>
            <w:tcW w:w="1560" w:type="dxa"/>
            <w:shd w:val="clear" w:color="auto" w:fill="C8E6FA" w:themeFill="accent2" w:themeFillTint="33"/>
          </w:tcPr>
          <w:p w14:paraId="64C4D00E" w14:textId="77777777" w:rsidR="00100C3F" w:rsidRPr="00F237D1" w:rsidRDefault="00100C3F" w:rsidP="001D41D9">
            <w:pPr>
              <w:rPr>
                <w:sz w:val="18"/>
                <w:szCs w:val="18"/>
              </w:rPr>
            </w:pPr>
            <w:r w:rsidRPr="00F237D1">
              <w:rPr>
                <w:sz w:val="18"/>
                <w:szCs w:val="18"/>
              </w:rPr>
              <w:t>How it is varied</w:t>
            </w:r>
          </w:p>
        </w:tc>
        <w:tc>
          <w:tcPr>
            <w:tcW w:w="1984" w:type="dxa"/>
            <w:shd w:val="clear" w:color="auto" w:fill="C8E6FA" w:themeFill="accent2" w:themeFillTint="33"/>
          </w:tcPr>
          <w:p w14:paraId="6D6E9F78" w14:textId="77777777" w:rsidR="00100C3F" w:rsidRPr="00F237D1" w:rsidRDefault="00100C3F" w:rsidP="001D41D9">
            <w:pPr>
              <w:rPr>
                <w:sz w:val="18"/>
                <w:szCs w:val="18"/>
              </w:rPr>
            </w:pPr>
            <w:r w:rsidRPr="00F237D1">
              <w:rPr>
                <w:sz w:val="18"/>
                <w:szCs w:val="18"/>
              </w:rPr>
              <w:t xml:space="preserve">How </w:t>
            </w:r>
            <w:r>
              <w:rPr>
                <w:sz w:val="18"/>
                <w:szCs w:val="18"/>
              </w:rPr>
              <w:t xml:space="preserve">order is </w:t>
            </w:r>
            <w:r w:rsidRPr="00F237D1">
              <w:rPr>
                <w:sz w:val="18"/>
                <w:szCs w:val="18"/>
              </w:rPr>
              <w:t>finalised</w:t>
            </w:r>
          </w:p>
        </w:tc>
        <w:tc>
          <w:tcPr>
            <w:tcW w:w="1276" w:type="dxa"/>
            <w:shd w:val="clear" w:color="auto" w:fill="C8E6FA" w:themeFill="accent2" w:themeFillTint="33"/>
          </w:tcPr>
          <w:p w14:paraId="47E8BE7F" w14:textId="77777777" w:rsidR="00100C3F" w:rsidRPr="00F237D1" w:rsidRDefault="00100C3F" w:rsidP="001D41D9">
            <w:pPr>
              <w:rPr>
                <w:sz w:val="18"/>
                <w:szCs w:val="18"/>
              </w:rPr>
            </w:pPr>
            <w:r>
              <w:rPr>
                <w:sz w:val="18"/>
                <w:szCs w:val="18"/>
              </w:rPr>
              <w:t>Final DVO</w:t>
            </w:r>
          </w:p>
        </w:tc>
        <w:tc>
          <w:tcPr>
            <w:tcW w:w="1701" w:type="dxa"/>
            <w:tcBorders>
              <w:bottom w:val="single" w:sz="4" w:space="0" w:color="auto"/>
            </w:tcBorders>
            <w:shd w:val="clear" w:color="auto" w:fill="C8E6FA" w:themeFill="accent2" w:themeFillTint="33"/>
          </w:tcPr>
          <w:p w14:paraId="46E0EA60" w14:textId="77777777" w:rsidR="00100C3F" w:rsidRPr="00F237D1" w:rsidRDefault="00100C3F" w:rsidP="001D41D9">
            <w:pPr>
              <w:rPr>
                <w:sz w:val="18"/>
                <w:szCs w:val="18"/>
              </w:rPr>
            </w:pPr>
            <w:r>
              <w:rPr>
                <w:sz w:val="18"/>
                <w:szCs w:val="18"/>
              </w:rPr>
              <w:t>How final order is varied or revoked</w:t>
            </w:r>
          </w:p>
        </w:tc>
      </w:tr>
      <w:tr w:rsidR="00100C3F" w14:paraId="604DD8AE" w14:textId="77777777" w:rsidTr="001D41D9">
        <w:tc>
          <w:tcPr>
            <w:tcW w:w="1696" w:type="dxa"/>
          </w:tcPr>
          <w:p w14:paraId="46017EAA" w14:textId="77777777" w:rsidR="00100C3F" w:rsidRDefault="00100C3F" w:rsidP="001D41D9">
            <w:pPr>
              <w:rPr>
                <w:sz w:val="18"/>
                <w:szCs w:val="18"/>
              </w:rPr>
            </w:pPr>
            <w:r>
              <w:rPr>
                <w:sz w:val="18"/>
                <w:szCs w:val="18"/>
              </w:rPr>
              <w:t>Police DVO</w:t>
            </w:r>
          </w:p>
          <w:p w14:paraId="426519F9" w14:textId="77777777" w:rsidR="00100C3F" w:rsidRPr="00F237D1" w:rsidRDefault="00100C3F" w:rsidP="001D41D9">
            <w:pPr>
              <w:rPr>
                <w:sz w:val="18"/>
                <w:szCs w:val="18"/>
              </w:rPr>
            </w:pPr>
            <w:r w:rsidRPr="00F237D1">
              <w:rPr>
                <w:sz w:val="18"/>
                <w:szCs w:val="18"/>
              </w:rPr>
              <w:t>Authorised police officer in urgent circumstances (s41)</w:t>
            </w:r>
          </w:p>
          <w:p w14:paraId="3BA2339C" w14:textId="77777777" w:rsidR="00100C3F" w:rsidRPr="00F237D1" w:rsidRDefault="00100C3F" w:rsidP="001D41D9">
            <w:pPr>
              <w:rPr>
                <w:sz w:val="18"/>
                <w:szCs w:val="18"/>
              </w:rPr>
            </w:pPr>
          </w:p>
        </w:tc>
        <w:tc>
          <w:tcPr>
            <w:tcW w:w="1701" w:type="dxa"/>
          </w:tcPr>
          <w:p w14:paraId="58A2AC74" w14:textId="77777777" w:rsidR="00100C3F" w:rsidRDefault="00100C3F" w:rsidP="001D41D9">
            <w:pPr>
              <w:rPr>
                <w:sz w:val="18"/>
                <w:szCs w:val="18"/>
              </w:rPr>
            </w:pPr>
            <w:r>
              <w:rPr>
                <w:sz w:val="18"/>
                <w:szCs w:val="18"/>
              </w:rPr>
              <w:t>Police DVO continues in the same terms</w:t>
            </w:r>
          </w:p>
          <w:p w14:paraId="73BED499" w14:textId="77777777" w:rsidR="00100C3F" w:rsidRPr="00F237D1" w:rsidRDefault="00100C3F" w:rsidP="001D41D9">
            <w:pPr>
              <w:rPr>
                <w:sz w:val="18"/>
                <w:szCs w:val="18"/>
              </w:rPr>
            </w:pPr>
            <w:r>
              <w:rPr>
                <w:sz w:val="18"/>
                <w:szCs w:val="18"/>
              </w:rPr>
              <w:t>Or</w:t>
            </w:r>
            <w:r w:rsidRPr="00F237D1">
              <w:rPr>
                <w:sz w:val="18"/>
                <w:szCs w:val="18"/>
              </w:rPr>
              <w:t xml:space="preserve"> </w:t>
            </w:r>
            <w:r>
              <w:rPr>
                <w:sz w:val="18"/>
                <w:szCs w:val="18"/>
              </w:rPr>
              <w:t xml:space="preserve">the terms varied under Part 2.9 </w:t>
            </w:r>
          </w:p>
        </w:tc>
        <w:tc>
          <w:tcPr>
            <w:tcW w:w="1560" w:type="dxa"/>
          </w:tcPr>
          <w:p w14:paraId="7AEEF873" w14:textId="77777777" w:rsidR="00100C3F" w:rsidRDefault="00100C3F" w:rsidP="001D41D9">
            <w:pPr>
              <w:rPr>
                <w:sz w:val="18"/>
                <w:szCs w:val="18"/>
              </w:rPr>
            </w:pPr>
            <w:r>
              <w:rPr>
                <w:sz w:val="18"/>
                <w:szCs w:val="18"/>
              </w:rPr>
              <w:t>Part 2.9</w:t>
            </w:r>
          </w:p>
          <w:p w14:paraId="3CBE522F" w14:textId="77777777" w:rsidR="00100C3F" w:rsidRPr="00F237D1" w:rsidRDefault="00100C3F" w:rsidP="001D41D9">
            <w:pPr>
              <w:rPr>
                <w:sz w:val="18"/>
                <w:szCs w:val="18"/>
              </w:rPr>
            </w:pPr>
          </w:p>
        </w:tc>
        <w:tc>
          <w:tcPr>
            <w:tcW w:w="1984" w:type="dxa"/>
          </w:tcPr>
          <w:p w14:paraId="6C639908" w14:textId="77777777" w:rsidR="00100C3F" w:rsidRPr="00F237D1" w:rsidRDefault="00100C3F" w:rsidP="001D41D9">
            <w:pPr>
              <w:rPr>
                <w:sz w:val="18"/>
                <w:szCs w:val="18"/>
              </w:rPr>
            </w:pPr>
            <w:r w:rsidRPr="00F237D1">
              <w:rPr>
                <w:sz w:val="18"/>
                <w:szCs w:val="18"/>
              </w:rPr>
              <w:t>Part 2.10 – Confirmation hearing</w:t>
            </w:r>
          </w:p>
          <w:p w14:paraId="43F2BE71" w14:textId="77777777" w:rsidR="00100C3F" w:rsidRPr="00F237D1" w:rsidRDefault="00100C3F" w:rsidP="001D41D9">
            <w:pPr>
              <w:rPr>
                <w:sz w:val="18"/>
                <w:szCs w:val="18"/>
              </w:rPr>
            </w:pPr>
            <w:r w:rsidRPr="00F237D1">
              <w:rPr>
                <w:sz w:val="18"/>
                <w:szCs w:val="18"/>
              </w:rPr>
              <w:t>Part 2.7 – After a finding/plea of guilt</w:t>
            </w:r>
          </w:p>
          <w:p w14:paraId="5280DCAD" w14:textId="77777777" w:rsidR="00100C3F" w:rsidRPr="00F237D1" w:rsidRDefault="00100C3F" w:rsidP="001D41D9">
            <w:pPr>
              <w:rPr>
                <w:sz w:val="18"/>
                <w:szCs w:val="18"/>
              </w:rPr>
            </w:pPr>
            <w:r w:rsidRPr="00F237D1">
              <w:rPr>
                <w:sz w:val="18"/>
                <w:szCs w:val="18"/>
              </w:rPr>
              <w:t>Part 2.5 – With consent</w:t>
            </w:r>
          </w:p>
        </w:tc>
        <w:tc>
          <w:tcPr>
            <w:tcW w:w="1276" w:type="dxa"/>
            <w:vMerge w:val="restart"/>
          </w:tcPr>
          <w:p w14:paraId="349EBAB4" w14:textId="77777777" w:rsidR="00100C3F" w:rsidRDefault="00100C3F" w:rsidP="001D41D9">
            <w:pPr>
              <w:rPr>
                <w:sz w:val="18"/>
                <w:szCs w:val="18"/>
              </w:rPr>
            </w:pPr>
          </w:p>
          <w:p w14:paraId="486D6DC5" w14:textId="77777777" w:rsidR="00100C3F" w:rsidRDefault="00100C3F" w:rsidP="001D41D9">
            <w:pPr>
              <w:rPr>
                <w:sz w:val="18"/>
                <w:szCs w:val="18"/>
              </w:rPr>
            </w:pPr>
          </w:p>
          <w:p w14:paraId="29190B5D" w14:textId="77777777" w:rsidR="00100C3F" w:rsidRDefault="00100C3F" w:rsidP="001D41D9">
            <w:pPr>
              <w:rPr>
                <w:sz w:val="18"/>
                <w:szCs w:val="18"/>
              </w:rPr>
            </w:pPr>
          </w:p>
          <w:p w14:paraId="40D5BEBC" w14:textId="77777777" w:rsidR="00100C3F" w:rsidRDefault="00100C3F" w:rsidP="001D41D9">
            <w:pPr>
              <w:rPr>
                <w:sz w:val="18"/>
                <w:szCs w:val="18"/>
              </w:rPr>
            </w:pPr>
          </w:p>
          <w:p w14:paraId="630304DE" w14:textId="77777777" w:rsidR="00100C3F" w:rsidRPr="00F237D1" w:rsidRDefault="00100C3F" w:rsidP="001D41D9">
            <w:pPr>
              <w:rPr>
                <w:sz w:val="18"/>
                <w:szCs w:val="18"/>
              </w:rPr>
            </w:pPr>
            <w:r>
              <w:rPr>
                <w:sz w:val="18"/>
                <w:szCs w:val="18"/>
              </w:rPr>
              <w:t>Final DVO</w:t>
            </w:r>
          </w:p>
        </w:tc>
        <w:tc>
          <w:tcPr>
            <w:tcW w:w="1701" w:type="dxa"/>
            <w:vMerge w:val="restart"/>
            <w:tcBorders>
              <w:bottom w:val="single" w:sz="4" w:space="0" w:color="auto"/>
            </w:tcBorders>
          </w:tcPr>
          <w:p w14:paraId="05DE98EF" w14:textId="77777777" w:rsidR="00100C3F" w:rsidRDefault="00100C3F" w:rsidP="001D41D9">
            <w:pPr>
              <w:rPr>
                <w:sz w:val="18"/>
                <w:szCs w:val="18"/>
              </w:rPr>
            </w:pPr>
          </w:p>
          <w:p w14:paraId="479DCBF6" w14:textId="77777777" w:rsidR="00100C3F" w:rsidRDefault="00100C3F" w:rsidP="001D41D9">
            <w:pPr>
              <w:rPr>
                <w:sz w:val="18"/>
                <w:szCs w:val="18"/>
              </w:rPr>
            </w:pPr>
          </w:p>
          <w:p w14:paraId="0BA66C9E" w14:textId="77777777" w:rsidR="00100C3F" w:rsidRDefault="00100C3F" w:rsidP="001D41D9">
            <w:pPr>
              <w:rPr>
                <w:sz w:val="18"/>
                <w:szCs w:val="18"/>
              </w:rPr>
            </w:pPr>
            <w:r>
              <w:rPr>
                <w:sz w:val="18"/>
                <w:szCs w:val="18"/>
              </w:rPr>
              <w:t>Part 2.8</w:t>
            </w:r>
          </w:p>
          <w:p w14:paraId="0AA1B17C" w14:textId="77777777" w:rsidR="00100C3F" w:rsidRDefault="00100C3F" w:rsidP="001D41D9">
            <w:pPr>
              <w:rPr>
                <w:sz w:val="18"/>
                <w:szCs w:val="18"/>
              </w:rPr>
            </w:pPr>
            <w:r>
              <w:rPr>
                <w:sz w:val="18"/>
                <w:szCs w:val="18"/>
              </w:rPr>
              <w:t>(Note: Court can make an interim variation order under s52A until the application is decided)</w:t>
            </w:r>
          </w:p>
          <w:p w14:paraId="78228B7B" w14:textId="77777777" w:rsidR="00100C3F" w:rsidRDefault="00100C3F" w:rsidP="001D41D9">
            <w:pPr>
              <w:rPr>
                <w:sz w:val="18"/>
                <w:szCs w:val="18"/>
              </w:rPr>
            </w:pPr>
          </w:p>
        </w:tc>
      </w:tr>
      <w:tr w:rsidR="00100C3F" w14:paraId="507DE64B" w14:textId="77777777" w:rsidTr="001D41D9">
        <w:tc>
          <w:tcPr>
            <w:tcW w:w="1696" w:type="dxa"/>
          </w:tcPr>
          <w:p w14:paraId="257E73BD" w14:textId="77777777" w:rsidR="00100C3F" w:rsidRDefault="00100C3F" w:rsidP="001D41D9">
            <w:pPr>
              <w:rPr>
                <w:sz w:val="18"/>
                <w:szCs w:val="18"/>
              </w:rPr>
            </w:pPr>
            <w:r>
              <w:rPr>
                <w:sz w:val="18"/>
                <w:szCs w:val="18"/>
              </w:rPr>
              <w:t>Court DVO</w:t>
            </w:r>
          </w:p>
          <w:p w14:paraId="7F2ADC0B" w14:textId="77777777" w:rsidR="00100C3F" w:rsidRPr="00F237D1" w:rsidRDefault="00100C3F" w:rsidP="001D41D9">
            <w:pPr>
              <w:rPr>
                <w:sz w:val="18"/>
                <w:szCs w:val="18"/>
              </w:rPr>
            </w:pPr>
            <w:r>
              <w:rPr>
                <w:sz w:val="18"/>
                <w:szCs w:val="18"/>
              </w:rPr>
              <w:t>A</w:t>
            </w:r>
            <w:r w:rsidRPr="00F237D1">
              <w:rPr>
                <w:sz w:val="18"/>
                <w:szCs w:val="18"/>
              </w:rPr>
              <w:t xml:space="preserve">pplication </w:t>
            </w:r>
            <w:r>
              <w:rPr>
                <w:sz w:val="18"/>
                <w:szCs w:val="18"/>
              </w:rPr>
              <w:t>(</w:t>
            </w:r>
            <w:r w:rsidRPr="00F237D1">
              <w:rPr>
                <w:sz w:val="18"/>
                <w:szCs w:val="18"/>
              </w:rPr>
              <w:t>s28 or 29</w:t>
            </w:r>
            <w:r>
              <w:rPr>
                <w:sz w:val="18"/>
                <w:szCs w:val="18"/>
              </w:rPr>
              <w:t>)</w:t>
            </w:r>
          </w:p>
        </w:tc>
        <w:tc>
          <w:tcPr>
            <w:tcW w:w="1701" w:type="dxa"/>
          </w:tcPr>
          <w:p w14:paraId="2A488FA7" w14:textId="77777777" w:rsidR="00100C3F" w:rsidRPr="00F237D1" w:rsidRDefault="00100C3F" w:rsidP="001D41D9">
            <w:pPr>
              <w:rPr>
                <w:sz w:val="18"/>
                <w:szCs w:val="18"/>
              </w:rPr>
            </w:pPr>
            <w:r w:rsidRPr="00F237D1">
              <w:rPr>
                <w:sz w:val="18"/>
                <w:szCs w:val="18"/>
              </w:rPr>
              <w:t xml:space="preserve">Interim Court DVO </w:t>
            </w:r>
            <w:r>
              <w:rPr>
                <w:sz w:val="18"/>
                <w:szCs w:val="18"/>
              </w:rPr>
              <w:t xml:space="preserve">is made </w:t>
            </w:r>
            <w:r w:rsidRPr="00F237D1">
              <w:rPr>
                <w:sz w:val="18"/>
                <w:szCs w:val="18"/>
              </w:rPr>
              <w:t>under s35</w:t>
            </w:r>
          </w:p>
        </w:tc>
        <w:tc>
          <w:tcPr>
            <w:tcW w:w="1560" w:type="dxa"/>
          </w:tcPr>
          <w:p w14:paraId="3CBBC4AC" w14:textId="77777777" w:rsidR="00100C3F" w:rsidRDefault="00100C3F" w:rsidP="001D41D9">
            <w:pPr>
              <w:rPr>
                <w:sz w:val="18"/>
                <w:szCs w:val="18"/>
              </w:rPr>
            </w:pPr>
            <w:r w:rsidRPr="00F237D1">
              <w:rPr>
                <w:sz w:val="18"/>
                <w:szCs w:val="18"/>
              </w:rPr>
              <w:t>Part 2.8</w:t>
            </w:r>
          </w:p>
          <w:p w14:paraId="0A74CD82" w14:textId="77777777" w:rsidR="00100C3F" w:rsidRPr="00F237D1" w:rsidRDefault="00100C3F" w:rsidP="001D41D9">
            <w:pPr>
              <w:rPr>
                <w:sz w:val="18"/>
                <w:szCs w:val="18"/>
              </w:rPr>
            </w:pPr>
            <w:r>
              <w:rPr>
                <w:sz w:val="18"/>
                <w:szCs w:val="18"/>
              </w:rPr>
              <w:t>(Note: Court can make an interim variation order under s52A until the application is decided)</w:t>
            </w:r>
          </w:p>
        </w:tc>
        <w:tc>
          <w:tcPr>
            <w:tcW w:w="1984" w:type="dxa"/>
          </w:tcPr>
          <w:p w14:paraId="3DFCB198" w14:textId="77777777" w:rsidR="00100C3F" w:rsidRPr="00F237D1" w:rsidRDefault="00100C3F" w:rsidP="001D41D9">
            <w:pPr>
              <w:rPr>
                <w:sz w:val="18"/>
                <w:szCs w:val="18"/>
              </w:rPr>
            </w:pPr>
            <w:r w:rsidRPr="00F237D1">
              <w:rPr>
                <w:sz w:val="18"/>
                <w:szCs w:val="18"/>
              </w:rPr>
              <w:t>Part 2.10 – Confirmation hearing</w:t>
            </w:r>
          </w:p>
          <w:p w14:paraId="2235E4FE" w14:textId="77777777" w:rsidR="00100C3F" w:rsidRPr="00F237D1" w:rsidRDefault="00100C3F" w:rsidP="001D41D9">
            <w:pPr>
              <w:rPr>
                <w:sz w:val="18"/>
                <w:szCs w:val="18"/>
              </w:rPr>
            </w:pPr>
            <w:r w:rsidRPr="00F237D1">
              <w:rPr>
                <w:sz w:val="18"/>
                <w:szCs w:val="18"/>
              </w:rPr>
              <w:t>Part 2.7 – After a finding/plea of guilt</w:t>
            </w:r>
          </w:p>
          <w:p w14:paraId="089EB6C6" w14:textId="77777777" w:rsidR="00100C3F" w:rsidRPr="00F237D1" w:rsidRDefault="00100C3F" w:rsidP="001D41D9">
            <w:pPr>
              <w:rPr>
                <w:sz w:val="18"/>
                <w:szCs w:val="18"/>
              </w:rPr>
            </w:pPr>
            <w:r w:rsidRPr="00F237D1">
              <w:rPr>
                <w:sz w:val="18"/>
                <w:szCs w:val="18"/>
              </w:rPr>
              <w:t>Part 2.5 – With consent</w:t>
            </w:r>
          </w:p>
        </w:tc>
        <w:tc>
          <w:tcPr>
            <w:tcW w:w="1276" w:type="dxa"/>
            <w:vMerge/>
          </w:tcPr>
          <w:p w14:paraId="4BD67CE1" w14:textId="77777777" w:rsidR="00100C3F" w:rsidRPr="00F237D1" w:rsidRDefault="00100C3F" w:rsidP="001D41D9">
            <w:pPr>
              <w:rPr>
                <w:sz w:val="18"/>
                <w:szCs w:val="18"/>
              </w:rPr>
            </w:pPr>
          </w:p>
        </w:tc>
        <w:tc>
          <w:tcPr>
            <w:tcW w:w="1701" w:type="dxa"/>
            <w:vMerge/>
            <w:tcBorders>
              <w:bottom w:val="single" w:sz="4" w:space="0" w:color="auto"/>
            </w:tcBorders>
          </w:tcPr>
          <w:p w14:paraId="7E81B15B" w14:textId="77777777" w:rsidR="00100C3F" w:rsidRPr="00F237D1" w:rsidRDefault="00100C3F" w:rsidP="001D41D9">
            <w:pPr>
              <w:rPr>
                <w:sz w:val="18"/>
                <w:szCs w:val="18"/>
              </w:rPr>
            </w:pPr>
          </w:p>
        </w:tc>
      </w:tr>
    </w:tbl>
    <w:p w14:paraId="5A713BA6" w14:textId="4DCE9A8C" w:rsidR="00100C3F" w:rsidRDefault="00100C3F" w:rsidP="00FA4FCF"/>
    <w:p w14:paraId="01EC1165" w14:textId="77777777" w:rsidR="00FA4FCF" w:rsidRPr="0013396D" w:rsidRDefault="00FA4FCF" w:rsidP="00FD1BE6">
      <w:pPr>
        <w:keepNext/>
        <w:rPr>
          <w:b/>
          <w:bCs/>
        </w:rPr>
      </w:pPr>
      <w:r w:rsidRPr="0013396D">
        <w:rPr>
          <w:b/>
          <w:bCs/>
        </w:rPr>
        <w:lastRenderedPageBreak/>
        <w:t>Variation of unconfirmed police DVOs</w:t>
      </w:r>
    </w:p>
    <w:p w14:paraId="5863FB4C" w14:textId="27277055" w:rsidR="00FA4FCF" w:rsidRPr="00EE5DAD" w:rsidRDefault="00FA4FCF" w:rsidP="00FD1BE6">
      <w:r w:rsidRPr="00EE5DAD">
        <w:t xml:space="preserve">The </w:t>
      </w:r>
      <w:r w:rsidR="002119C5">
        <w:t>DFV </w:t>
      </w:r>
      <w:r w:rsidRPr="00EE5DAD">
        <w:t xml:space="preserve">Act is structured on an assumption that </w:t>
      </w:r>
      <w:r w:rsidR="002119C5" w:rsidRPr="00EE5DAD">
        <w:t xml:space="preserve">police </w:t>
      </w:r>
      <w:r w:rsidRPr="00EE5DAD">
        <w:t>DVOs are brought to the court quickly to be “confirmed” by</w:t>
      </w:r>
      <w:r>
        <w:t xml:space="preserve"> the </w:t>
      </w:r>
      <w:r w:rsidR="002119C5">
        <w:t>court (under Part </w:t>
      </w:r>
      <w:r>
        <w:t>2.10) when they</w:t>
      </w:r>
      <w:r w:rsidRPr="00EE5DAD">
        <w:t xml:space="preserve"> become a </w:t>
      </w:r>
      <w:r w:rsidR="002119C5" w:rsidRPr="00EE5DAD">
        <w:t xml:space="preserve">court </w:t>
      </w:r>
      <w:r w:rsidRPr="00EE5DAD">
        <w:t xml:space="preserve">DVO.  In practice, many </w:t>
      </w:r>
      <w:r w:rsidR="002119C5" w:rsidRPr="00EE5DAD">
        <w:t xml:space="preserve">police </w:t>
      </w:r>
      <w:r w:rsidRPr="00EE5DAD">
        <w:t xml:space="preserve">DVOs remain as unconfirmed police DVOs for a period of time whilst parties prepare for the hearing by the </w:t>
      </w:r>
      <w:r w:rsidR="002119C5" w:rsidRPr="00EE5DAD">
        <w:t>court</w:t>
      </w:r>
      <w:r w:rsidRPr="00EE5DAD">
        <w:t xml:space="preserve">.  Often initial </w:t>
      </w:r>
      <w:r w:rsidR="002119C5" w:rsidRPr="00EE5DAD">
        <w:t xml:space="preserve">police </w:t>
      </w:r>
      <w:r w:rsidRPr="00EE5DAD">
        <w:t xml:space="preserve">DVOs are made by police as a matter of urgency when parties are in immediate crisis.  They are made before all the facts and circumstances are known. </w:t>
      </w:r>
      <w:r w:rsidR="002119C5">
        <w:t xml:space="preserve"> </w:t>
      </w:r>
      <w:r w:rsidRPr="00EE5DAD">
        <w:t xml:space="preserve">This means they may need to be varied in order to be workable for the parties (for example, to make arrangements for the children where it is safe to do so). </w:t>
      </w:r>
    </w:p>
    <w:p w14:paraId="0EAC87E1" w14:textId="74F001A0" w:rsidR="00FA4FCF" w:rsidRDefault="00FA4FCF" w:rsidP="00FD1BE6">
      <w:r w:rsidRPr="00EE5DAD">
        <w:t>The</w:t>
      </w:r>
      <w:r w:rsidR="000C5AAF">
        <w:t>re is no express power</w:t>
      </w:r>
      <w:r w:rsidRPr="00EE5DAD">
        <w:t xml:space="preserve"> in the </w:t>
      </w:r>
      <w:r w:rsidR="002119C5">
        <w:t>DFV </w:t>
      </w:r>
      <w:r w:rsidRPr="00EE5DAD">
        <w:t xml:space="preserve">Act </w:t>
      </w:r>
      <w:r w:rsidR="00BD4E0F" w:rsidRPr="00BD4E0F">
        <w:t>for</w:t>
      </w:r>
      <w:r w:rsidRPr="00EE5DAD">
        <w:t xml:space="preserve"> the variation of unconfirmed police DVOs other than in urgent circumstances (under Part</w:t>
      </w:r>
      <w:r w:rsidR="002119C5">
        <w:t> </w:t>
      </w:r>
      <w:r w:rsidRPr="00EE5DAD">
        <w:t>2.8</w:t>
      </w:r>
      <w:r w:rsidR="002119C5">
        <w:t>,</w:t>
      </w:r>
      <w:r w:rsidRPr="00EE5DAD">
        <w:t xml:space="preserve"> Division 2) where there is a substantial change in relevant circumstances (section 65).</w:t>
      </w:r>
      <w:r w:rsidR="000C5AAF">
        <w:rPr>
          <w:rStyle w:val="FootnoteReference"/>
        </w:rPr>
        <w:footnoteReference w:id="179"/>
      </w:r>
      <w:r w:rsidRPr="00EE5DAD">
        <w:t xml:space="preserve">  Parties have found it is difficult to meet this criteria although sensible variations to the orders are clearly required.</w:t>
      </w:r>
      <w:r w:rsidR="000C5AAF">
        <w:t xml:space="preserve"> This creates practical difficulties for all parties.</w:t>
      </w:r>
    </w:p>
    <w:p w14:paraId="2E93D864" w14:textId="675B27B8" w:rsidR="00EA2805" w:rsidRDefault="00FA4FCF" w:rsidP="00FD1BE6">
      <w:r>
        <w:t xml:space="preserve">In addition, stakeholders have been concerned that the provisions in Part 2.9 allow the </w:t>
      </w:r>
      <w:r w:rsidR="002119C5">
        <w:t xml:space="preserve">court </w:t>
      </w:r>
      <w:r>
        <w:t>to vary or revoke a DVO on oral application of the defendant, in the absence of the protected person, and without the protected person being made aware of the application or having an opportunity to be heard on the matter.</w:t>
      </w:r>
      <w:r w:rsidRPr="00995CC8">
        <w:t xml:space="preserve"> </w:t>
      </w:r>
    </w:p>
    <w:p w14:paraId="1099D87F" w14:textId="33C2AEBA" w:rsidR="00FA4FCF" w:rsidRDefault="00100C3F" w:rsidP="00FD1BE6">
      <w:r w:rsidRPr="00EA2805">
        <w:t>It is therefore</w:t>
      </w:r>
      <w:r w:rsidR="002119C5">
        <w:t xml:space="preserve"> proposed to amend Part </w:t>
      </w:r>
      <w:r w:rsidR="00E276E2" w:rsidRPr="00EA2805">
        <w:t>2.</w:t>
      </w:r>
      <w:r w:rsidR="00EA2805" w:rsidRPr="00EA2805">
        <w:t xml:space="preserve">9 to enable the judge to vary the DVO on an interim basis without confirming it.  </w:t>
      </w:r>
      <w:r w:rsidR="00EA2805">
        <w:t>It is also proposed to p</w:t>
      </w:r>
      <w:r w:rsidR="00EA2805" w:rsidRPr="00EA2805">
        <w:t>rovide that the DVO must not be revoked or significantly varied to make it less restrictive without the protected person, being made aware of the application and ha</w:t>
      </w:r>
      <w:r w:rsidR="00EA2805">
        <w:t>ving an opportunity to be heard.</w:t>
      </w:r>
      <w:r w:rsidR="002119C5">
        <w:t xml:space="preserve"> </w:t>
      </w:r>
      <w:r w:rsidR="00EA2805">
        <w:t xml:space="preserve"> </w:t>
      </w:r>
      <w:r w:rsidR="002834E5">
        <w:t xml:space="preserve">To </w:t>
      </w:r>
      <w:r w:rsidR="00C309B5">
        <w:t xml:space="preserve">make an order less restrictive without considering the protected person’s point of view </w:t>
      </w:r>
      <w:r w:rsidR="002834E5">
        <w:t xml:space="preserve">may jeopardise the protected person’s safety. </w:t>
      </w:r>
    </w:p>
    <w:p w14:paraId="791334F5" w14:textId="078ED4CA" w:rsidR="00FA4FCF" w:rsidRPr="005C71F2" w:rsidRDefault="00267CCF" w:rsidP="002119C5">
      <w:pPr>
        <w:spacing w:after="120"/>
      </w:pPr>
      <w:r>
        <w:t xml:space="preserve">As outlined in </w:t>
      </w:r>
      <w:r w:rsidR="002119C5">
        <w:t>proposal LR </w:t>
      </w:r>
      <w:r>
        <w:t>3 above</w:t>
      </w:r>
      <w:r w:rsidR="00FA4FCF">
        <w:t xml:space="preserve">, it is proposed to clarify the definition of </w:t>
      </w:r>
      <w:r w:rsidR="00EA2805">
        <w:t>‘</w:t>
      </w:r>
      <w:r w:rsidR="00FA4FCF">
        <w:t>party</w:t>
      </w:r>
      <w:r w:rsidR="00EA2805">
        <w:t>’</w:t>
      </w:r>
      <w:r w:rsidR="002119C5">
        <w:t xml:space="preserve"> in section </w:t>
      </w:r>
      <w:r w:rsidR="00FA4FCF">
        <w:t>4, so that it includes:</w:t>
      </w:r>
    </w:p>
    <w:p w14:paraId="70E39D60" w14:textId="3292AA65" w:rsidR="00FA4FCF" w:rsidRPr="005C71F2" w:rsidRDefault="002119C5" w:rsidP="0067521E">
      <w:pPr>
        <w:pStyle w:val="ListParagraph"/>
        <w:numPr>
          <w:ilvl w:val="0"/>
          <w:numId w:val="49"/>
        </w:numPr>
        <w:ind w:left="567" w:hanging="567"/>
      </w:pPr>
      <w:r w:rsidRPr="005C71F2">
        <w:t xml:space="preserve">the </w:t>
      </w:r>
      <w:r>
        <w:t>protected person;</w:t>
      </w:r>
      <w:r w:rsidR="00FA4FCF" w:rsidRPr="005C71F2">
        <w:t xml:space="preserve"> and</w:t>
      </w:r>
    </w:p>
    <w:p w14:paraId="67196E2C" w14:textId="553596AE" w:rsidR="00FA4FCF" w:rsidRPr="005C71F2" w:rsidRDefault="002119C5" w:rsidP="0067521E">
      <w:pPr>
        <w:pStyle w:val="ListParagraph"/>
        <w:numPr>
          <w:ilvl w:val="0"/>
          <w:numId w:val="49"/>
        </w:numPr>
        <w:ind w:left="567" w:hanging="567"/>
      </w:pPr>
      <w:r w:rsidRPr="005C71F2">
        <w:t xml:space="preserve">the </w:t>
      </w:r>
      <w:r>
        <w:t>defendant;</w:t>
      </w:r>
      <w:r w:rsidR="00FA4FCF" w:rsidRPr="005C71F2">
        <w:t xml:space="preserve"> and</w:t>
      </w:r>
    </w:p>
    <w:p w14:paraId="55A48964" w14:textId="507054DE" w:rsidR="00FA4FCF" w:rsidRDefault="002119C5" w:rsidP="0067521E">
      <w:pPr>
        <w:pStyle w:val="ListParagraph"/>
        <w:numPr>
          <w:ilvl w:val="0"/>
          <w:numId w:val="49"/>
        </w:numPr>
        <w:ind w:left="567" w:hanging="567"/>
      </w:pPr>
      <w:r w:rsidRPr="005C71F2">
        <w:t xml:space="preserve">if </w:t>
      </w:r>
      <w:r w:rsidR="00FA4FCF" w:rsidRPr="005C71F2">
        <w:t>the police apply for a DVO under s</w:t>
      </w:r>
      <w:r>
        <w:t>ection </w:t>
      </w:r>
      <w:r w:rsidR="00FA4FCF" w:rsidRPr="005C71F2">
        <w:t>28 or s</w:t>
      </w:r>
      <w:r>
        <w:t>ection </w:t>
      </w:r>
      <w:r w:rsidR="00FA4FCF" w:rsidRPr="005C71F2">
        <w:t xml:space="preserve">29 or make a </w:t>
      </w:r>
      <w:r w:rsidRPr="005C71F2">
        <w:t xml:space="preserve">police </w:t>
      </w:r>
      <w:r w:rsidR="00FA4FCF" w:rsidRPr="005C71F2">
        <w:t>DVO under s</w:t>
      </w:r>
      <w:r>
        <w:t>ection </w:t>
      </w:r>
      <w:r w:rsidR="00FA4FCF" w:rsidRPr="005C71F2">
        <w:t>41, the police are also a party</w:t>
      </w:r>
      <w:r>
        <w:t xml:space="preserve"> and</w:t>
      </w:r>
    </w:p>
    <w:p w14:paraId="2437A163" w14:textId="30CE797F" w:rsidR="00FA4FCF" w:rsidRDefault="002119C5" w:rsidP="0067521E">
      <w:pPr>
        <w:pStyle w:val="ListParagraph"/>
        <w:numPr>
          <w:ilvl w:val="0"/>
          <w:numId w:val="49"/>
        </w:numPr>
        <w:spacing w:after="160"/>
        <w:ind w:left="567" w:hanging="567"/>
        <w:contextualSpacing/>
      </w:pPr>
      <w:r w:rsidRPr="005C71F2">
        <w:t xml:space="preserve">if </w:t>
      </w:r>
      <w:r w:rsidR="00FA4FCF" w:rsidRPr="005C71F2">
        <w:t>a person acting for an adult or a child in a domestic relationship with the defendant applies for a DVO on behalf of an adult or a child under s</w:t>
      </w:r>
      <w:r>
        <w:t>ection </w:t>
      </w:r>
      <w:r w:rsidR="00FA4FCF" w:rsidRPr="005C71F2">
        <w:t>28 or s</w:t>
      </w:r>
      <w:r>
        <w:t>ection </w:t>
      </w:r>
      <w:r w:rsidR="00FA4FCF" w:rsidRPr="005C71F2">
        <w:t xml:space="preserve">29 they are also a party.  </w:t>
      </w:r>
    </w:p>
    <w:p w14:paraId="05372790" w14:textId="6E47CCD8" w:rsidR="00FA4FCF" w:rsidRPr="00256D68" w:rsidRDefault="00FA4FCF" w:rsidP="00FD1BE6">
      <w:r>
        <w:t>It is al</w:t>
      </w:r>
      <w:r w:rsidR="002834E5">
        <w:t>so proposed to amend Part 2.8 to clarify</w:t>
      </w:r>
      <w:r>
        <w:t xml:space="preserve"> that once an application to vary or revoke has been filed, the </w:t>
      </w:r>
      <w:r w:rsidR="002834E5">
        <w:t xml:space="preserve">existing </w:t>
      </w:r>
      <w:r>
        <w:t>order conti</w:t>
      </w:r>
      <w:r w:rsidR="002834E5">
        <w:t>nues in force until the</w:t>
      </w:r>
      <w:r w:rsidR="0056066F">
        <w:t xml:space="preserve"> DVO has been varied, revo</w:t>
      </w:r>
      <w:r w:rsidR="002834E5">
        <w:t>ked,</w:t>
      </w:r>
      <w:r w:rsidR="0056066F">
        <w:t xml:space="preserve"> confirmed or set aside on appeal.</w:t>
      </w:r>
    </w:p>
    <w:p w14:paraId="2FF57590" w14:textId="69742AD4" w:rsidR="00FA4FCF" w:rsidRPr="00107FB2" w:rsidRDefault="00FA4FCF" w:rsidP="00FD1BE6">
      <w:r w:rsidRPr="00EE5DAD">
        <w:t xml:space="preserve">It is important that </w:t>
      </w:r>
      <w:r>
        <w:t>protected person</w:t>
      </w:r>
      <w:r w:rsidR="00BD4E0F">
        <w:t xml:space="preserve">s </w:t>
      </w:r>
      <w:r w:rsidRPr="00EE5DAD">
        <w:t xml:space="preserve">who attend </w:t>
      </w:r>
      <w:r w:rsidR="002119C5" w:rsidRPr="00EE5DAD">
        <w:t xml:space="preserve">court </w:t>
      </w:r>
      <w:r w:rsidRPr="00EE5DAD">
        <w:t xml:space="preserve">can make an oral application for a DVO to be </w:t>
      </w:r>
      <w:r w:rsidRPr="00107FB2">
        <w:t xml:space="preserve">varied, and the </w:t>
      </w:r>
      <w:r w:rsidR="00FD1BE6" w:rsidRPr="00107FB2">
        <w:t xml:space="preserve">court </w:t>
      </w:r>
      <w:r w:rsidRPr="00107FB2">
        <w:t>may vary the order, even in the defendant’s absence, with procedures in place to ensure the defendant receives notice of the variation</w:t>
      </w:r>
      <w:r w:rsidR="00BD4E0F" w:rsidRPr="00107FB2">
        <w:t xml:space="preserve"> (and the right to</w:t>
      </w:r>
      <w:r w:rsidRPr="00107FB2">
        <w:t xml:space="preserve"> object). </w:t>
      </w:r>
    </w:p>
    <w:p w14:paraId="76ABDC44" w14:textId="3262E9E2" w:rsidR="00FA4FCF" w:rsidRPr="00107FB2" w:rsidRDefault="00FA4FCF" w:rsidP="002119C5">
      <w:pPr>
        <w:spacing w:after="240"/>
      </w:pPr>
      <w:r w:rsidRPr="00107FB2">
        <w:t xml:space="preserve">For safety reasons, it is particularly important that a DVO is not varied </w:t>
      </w:r>
      <w:r w:rsidR="00107FB2">
        <w:t xml:space="preserve">down </w:t>
      </w:r>
      <w:r w:rsidRPr="00107FB2">
        <w:t>on the oral application of the defendant without the protected person having an op</w:t>
      </w:r>
      <w:r w:rsidR="00107FB2">
        <w:t>portuni</w:t>
      </w:r>
      <w:r w:rsidR="00FD1BE6">
        <w:t>ty to be heard, and that any ex </w:t>
      </w:r>
      <w:r w:rsidR="00107FB2">
        <w:t xml:space="preserve">parte changes are </w:t>
      </w:r>
      <w:r w:rsidR="00386AC4">
        <w:t>not made without considering</w:t>
      </w:r>
      <w:r w:rsidR="00C309B5">
        <w:t xml:space="preserve"> the protected </w:t>
      </w:r>
      <w:r w:rsidR="00386AC4">
        <w:t>person’s point of view if they wish</w:t>
      </w:r>
      <w:r w:rsidR="00C309B5">
        <w:t xml:space="preserve"> to express a view.</w:t>
      </w:r>
      <w:r w:rsidR="00107FB2">
        <w:t xml:space="preserve"> </w:t>
      </w:r>
    </w:p>
    <w:p w14:paraId="3399C418" w14:textId="6F08151F" w:rsidR="00FA4FCF" w:rsidRDefault="00DE6BCA" w:rsidP="00FD1BE6">
      <w:pPr>
        <w:pStyle w:val="Heading4"/>
        <w:keepNext/>
        <w:numPr>
          <w:ilvl w:val="0"/>
          <w:numId w:val="0"/>
        </w:numPr>
        <w:spacing w:after="0"/>
        <w:ind w:left="862" w:hanging="862"/>
      </w:pPr>
      <w:r>
        <w:lastRenderedPageBreak/>
        <w:t xml:space="preserve">PROPOSAL </w:t>
      </w:r>
      <w:r w:rsidR="001804B8">
        <w:t xml:space="preserve">LR </w:t>
      </w:r>
      <w:r>
        <w:t>32</w:t>
      </w:r>
    </w:p>
    <w:p w14:paraId="3D7E8EF1" w14:textId="2F99F4FF" w:rsidR="0057061F" w:rsidRPr="00173C5D" w:rsidRDefault="0057061F" w:rsidP="00FD1BE6">
      <w:pPr>
        <w:keepNext/>
        <w:spacing w:after="0"/>
        <w:rPr>
          <w:b/>
        </w:rPr>
      </w:pPr>
      <w:r w:rsidRPr="00173C5D">
        <w:rPr>
          <w:b/>
        </w:rPr>
        <w:t>It is proposed to retain the overall structure of Chapter 2 of the DFV</w:t>
      </w:r>
      <w:r w:rsidR="00FD1BE6">
        <w:rPr>
          <w:b/>
        </w:rPr>
        <w:t xml:space="preserve"> </w:t>
      </w:r>
      <w:r w:rsidRPr="00173C5D">
        <w:rPr>
          <w:b/>
        </w:rPr>
        <w:t>A</w:t>
      </w:r>
      <w:r w:rsidR="00FD1BE6">
        <w:rPr>
          <w:b/>
        </w:rPr>
        <w:t>ct</w:t>
      </w:r>
      <w:r w:rsidRPr="00173C5D">
        <w:rPr>
          <w:b/>
        </w:rPr>
        <w:t xml:space="preserve"> but clarify and strengthen the provisions for varying and revoking DVOs as follows:</w:t>
      </w:r>
    </w:p>
    <w:p w14:paraId="3B3E9050" w14:textId="71C0B319" w:rsidR="0057061F" w:rsidRPr="00173C5D" w:rsidRDefault="0057061F" w:rsidP="0067521E">
      <w:pPr>
        <w:pStyle w:val="ListParagraph"/>
        <w:numPr>
          <w:ilvl w:val="0"/>
          <w:numId w:val="162"/>
        </w:numPr>
        <w:spacing w:after="0"/>
        <w:ind w:left="567" w:hanging="567"/>
        <w:rPr>
          <w:b/>
        </w:rPr>
      </w:pPr>
      <w:r w:rsidRPr="00173C5D">
        <w:rPr>
          <w:b/>
        </w:rPr>
        <w:t xml:space="preserve">Make various amendments to </w:t>
      </w:r>
      <w:r w:rsidRPr="0057061F">
        <w:rPr>
          <w:b/>
        </w:rPr>
        <w:t>Part 2.8 ‘Variation and revocation of DVOs’</w:t>
      </w:r>
      <w:r w:rsidR="00FD1BE6">
        <w:rPr>
          <w:b/>
        </w:rPr>
        <w:t>, including to amend section </w:t>
      </w:r>
      <w:r w:rsidRPr="00173C5D">
        <w:rPr>
          <w:b/>
        </w:rPr>
        <w:t>56 so that it includes revoking a DVO and that the order must not be revoked or significantly varied to make it less restrictive without the protected person, being made aware of the application and having an opportunity to be heard.</w:t>
      </w:r>
    </w:p>
    <w:p w14:paraId="6A3321F4" w14:textId="39789E93" w:rsidR="0057061F" w:rsidRPr="00173C5D" w:rsidRDefault="0057061F" w:rsidP="0067521E">
      <w:pPr>
        <w:pStyle w:val="ListParagraph"/>
        <w:numPr>
          <w:ilvl w:val="0"/>
          <w:numId w:val="162"/>
        </w:numPr>
        <w:spacing w:after="0"/>
        <w:ind w:left="567" w:hanging="567"/>
        <w:rPr>
          <w:b/>
        </w:rPr>
      </w:pPr>
      <w:r w:rsidRPr="00173C5D">
        <w:rPr>
          <w:b/>
        </w:rPr>
        <w:t xml:space="preserve">Amend </w:t>
      </w:r>
      <w:r w:rsidRPr="0057061F">
        <w:rPr>
          <w:b/>
        </w:rPr>
        <w:t>Part 2.9 ‘Review of police DVOs</w:t>
      </w:r>
      <w:r w:rsidR="00225F4C">
        <w:rPr>
          <w:b/>
        </w:rPr>
        <w:t>’</w:t>
      </w:r>
      <w:r w:rsidRPr="00173C5D">
        <w:rPr>
          <w:b/>
        </w:rPr>
        <w:t xml:space="preserve"> along the lines:</w:t>
      </w:r>
    </w:p>
    <w:p w14:paraId="46AA8620" w14:textId="516007C3" w:rsidR="0057061F" w:rsidRPr="00173C5D" w:rsidRDefault="00FD1BE6" w:rsidP="0067521E">
      <w:pPr>
        <w:pStyle w:val="ListParagraph"/>
        <w:numPr>
          <w:ilvl w:val="1"/>
          <w:numId w:val="152"/>
        </w:numPr>
        <w:spacing w:after="0"/>
        <w:ind w:left="1134"/>
        <w:rPr>
          <w:b/>
        </w:rPr>
      </w:pPr>
      <w:r w:rsidRPr="00173C5D">
        <w:rPr>
          <w:b/>
        </w:rPr>
        <w:t xml:space="preserve">amend </w:t>
      </w:r>
      <w:r w:rsidR="0057061F" w:rsidRPr="00173C5D">
        <w:rPr>
          <w:b/>
        </w:rPr>
        <w:t xml:space="preserve">section 74(2) to enable the judge to vary a </w:t>
      </w:r>
      <w:r w:rsidRPr="00173C5D">
        <w:rPr>
          <w:b/>
        </w:rPr>
        <w:t xml:space="preserve">police </w:t>
      </w:r>
      <w:r w:rsidR="0057061F" w:rsidRPr="00173C5D">
        <w:rPr>
          <w:b/>
        </w:rPr>
        <w:t>DVO on an interim basis without confirming it, and</w:t>
      </w:r>
    </w:p>
    <w:p w14:paraId="16E85677" w14:textId="14F07478" w:rsidR="0057061F" w:rsidRPr="00173C5D" w:rsidRDefault="00FD1BE6" w:rsidP="0067521E">
      <w:pPr>
        <w:pStyle w:val="ListParagraph"/>
        <w:numPr>
          <w:ilvl w:val="1"/>
          <w:numId w:val="152"/>
        </w:numPr>
        <w:spacing w:after="0"/>
        <w:ind w:left="1134"/>
        <w:rPr>
          <w:b/>
        </w:rPr>
      </w:pPr>
      <w:r w:rsidRPr="00173C5D">
        <w:rPr>
          <w:b/>
        </w:rPr>
        <w:t xml:space="preserve">provide </w:t>
      </w:r>
      <w:r w:rsidR="0057061F" w:rsidRPr="00173C5D">
        <w:rPr>
          <w:b/>
        </w:rPr>
        <w:t xml:space="preserve">that the DVO must not be revoked or significantly varied to make it less restrictive without the protected person, being made aware of the application and having an opportunity to be heard.  </w:t>
      </w:r>
    </w:p>
    <w:p w14:paraId="6A49C8BA" w14:textId="77777777" w:rsidR="0057061F" w:rsidRPr="00173C5D" w:rsidRDefault="0057061F" w:rsidP="0067521E">
      <w:pPr>
        <w:pStyle w:val="ListParagraph"/>
        <w:numPr>
          <w:ilvl w:val="0"/>
          <w:numId w:val="162"/>
        </w:numPr>
        <w:spacing w:after="0"/>
        <w:ind w:left="567" w:hanging="567"/>
        <w:rPr>
          <w:b/>
        </w:rPr>
      </w:pPr>
      <w:r w:rsidRPr="00173C5D">
        <w:rPr>
          <w:b/>
        </w:rPr>
        <w:t xml:space="preserve">Amend </w:t>
      </w:r>
      <w:r w:rsidRPr="0057061F">
        <w:rPr>
          <w:b/>
        </w:rPr>
        <w:t>Part 2.10 ‘Confirmation of DVOs’</w:t>
      </w:r>
      <w:r w:rsidRPr="00173C5D">
        <w:rPr>
          <w:b/>
        </w:rPr>
        <w:t xml:space="preserve"> along the lines:</w:t>
      </w:r>
    </w:p>
    <w:p w14:paraId="2BA67BEF" w14:textId="303BD623" w:rsidR="0057061F" w:rsidRPr="00173C5D" w:rsidRDefault="00FD1BE6" w:rsidP="0067521E">
      <w:pPr>
        <w:pStyle w:val="ListParagraph"/>
        <w:numPr>
          <w:ilvl w:val="0"/>
          <w:numId w:val="153"/>
        </w:numPr>
        <w:spacing w:after="0" w:line="259" w:lineRule="auto"/>
        <w:ind w:left="1134"/>
        <w:contextualSpacing/>
        <w:rPr>
          <w:b/>
        </w:rPr>
      </w:pPr>
      <w:r w:rsidRPr="00173C5D">
        <w:rPr>
          <w:b/>
        </w:rPr>
        <w:t xml:space="preserve">amend </w:t>
      </w:r>
      <w:r w:rsidR="0057061F" w:rsidRPr="00173C5D">
        <w:rPr>
          <w:b/>
        </w:rPr>
        <w:t xml:space="preserve">section 82(1) so that the </w:t>
      </w:r>
      <w:r w:rsidRPr="00173C5D">
        <w:rPr>
          <w:b/>
        </w:rPr>
        <w:t xml:space="preserve">court </w:t>
      </w:r>
      <w:r w:rsidR="0057061F" w:rsidRPr="00173C5D">
        <w:rPr>
          <w:b/>
        </w:rPr>
        <w:t>may:</w:t>
      </w:r>
    </w:p>
    <w:p w14:paraId="2CED5D09" w14:textId="00BB7011" w:rsidR="0057061F" w:rsidRPr="00173C5D" w:rsidRDefault="00FD1BE6" w:rsidP="0067521E">
      <w:pPr>
        <w:pStyle w:val="ListParagraph"/>
        <w:numPr>
          <w:ilvl w:val="1"/>
          <w:numId w:val="153"/>
        </w:numPr>
        <w:spacing w:after="160" w:line="259" w:lineRule="auto"/>
        <w:ind w:left="1560"/>
        <w:contextualSpacing/>
        <w:rPr>
          <w:b/>
        </w:rPr>
      </w:pPr>
      <w:r w:rsidRPr="00173C5D">
        <w:rPr>
          <w:b/>
        </w:rPr>
        <w:t xml:space="preserve">confirm </w:t>
      </w:r>
      <w:r w:rsidR="0057061F" w:rsidRPr="00173C5D">
        <w:rPr>
          <w:b/>
        </w:rPr>
        <w:t>the DVO (with or without variations)</w:t>
      </w:r>
      <w:r>
        <w:rPr>
          <w:b/>
        </w:rPr>
        <w:t>;</w:t>
      </w:r>
    </w:p>
    <w:p w14:paraId="2916FA9D" w14:textId="26BF6DFF" w:rsidR="0057061F" w:rsidRPr="00173C5D" w:rsidRDefault="00FD1BE6" w:rsidP="0067521E">
      <w:pPr>
        <w:pStyle w:val="ListParagraph"/>
        <w:numPr>
          <w:ilvl w:val="1"/>
          <w:numId w:val="153"/>
        </w:numPr>
        <w:spacing w:after="160" w:line="259" w:lineRule="auto"/>
        <w:ind w:left="1560"/>
        <w:contextualSpacing/>
        <w:rPr>
          <w:b/>
        </w:rPr>
      </w:pPr>
      <w:r w:rsidRPr="00173C5D">
        <w:rPr>
          <w:b/>
        </w:rPr>
        <w:t xml:space="preserve">vary </w:t>
      </w:r>
      <w:r w:rsidR="0057061F" w:rsidRPr="00173C5D">
        <w:rPr>
          <w:b/>
        </w:rPr>
        <w:t>the DVO on an interim basis without confirming it</w:t>
      </w:r>
      <w:r>
        <w:rPr>
          <w:b/>
        </w:rPr>
        <w:t>;</w:t>
      </w:r>
    </w:p>
    <w:p w14:paraId="7199126D" w14:textId="3C84C9EC" w:rsidR="0057061F" w:rsidRPr="00173C5D" w:rsidRDefault="00FD1BE6" w:rsidP="0067521E">
      <w:pPr>
        <w:pStyle w:val="ListParagraph"/>
        <w:numPr>
          <w:ilvl w:val="1"/>
          <w:numId w:val="153"/>
        </w:numPr>
        <w:spacing w:after="160" w:line="259" w:lineRule="auto"/>
        <w:ind w:left="1560"/>
        <w:contextualSpacing/>
        <w:rPr>
          <w:b/>
        </w:rPr>
      </w:pPr>
      <w:r w:rsidRPr="00173C5D">
        <w:rPr>
          <w:b/>
        </w:rPr>
        <w:t xml:space="preserve">revoke </w:t>
      </w:r>
      <w:r>
        <w:rPr>
          <w:b/>
        </w:rPr>
        <w:t>the DVO;</w:t>
      </w:r>
    </w:p>
    <w:p w14:paraId="1864E50C" w14:textId="121E230E" w:rsidR="0057061F" w:rsidRPr="00173C5D" w:rsidRDefault="00FD1BE6" w:rsidP="0067521E">
      <w:pPr>
        <w:pStyle w:val="ListParagraph"/>
        <w:numPr>
          <w:ilvl w:val="0"/>
          <w:numId w:val="153"/>
        </w:numPr>
        <w:spacing w:after="160" w:line="259" w:lineRule="auto"/>
        <w:ind w:left="1134"/>
        <w:contextualSpacing/>
        <w:rPr>
          <w:b/>
        </w:rPr>
      </w:pPr>
      <w:r w:rsidRPr="00173C5D">
        <w:rPr>
          <w:b/>
        </w:rPr>
        <w:t xml:space="preserve">amend </w:t>
      </w:r>
      <w:r w:rsidR="0057061F" w:rsidRPr="00173C5D">
        <w:rPr>
          <w:b/>
        </w:rPr>
        <w:t>to provide a procedure for the defendant to object to the DVO if he/she does not attend the confirmation hearing</w:t>
      </w:r>
      <w:r w:rsidR="0057061F">
        <w:rPr>
          <w:b/>
        </w:rPr>
        <w:t xml:space="preserve"> to ensure procedural fairness</w:t>
      </w:r>
      <w:r w:rsidR="0057061F" w:rsidRPr="00173C5D">
        <w:rPr>
          <w:b/>
        </w:rPr>
        <w:t>.</w:t>
      </w:r>
    </w:p>
    <w:p w14:paraId="712F4D40" w14:textId="541E5ADE" w:rsidR="00C54D75" w:rsidRDefault="0057061F" w:rsidP="00FD1BE6">
      <w:r w:rsidRPr="00173C5D">
        <w:t xml:space="preserve">The amendments to Part 2.8, 2.9 and 2.10 </w:t>
      </w:r>
      <w:r w:rsidR="00386AC4">
        <w:t>proposed above (</w:t>
      </w:r>
      <w:r w:rsidR="00FD1BE6">
        <w:t xml:space="preserve">proposal </w:t>
      </w:r>
      <w:r w:rsidR="00386AC4" w:rsidRPr="00FD1BE6">
        <w:t>LR 32)</w:t>
      </w:r>
      <w:r w:rsidR="00386AC4">
        <w:t xml:space="preserve"> will</w:t>
      </w:r>
      <w:r w:rsidRPr="00173C5D">
        <w:t xml:space="preserve"> require various associat</w:t>
      </w:r>
      <w:r w:rsidR="00386AC4">
        <w:t xml:space="preserve">ed amendments. </w:t>
      </w:r>
      <w:r w:rsidR="00FD1BE6">
        <w:t xml:space="preserve"> </w:t>
      </w:r>
      <w:r w:rsidR="00386AC4">
        <w:t>T</w:t>
      </w:r>
      <w:r w:rsidR="00225F4C">
        <w:t>hese are set out below</w:t>
      </w:r>
      <w:r w:rsidR="00DC3AB1">
        <w:t xml:space="preserve"> to avoid the wording of the proposal being too lengthy</w:t>
      </w:r>
      <w:r w:rsidRPr="0057061F">
        <w:t>.</w:t>
      </w:r>
    </w:p>
    <w:p w14:paraId="027FED25" w14:textId="321C4CB8" w:rsidR="0041113B" w:rsidRPr="00173C5D" w:rsidRDefault="0041113B" w:rsidP="00FD1BE6">
      <w:pPr>
        <w:spacing w:after="120"/>
        <w:rPr>
          <w:b/>
        </w:rPr>
      </w:pPr>
      <w:r w:rsidRPr="00173C5D">
        <w:rPr>
          <w:b/>
        </w:rPr>
        <w:t>Part 2.8</w:t>
      </w:r>
      <w:r w:rsidRPr="00594507">
        <w:rPr>
          <w:b/>
        </w:rPr>
        <w:t xml:space="preserve"> Variation and revocation of DVOs’</w:t>
      </w:r>
      <w:r w:rsidR="00594507">
        <w:rPr>
          <w:b/>
        </w:rPr>
        <w:t xml:space="preserve"> – </w:t>
      </w:r>
      <w:r w:rsidR="00594507" w:rsidRPr="00594507">
        <w:t>Detailed amendments proposed a</w:t>
      </w:r>
      <w:r w:rsidR="00796813">
        <w:t>long</w:t>
      </w:r>
      <w:r w:rsidR="00594507" w:rsidRPr="00594507">
        <w:t xml:space="preserve"> the lines</w:t>
      </w:r>
      <w:r w:rsidR="00594507">
        <w:t>:</w:t>
      </w:r>
    </w:p>
    <w:p w14:paraId="226C2D7F" w14:textId="27382D50" w:rsidR="00B75DD9" w:rsidRPr="0041113B" w:rsidRDefault="00B75DD9" w:rsidP="0067521E">
      <w:pPr>
        <w:pStyle w:val="ListParagraph"/>
        <w:numPr>
          <w:ilvl w:val="0"/>
          <w:numId w:val="163"/>
        </w:numPr>
        <w:ind w:left="567" w:hanging="567"/>
        <w:jc w:val="both"/>
        <w:rPr>
          <w:rFonts w:cs="Arial"/>
        </w:rPr>
      </w:pPr>
      <w:r w:rsidRPr="0041113B">
        <w:rPr>
          <w:rFonts w:cs="Arial"/>
        </w:rPr>
        <w:t>Where a young person makes an application to vary/revoke under s</w:t>
      </w:r>
      <w:r w:rsidR="00FD1BE6">
        <w:rPr>
          <w:rFonts w:cs="Arial"/>
        </w:rPr>
        <w:t>ection </w:t>
      </w:r>
      <w:r w:rsidRPr="0041113B">
        <w:rPr>
          <w:rFonts w:cs="Arial"/>
        </w:rPr>
        <w:t>48, they must first apply for leave of the court, using the same considerations set out in s</w:t>
      </w:r>
      <w:r w:rsidR="00FD1BE6">
        <w:rPr>
          <w:rFonts w:cs="Arial"/>
        </w:rPr>
        <w:t>ection</w:t>
      </w:r>
      <w:r w:rsidRPr="0041113B">
        <w:rPr>
          <w:rFonts w:cs="Arial"/>
        </w:rPr>
        <w:t xml:space="preserve"> 28(4). </w:t>
      </w:r>
    </w:p>
    <w:p w14:paraId="42926594" w14:textId="277145B4" w:rsidR="000870CC" w:rsidRPr="0041113B" w:rsidRDefault="000870CC" w:rsidP="0067521E">
      <w:pPr>
        <w:pStyle w:val="ListParagraph"/>
        <w:numPr>
          <w:ilvl w:val="0"/>
          <w:numId w:val="163"/>
        </w:numPr>
        <w:ind w:left="567" w:hanging="567"/>
      </w:pPr>
      <w:r w:rsidRPr="0041113B">
        <w:t>A</w:t>
      </w:r>
      <w:r w:rsidR="005C5992" w:rsidRPr="0041113B">
        <w:t>mend section 52 to ensure that a</w:t>
      </w:r>
      <w:r w:rsidRPr="0041113B">
        <w:t xml:space="preserve">ll parties have a right to be heard </w:t>
      </w:r>
      <w:r w:rsidR="005C5992" w:rsidRPr="0041113B">
        <w:t xml:space="preserve">and any other person, who in the </w:t>
      </w:r>
      <w:r w:rsidR="00FD1BE6" w:rsidRPr="0041113B">
        <w:t xml:space="preserve">court’s </w:t>
      </w:r>
      <w:r w:rsidR="005C5992" w:rsidRPr="0041113B">
        <w:t xml:space="preserve">opinion may has a direct interest in the outcome </w:t>
      </w:r>
      <w:r w:rsidRPr="0041113B">
        <w:t xml:space="preserve">(note clarification of the definition of party in </w:t>
      </w:r>
      <w:r w:rsidR="00FD1BE6" w:rsidRPr="0041113B">
        <w:t xml:space="preserve">proposal </w:t>
      </w:r>
      <w:r w:rsidR="00FD1BE6">
        <w:t>LR </w:t>
      </w:r>
      <w:r w:rsidRPr="0041113B">
        <w:t xml:space="preserve">3 above). </w:t>
      </w:r>
    </w:p>
    <w:p w14:paraId="054FBF21" w14:textId="44CB5814" w:rsidR="000870CC" w:rsidRPr="0041113B" w:rsidRDefault="00B75DD9" w:rsidP="0067521E">
      <w:pPr>
        <w:pStyle w:val="ListParagraph"/>
        <w:numPr>
          <w:ilvl w:val="0"/>
          <w:numId w:val="163"/>
        </w:numPr>
        <w:ind w:left="567" w:hanging="567"/>
      </w:pPr>
      <w:r>
        <w:t>Amend to provide that o</w:t>
      </w:r>
      <w:r w:rsidR="000870CC" w:rsidRPr="0041113B">
        <w:t>nce an application to vary or revoke has been filed, the order continues in force until varied or revoked or confirmed or set aside on appeal.</w:t>
      </w:r>
    </w:p>
    <w:p w14:paraId="43A53045" w14:textId="3C4B0072" w:rsidR="000870CC" w:rsidRPr="0041113B" w:rsidRDefault="000870CC" w:rsidP="0067521E">
      <w:pPr>
        <w:pStyle w:val="ListParagraph"/>
        <w:numPr>
          <w:ilvl w:val="0"/>
          <w:numId w:val="163"/>
        </w:numPr>
        <w:ind w:left="567" w:hanging="567"/>
      </w:pPr>
      <w:r w:rsidRPr="0041113B">
        <w:t>Add to the note for section 53</w:t>
      </w:r>
      <w:r w:rsidR="00B75DD9">
        <w:t xml:space="preserve"> along the lines</w:t>
      </w:r>
      <w:r w:rsidRPr="0041113B">
        <w:t xml:space="preserve">: Under section 19(1) </w:t>
      </w:r>
      <w:r w:rsidR="00FD1BE6" w:rsidRPr="0041113B">
        <w:t xml:space="preserve">in </w:t>
      </w:r>
      <w:r w:rsidRPr="0041113B">
        <w:t>deciding whether to make a DVO, and in deciding the terms of a DVO, the issuing authority must consider the safety and protection of the protected person to be of paramount importance.</w:t>
      </w:r>
    </w:p>
    <w:p w14:paraId="33399358" w14:textId="77777777" w:rsidR="000870CC" w:rsidRPr="0041113B" w:rsidRDefault="000870CC" w:rsidP="0067521E">
      <w:pPr>
        <w:pStyle w:val="ListParagraph"/>
        <w:numPr>
          <w:ilvl w:val="0"/>
          <w:numId w:val="163"/>
        </w:numPr>
        <w:ind w:left="567" w:hanging="567"/>
      </w:pPr>
      <w:r w:rsidRPr="0041113B">
        <w:t>Amend section 56 to add ‘or revoking a DVO’.</w:t>
      </w:r>
    </w:p>
    <w:p w14:paraId="372E4CD2" w14:textId="7DA8214B" w:rsidR="000870CC" w:rsidRPr="0041113B" w:rsidRDefault="005C5992" w:rsidP="0067521E">
      <w:pPr>
        <w:pStyle w:val="ListParagraph"/>
        <w:numPr>
          <w:ilvl w:val="0"/>
          <w:numId w:val="163"/>
        </w:numPr>
        <w:ind w:left="567" w:hanging="567"/>
      </w:pPr>
      <w:r w:rsidRPr="0041113B">
        <w:t>Amend section 56</w:t>
      </w:r>
      <w:r w:rsidR="000870CC" w:rsidRPr="0041113B">
        <w:t xml:space="preserve"> along the lines:  The order must not be revoked or significantly varied to make it less restrictive without the protected person, being made aware of the application and having an opportunity to be heard.  </w:t>
      </w:r>
      <w:r w:rsidRPr="0041113B">
        <w:t xml:space="preserve">Add note along the lines, that this </w:t>
      </w:r>
      <w:r w:rsidR="000870CC" w:rsidRPr="0041113B">
        <w:t>is required to ensure the safety and protection of the protected person is the paramount consideration.</w:t>
      </w:r>
    </w:p>
    <w:p w14:paraId="0645EB6F" w14:textId="77777777" w:rsidR="000870CC" w:rsidRPr="0041113B" w:rsidRDefault="000870CC" w:rsidP="0067521E">
      <w:pPr>
        <w:pStyle w:val="ListParagraph"/>
        <w:numPr>
          <w:ilvl w:val="0"/>
          <w:numId w:val="163"/>
        </w:numPr>
        <w:ind w:left="567" w:hanging="567"/>
      </w:pPr>
      <w:r w:rsidRPr="0041113B">
        <w:t>Amend section 57(1)(b) so it applies if any party does not consent to the order being made, not just the defendant.</w:t>
      </w:r>
    </w:p>
    <w:p w14:paraId="62651C3E" w14:textId="732AB6B0" w:rsidR="000870CC" w:rsidRPr="0041113B" w:rsidRDefault="000870CC" w:rsidP="0067521E">
      <w:pPr>
        <w:pStyle w:val="ListParagraph"/>
        <w:numPr>
          <w:ilvl w:val="0"/>
          <w:numId w:val="163"/>
        </w:numPr>
        <w:spacing w:after="200" w:line="259" w:lineRule="auto"/>
        <w:ind w:left="567" w:hanging="567"/>
      </w:pPr>
      <w:r w:rsidRPr="0041113B">
        <w:t xml:space="preserve">Amend </w:t>
      </w:r>
      <w:r w:rsidR="00FD1BE6" w:rsidRPr="0041113B">
        <w:t>sub</w:t>
      </w:r>
      <w:r w:rsidRPr="0041113B">
        <w:t xml:space="preserve">-division 5 along the lines that mutual orders cannot be made by consent of the parties unless the court has considered the matters in section 19 and is satisfied that the requirements of </w:t>
      </w:r>
      <w:r w:rsidR="005C5992" w:rsidRPr="0041113B">
        <w:t>s</w:t>
      </w:r>
      <w:r w:rsidR="00FD1BE6">
        <w:t>ection </w:t>
      </w:r>
      <w:r w:rsidR="005C5992" w:rsidRPr="0041113B">
        <w:t>18(1) are met for both parties and</w:t>
      </w:r>
      <w:r w:rsidR="003810E5">
        <w:t xml:space="preserve"> determined that given the objects of the DFV</w:t>
      </w:r>
      <w:r w:rsidR="00FD1BE6">
        <w:t xml:space="preserve"> </w:t>
      </w:r>
      <w:r w:rsidR="003810E5">
        <w:t>A</w:t>
      </w:r>
      <w:r w:rsidR="00FD1BE6">
        <w:t>ct</w:t>
      </w:r>
      <w:r w:rsidR="003810E5">
        <w:t xml:space="preserve"> it is appropriate to make an order against both parties.</w:t>
      </w:r>
      <w:r w:rsidR="005C5992" w:rsidRPr="0041113B">
        <w:t xml:space="preserve"> </w:t>
      </w:r>
    </w:p>
    <w:p w14:paraId="2C1DA5F8" w14:textId="2DF9E3AA" w:rsidR="00857269" w:rsidRPr="0041113B" w:rsidRDefault="00B92E7E" w:rsidP="00FD1BE6">
      <w:r w:rsidRPr="00173C5D">
        <w:rPr>
          <w:b/>
        </w:rPr>
        <w:t>Amend</w:t>
      </w:r>
      <w:r w:rsidR="00E01D61" w:rsidRPr="00173C5D">
        <w:rPr>
          <w:b/>
        </w:rPr>
        <w:t xml:space="preserve"> Part 2.9</w:t>
      </w:r>
      <w:r w:rsidR="00857269" w:rsidRPr="0041113B">
        <w:t xml:space="preserve"> </w:t>
      </w:r>
      <w:r w:rsidR="00594507" w:rsidRPr="0057061F">
        <w:rPr>
          <w:b/>
        </w:rPr>
        <w:t>‘Review of police DVOs</w:t>
      </w:r>
      <w:r w:rsidR="00594507">
        <w:rPr>
          <w:b/>
        </w:rPr>
        <w:t>’</w:t>
      </w:r>
      <w:r w:rsidR="00594507">
        <w:t xml:space="preserve"> </w:t>
      </w:r>
      <w:r w:rsidR="00594507" w:rsidRPr="00594507">
        <w:t xml:space="preserve">- Amendments as outlined </w:t>
      </w:r>
      <w:r w:rsidR="00015E5F">
        <w:t xml:space="preserve">in </w:t>
      </w:r>
      <w:r w:rsidR="00FD1BE6">
        <w:t xml:space="preserve">proposal </w:t>
      </w:r>
      <w:r w:rsidR="00FD1BE6" w:rsidRPr="00FD1BE6">
        <w:t>LR </w:t>
      </w:r>
      <w:r w:rsidR="00015E5F" w:rsidRPr="00FD1BE6">
        <w:t>32b</w:t>
      </w:r>
      <w:r w:rsidR="00015E5F">
        <w:t xml:space="preserve"> </w:t>
      </w:r>
      <w:r w:rsidR="00594507" w:rsidRPr="00594507">
        <w:t>above.</w:t>
      </w:r>
      <w:r w:rsidR="00857269" w:rsidRPr="0041113B">
        <w:t xml:space="preserve">  </w:t>
      </w:r>
    </w:p>
    <w:p w14:paraId="019C03C7" w14:textId="58D83DDE" w:rsidR="00594507" w:rsidRDefault="00E90A3C" w:rsidP="00FD1BE6">
      <w:pPr>
        <w:keepNext/>
        <w:spacing w:after="120"/>
        <w:rPr>
          <w:b/>
        </w:rPr>
      </w:pPr>
      <w:r w:rsidRPr="00173C5D">
        <w:rPr>
          <w:b/>
        </w:rPr>
        <w:lastRenderedPageBreak/>
        <w:t>Amend Part 2.10</w:t>
      </w:r>
      <w:r w:rsidRPr="0041113B">
        <w:t xml:space="preserve"> </w:t>
      </w:r>
      <w:r w:rsidR="00594507" w:rsidRPr="0057061F">
        <w:rPr>
          <w:b/>
        </w:rPr>
        <w:t>‘Confirmation of DVOs’</w:t>
      </w:r>
      <w:r w:rsidR="00594507">
        <w:rPr>
          <w:b/>
        </w:rPr>
        <w:t xml:space="preserve"> – </w:t>
      </w:r>
      <w:r w:rsidR="00015E5F" w:rsidRPr="00594507">
        <w:t>Detailed amendments proposed a</w:t>
      </w:r>
      <w:r w:rsidR="00796813">
        <w:t>long</w:t>
      </w:r>
      <w:r w:rsidR="00015E5F" w:rsidRPr="00594507">
        <w:t xml:space="preserve"> the lines</w:t>
      </w:r>
      <w:r w:rsidR="00015E5F">
        <w:t>:</w:t>
      </w:r>
    </w:p>
    <w:p w14:paraId="51474742" w14:textId="77777777" w:rsidR="00E90A3C" w:rsidRPr="0041113B" w:rsidRDefault="00E90A3C" w:rsidP="0067521E">
      <w:pPr>
        <w:pStyle w:val="ListParagraph"/>
        <w:numPr>
          <w:ilvl w:val="0"/>
          <w:numId w:val="167"/>
        </w:numPr>
        <w:ind w:left="567" w:hanging="567"/>
      </w:pPr>
      <w:r w:rsidRPr="0041113B">
        <w:t>Amend section 82(1) to avoid any doubt that the Court may:</w:t>
      </w:r>
    </w:p>
    <w:p w14:paraId="3685890B" w14:textId="1C6ACEEF" w:rsidR="00E90A3C" w:rsidRPr="0041113B" w:rsidRDefault="00FD1BE6" w:rsidP="0067521E">
      <w:pPr>
        <w:pStyle w:val="ListParagraph"/>
        <w:numPr>
          <w:ilvl w:val="1"/>
          <w:numId w:val="168"/>
        </w:numPr>
        <w:ind w:left="1134"/>
      </w:pPr>
      <w:r w:rsidRPr="0041113B">
        <w:t xml:space="preserve">confirm </w:t>
      </w:r>
      <w:r w:rsidR="00E90A3C" w:rsidRPr="0041113B">
        <w:t>the DVO (with or without variations)</w:t>
      </w:r>
      <w:r>
        <w:t>;</w:t>
      </w:r>
    </w:p>
    <w:p w14:paraId="3BE72B36" w14:textId="02CD58CE" w:rsidR="00E90A3C" w:rsidRPr="0041113B" w:rsidRDefault="00FD1BE6" w:rsidP="0067521E">
      <w:pPr>
        <w:pStyle w:val="ListParagraph"/>
        <w:numPr>
          <w:ilvl w:val="1"/>
          <w:numId w:val="168"/>
        </w:numPr>
        <w:ind w:left="1134"/>
      </w:pPr>
      <w:r w:rsidRPr="0041113B">
        <w:t xml:space="preserve">vary </w:t>
      </w:r>
      <w:r w:rsidR="00E90A3C" w:rsidRPr="0041113B">
        <w:t>the DVO without confirming it</w:t>
      </w:r>
      <w:r>
        <w:t>;</w:t>
      </w:r>
    </w:p>
    <w:p w14:paraId="2E7183A5" w14:textId="7DD9CCF6" w:rsidR="00E90A3C" w:rsidRPr="0041113B" w:rsidRDefault="00FD1BE6" w:rsidP="0067521E">
      <w:pPr>
        <w:pStyle w:val="ListParagraph"/>
        <w:numPr>
          <w:ilvl w:val="1"/>
          <w:numId w:val="168"/>
        </w:numPr>
        <w:ind w:left="1134"/>
      </w:pPr>
      <w:r w:rsidRPr="0041113B">
        <w:t xml:space="preserve">revoke </w:t>
      </w:r>
      <w:r w:rsidR="00E90A3C" w:rsidRPr="0041113B">
        <w:t>the DVO</w:t>
      </w:r>
      <w:r>
        <w:t>.</w:t>
      </w:r>
    </w:p>
    <w:p w14:paraId="53D4204A" w14:textId="4473025A" w:rsidR="00E90A3C" w:rsidRPr="0041113B" w:rsidRDefault="00E90A3C" w:rsidP="0067521E">
      <w:pPr>
        <w:pStyle w:val="ListParagraph"/>
        <w:numPr>
          <w:ilvl w:val="0"/>
          <w:numId w:val="167"/>
        </w:numPr>
        <w:ind w:left="567" w:hanging="567"/>
      </w:pPr>
      <w:r w:rsidRPr="0041113B">
        <w:t>Amend to provide for the procedure if the defendant does not attend the confirmation hearing and there are variations to the DVO along the lines:</w:t>
      </w:r>
    </w:p>
    <w:p w14:paraId="0BE79E70" w14:textId="77777777" w:rsidR="00E90A3C" w:rsidRPr="0041113B" w:rsidRDefault="00E90A3C" w:rsidP="0067521E">
      <w:pPr>
        <w:pStyle w:val="ListParagraph"/>
        <w:numPr>
          <w:ilvl w:val="1"/>
          <w:numId w:val="169"/>
        </w:numPr>
        <w:ind w:left="1134"/>
      </w:pPr>
      <w:r w:rsidRPr="0041113B">
        <w:t xml:space="preserve">If the DVO is confirmed with variations that put greater restraint on the defendant than that provided for in the summons and the defendant is not present at the hearing, the defendant has 21 days to object to the DVO in its varied terms. </w:t>
      </w:r>
    </w:p>
    <w:p w14:paraId="4FB5E336" w14:textId="3BF90103" w:rsidR="00E90A3C" w:rsidRPr="0041113B" w:rsidRDefault="00E90A3C" w:rsidP="0067521E">
      <w:pPr>
        <w:pStyle w:val="ListParagraph"/>
        <w:numPr>
          <w:ilvl w:val="1"/>
          <w:numId w:val="169"/>
        </w:numPr>
        <w:ind w:left="1134"/>
      </w:pPr>
      <w:r w:rsidRPr="0041113B">
        <w:t xml:space="preserve">The objection must be in writing on a standard form and request a new confirmation hearing to enable the defendant to be heard.  </w:t>
      </w:r>
    </w:p>
    <w:p w14:paraId="0FDA751F" w14:textId="2FDAE286" w:rsidR="00E90A3C" w:rsidRPr="0041113B" w:rsidRDefault="00796813" w:rsidP="0067521E">
      <w:pPr>
        <w:pStyle w:val="ListParagraph"/>
        <w:numPr>
          <w:ilvl w:val="1"/>
          <w:numId w:val="169"/>
        </w:numPr>
        <w:ind w:left="1134"/>
      </w:pPr>
      <w:r>
        <w:t>Amend to</w:t>
      </w:r>
      <w:r w:rsidR="00E90A3C" w:rsidRPr="0041113B">
        <w:t xml:space="preserve"> avoid any doubt, the DVO with variations remains in force, from the time the defendant receives a copy of the varied order, notwithstanding his right to object.</w:t>
      </w:r>
    </w:p>
    <w:p w14:paraId="4ACBEC52" w14:textId="77777777" w:rsidR="00E90A3C" w:rsidRPr="0041113B" w:rsidRDefault="00E90A3C" w:rsidP="0067521E">
      <w:pPr>
        <w:pStyle w:val="ListParagraph"/>
        <w:numPr>
          <w:ilvl w:val="1"/>
          <w:numId w:val="169"/>
        </w:numPr>
        <w:ind w:left="1134"/>
      </w:pPr>
      <w:r w:rsidRPr="0041113B">
        <w:t>If the defendant does not attend the confirmation hearing after being served with the DVO with varied terms, the DVO as varied is final.</w:t>
      </w:r>
    </w:p>
    <w:p w14:paraId="4ED63351" w14:textId="0C00785C" w:rsidR="008E7295" w:rsidRPr="00594507" w:rsidRDefault="00E90A3C" w:rsidP="0067521E">
      <w:pPr>
        <w:pStyle w:val="ListParagraph"/>
        <w:numPr>
          <w:ilvl w:val="0"/>
          <w:numId w:val="167"/>
        </w:numPr>
        <w:ind w:left="567" w:hanging="567"/>
        <w:rPr>
          <w:b/>
        </w:rPr>
      </w:pPr>
      <w:r w:rsidRPr="0041113B">
        <w:t xml:space="preserve">Amend Part 2.10 to provide an explicit requirement that the matters in Part 2.2 and 2.3 are taken into account.  Add to the note along the lines: </w:t>
      </w:r>
      <w:r w:rsidRPr="00594507">
        <w:rPr>
          <w:rFonts w:asciiTheme="minorHAnsi" w:hAnsiTheme="minorHAnsi"/>
        </w:rPr>
        <w:t>Under section 19(1) In deciding whether to make a DVO, and in deciding the terms of a DVO</w:t>
      </w:r>
      <w:r w:rsidR="00B95B11">
        <w:rPr>
          <w:rStyle w:val="FootnoteReference"/>
          <w:rFonts w:asciiTheme="minorHAnsi" w:hAnsiTheme="minorHAnsi"/>
        </w:rPr>
        <w:footnoteReference w:id="180"/>
      </w:r>
      <w:r w:rsidRPr="00594507">
        <w:rPr>
          <w:rFonts w:asciiTheme="minorHAnsi" w:hAnsiTheme="minorHAnsi"/>
        </w:rPr>
        <w:t>, the issuing authority must consider the safety and protection of the protected person to be of paramount importance.</w:t>
      </w:r>
    </w:p>
    <w:p w14:paraId="22E94340" w14:textId="77777777" w:rsidR="00FA4FCF" w:rsidRDefault="00FA4FCF" w:rsidP="00025605">
      <w:pPr>
        <w:pStyle w:val="Heading3"/>
      </w:pPr>
      <w:bookmarkStart w:id="63" w:name="_Toc112051850"/>
      <w:r>
        <w:t>Retrieval of property</w:t>
      </w:r>
      <w:bookmarkEnd w:id="63"/>
    </w:p>
    <w:p w14:paraId="69C5ADB6" w14:textId="6DD4165A" w:rsidR="00FA4FCF" w:rsidRDefault="00FA4FCF" w:rsidP="009A7547">
      <w:r w:rsidRPr="000B4F78">
        <w:t xml:space="preserve">Section 85 of the </w:t>
      </w:r>
      <w:r w:rsidR="00B40473">
        <w:t>DFV Act</w:t>
      </w:r>
      <w:r w:rsidRPr="000B4F78">
        <w:t xml:space="preserve"> permits a defendant if accompanied by a police officer to enter premises subject to a premises access order to retrieve his or her personal property. </w:t>
      </w:r>
      <w:r w:rsidR="00B40473">
        <w:t xml:space="preserve"> </w:t>
      </w:r>
      <w:r w:rsidRPr="000B4F78">
        <w:t xml:space="preserve">However, there is no mechanism which enables protected persons who have had to flee their homes due to domestic violence to be accompanied by police to retrieve their property.  </w:t>
      </w:r>
    </w:p>
    <w:p w14:paraId="5FA6198C" w14:textId="34A1C7D6" w:rsidR="00824149" w:rsidRPr="00824149" w:rsidRDefault="00824149" w:rsidP="00B40473">
      <w:pPr>
        <w:pStyle w:val="Heading4"/>
        <w:keepNext/>
        <w:numPr>
          <w:ilvl w:val="0"/>
          <w:numId w:val="0"/>
        </w:numPr>
        <w:spacing w:after="0" w:line="259" w:lineRule="auto"/>
        <w:ind w:left="862" w:hanging="862"/>
        <w:rPr>
          <w:lang w:eastAsia="en-AU"/>
        </w:rPr>
      </w:pPr>
      <w:r>
        <w:rPr>
          <w:lang w:eastAsia="en-AU"/>
        </w:rPr>
        <w:t>P</w:t>
      </w:r>
      <w:r w:rsidR="009A7547">
        <w:rPr>
          <w:lang w:eastAsia="en-AU"/>
        </w:rPr>
        <w:t xml:space="preserve">ROPOSAL </w:t>
      </w:r>
      <w:r w:rsidR="001804B8">
        <w:rPr>
          <w:lang w:eastAsia="en-AU"/>
        </w:rPr>
        <w:t xml:space="preserve">LR </w:t>
      </w:r>
      <w:r w:rsidR="009A7547">
        <w:rPr>
          <w:lang w:eastAsia="en-AU"/>
        </w:rPr>
        <w:t>33</w:t>
      </w:r>
    </w:p>
    <w:p w14:paraId="364D535F" w14:textId="5D2F631A" w:rsidR="009A7547" w:rsidRPr="009A7547" w:rsidRDefault="00FA4FCF" w:rsidP="00B40473">
      <w:pPr>
        <w:spacing w:after="0" w:line="259" w:lineRule="auto"/>
        <w:rPr>
          <w:rFonts w:cs="Arial"/>
          <w:b/>
        </w:rPr>
      </w:pPr>
      <w:r w:rsidRPr="009A7547">
        <w:rPr>
          <w:rFonts w:cs="Arial"/>
          <w:b/>
        </w:rPr>
        <w:t>It is proposed to</w:t>
      </w:r>
      <w:r w:rsidR="000114FE" w:rsidRPr="009A7547">
        <w:rPr>
          <w:rFonts w:cs="Arial"/>
          <w:b/>
        </w:rPr>
        <w:t xml:space="preserve"> amend section 85 to enable either the defendant or the protected person</w:t>
      </w:r>
      <w:r w:rsidRPr="009A7547">
        <w:rPr>
          <w:rFonts w:cs="Arial"/>
          <w:b/>
        </w:rPr>
        <w:t xml:space="preserve"> to retrieve their personal property in the company</w:t>
      </w:r>
      <w:r w:rsidR="00824149" w:rsidRPr="009A7547">
        <w:rPr>
          <w:rFonts w:cs="Arial"/>
          <w:b/>
        </w:rPr>
        <w:t xml:space="preserve"> of a police officer in circumstances where a DVO would otherwise prevent them having contact with each other (regardless </w:t>
      </w:r>
      <w:r w:rsidRPr="009A7547">
        <w:rPr>
          <w:rFonts w:cs="Arial"/>
          <w:b/>
        </w:rPr>
        <w:t>of whether a premises access order is in place</w:t>
      </w:r>
      <w:r w:rsidR="00824149" w:rsidRPr="009A7547">
        <w:rPr>
          <w:rFonts w:cs="Arial"/>
          <w:b/>
        </w:rPr>
        <w:t>)</w:t>
      </w:r>
      <w:r w:rsidRPr="009A7547">
        <w:rPr>
          <w:rFonts w:cs="Arial"/>
          <w:b/>
        </w:rPr>
        <w:t xml:space="preserve">.  </w:t>
      </w:r>
      <w:r w:rsidR="000114FE" w:rsidRPr="009A7547">
        <w:rPr>
          <w:rFonts w:cs="Arial"/>
          <w:b/>
        </w:rPr>
        <w:t>It is also proposed to require that reasonable notice be given to the person residing in the premises.</w:t>
      </w:r>
    </w:p>
    <w:p w14:paraId="6162D4AD" w14:textId="77777777" w:rsidR="00381763" w:rsidRDefault="00381763" w:rsidP="00B40473">
      <w:pPr>
        <w:pStyle w:val="Heading3"/>
        <w:keepNext/>
        <w:rPr>
          <w:lang w:eastAsia="en-AU"/>
        </w:rPr>
      </w:pPr>
      <w:bookmarkStart w:id="64" w:name="_Toc112051851"/>
      <w:r>
        <w:rPr>
          <w:lang w:eastAsia="en-AU"/>
        </w:rPr>
        <w:t>Vulnerable witness provisions</w:t>
      </w:r>
      <w:bookmarkEnd w:id="64"/>
    </w:p>
    <w:p w14:paraId="2785C898" w14:textId="77777777" w:rsidR="00381763" w:rsidRDefault="00381763" w:rsidP="00381763">
      <w:pPr>
        <w:rPr>
          <w:lang w:eastAsia="en-AU"/>
        </w:rPr>
      </w:pPr>
      <w:r>
        <w:rPr>
          <w:lang w:eastAsia="en-AU"/>
        </w:rPr>
        <w:t>Vulnerable witness provisions</w:t>
      </w:r>
      <w:r w:rsidR="00BC5B33">
        <w:rPr>
          <w:lang w:eastAsia="en-AU"/>
        </w:rPr>
        <w:t xml:space="preserve"> have recently been</w:t>
      </w:r>
      <w:r w:rsidR="00906AC2">
        <w:rPr>
          <w:lang w:eastAsia="en-AU"/>
        </w:rPr>
        <w:t xml:space="preserve"> amended </w:t>
      </w:r>
      <w:r w:rsidR="00BC5B33">
        <w:rPr>
          <w:lang w:eastAsia="en-AU"/>
        </w:rPr>
        <w:t xml:space="preserve">in the NT </w:t>
      </w:r>
      <w:r w:rsidR="00906AC2">
        <w:rPr>
          <w:lang w:eastAsia="en-AU"/>
        </w:rPr>
        <w:t xml:space="preserve">by the </w:t>
      </w:r>
      <w:r w:rsidR="00906AC2" w:rsidRPr="00BC5B33">
        <w:rPr>
          <w:i/>
          <w:lang w:eastAsia="en-AU"/>
        </w:rPr>
        <w:t>Evidence and Other Legislation Act</w:t>
      </w:r>
      <w:r w:rsidR="00BC5B33" w:rsidRPr="00BC5B33">
        <w:rPr>
          <w:i/>
          <w:lang w:eastAsia="en-AU"/>
        </w:rPr>
        <w:t xml:space="preserve"> 2020</w:t>
      </w:r>
      <w:r w:rsidR="00906AC2" w:rsidRPr="00BC5B33">
        <w:rPr>
          <w:lang w:eastAsia="en-AU"/>
        </w:rPr>
        <w:t xml:space="preserve"> which commenced on </w:t>
      </w:r>
      <w:r w:rsidR="00BC5B33" w:rsidRPr="00BC5B33">
        <w:rPr>
          <w:lang w:eastAsia="en-AU"/>
        </w:rPr>
        <w:t>29 July 2020.</w:t>
      </w:r>
    </w:p>
    <w:p w14:paraId="526D2E3C" w14:textId="77777777" w:rsidR="00906AC2" w:rsidRDefault="00906AC2" w:rsidP="004C0CF3">
      <w:pPr>
        <w:keepNext/>
        <w:spacing w:after="120"/>
        <w:rPr>
          <w:lang w:eastAsia="en-AU"/>
        </w:rPr>
      </w:pPr>
      <w:r>
        <w:rPr>
          <w:lang w:eastAsia="en-AU"/>
        </w:rPr>
        <w:lastRenderedPageBreak/>
        <w:t xml:space="preserve">The </w:t>
      </w:r>
      <w:r w:rsidR="00BC5B33">
        <w:rPr>
          <w:lang w:eastAsia="en-AU"/>
        </w:rPr>
        <w:t>effect of these amendments was to:</w:t>
      </w:r>
    </w:p>
    <w:p w14:paraId="4193846C" w14:textId="067814D3" w:rsidR="00906AC2" w:rsidRDefault="00B40473" w:rsidP="004C0CF3">
      <w:pPr>
        <w:pStyle w:val="ListParagraph"/>
        <w:keepNext/>
        <w:numPr>
          <w:ilvl w:val="0"/>
          <w:numId w:val="93"/>
        </w:numPr>
        <w:ind w:left="567" w:hanging="567"/>
        <w:rPr>
          <w:lang w:eastAsia="en-AU"/>
        </w:rPr>
      </w:pPr>
      <w:r>
        <w:rPr>
          <w:lang w:eastAsia="en-AU"/>
        </w:rPr>
        <w:t xml:space="preserve">allow </w:t>
      </w:r>
      <w:r w:rsidR="00906AC2">
        <w:rPr>
          <w:lang w:eastAsia="en-AU"/>
        </w:rPr>
        <w:t>a ‘recorded statement’ of complainants to be used in DVO proceedings</w:t>
      </w:r>
      <w:r w:rsidR="00BC5B33">
        <w:rPr>
          <w:lang w:eastAsia="en-AU"/>
        </w:rPr>
        <w:t>;</w:t>
      </w:r>
    </w:p>
    <w:p w14:paraId="534BE7CB" w14:textId="5C21E30F" w:rsidR="00906AC2" w:rsidRDefault="00B40473" w:rsidP="0067521E">
      <w:pPr>
        <w:pStyle w:val="ListParagraph"/>
        <w:numPr>
          <w:ilvl w:val="0"/>
          <w:numId w:val="93"/>
        </w:numPr>
        <w:ind w:left="567" w:hanging="567"/>
        <w:rPr>
          <w:lang w:eastAsia="en-AU"/>
        </w:rPr>
      </w:pPr>
      <w:r>
        <w:rPr>
          <w:lang w:eastAsia="en-AU"/>
        </w:rPr>
        <w:t xml:space="preserve">introduce </w:t>
      </w:r>
      <w:r w:rsidR="00906AC2">
        <w:rPr>
          <w:lang w:eastAsia="en-AU"/>
        </w:rPr>
        <w:t>a new</w:t>
      </w:r>
      <w:r w:rsidR="00BC5B33">
        <w:rPr>
          <w:lang w:eastAsia="en-AU"/>
        </w:rPr>
        <w:t xml:space="preserve"> model of cross examin</w:t>
      </w:r>
      <w:r w:rsidR="00B03DC7">
        <w:rPr>
          <w:lang w:eastAsia="en-AU"/>
        </w:rPr>
        <w:t>ation by vulnerable witnesses where defendants are unrepresented</w:t>
      </w:r>
      <w:r w:rsidR="00BC5B33">
        <w:rPr>
          <w:lang w:eastAsia="en-AU"/>
        </w:rPr>
        <w:t>;</w:t>
      </w:r>
    </w:p>
    <w:p w14:paraId="2208384E" w14:textId="3EEFB563" w:rsidR="00BC5B33" w:rsidRDefault="00B40473" w:rsidP="0067521E">
      <w:pPr>
        <w:pStyle w:val="ListParagraph"/>
        <w:numPr>
          <w:ilvl w:val="0"/>
          <w:numId w:val="93"/>
        </w:numPr>
        <w:ind w:left="567" w:hanging="567"/>
        <w:rPr>
          <w:lang w:eastAsia="en-AU"/>
        </w:rPr>
      </w:pPr>
      <w:r>
        <w:rPr>
          <w:lang w:eastAsia="en-AU"/>
        </w:rPr>
        <w:t xml:space="preserve">create </w:t>
      </w:r>
      <w:r w:rsidR="00BC5B33">
        <w:rPr>
          <w:lang w:eastAsia="en-AU"/>
        </w:rPr>
        <w:t>a statutory presumption that the evidence of vulnerable witnesses is to be given via video conferencing;</w:t>
      </w:r>
    </w:p>
    <w:p w14:paraId="3064CED8" w14:textId="5BA3B606" w:rsidR="00BC5B33" w:rsidRDefault="00B40473" w:rsidP="0067521E">
      <w:pPr>
        <w:pStyle w:val="ListParagraph"/>
        <w:numPr>
          <w:ilvl w:val="0"/>
          <w:numId w:val="93"/>
        </w:numPr>
        <w:ind w:left="567" w:hanging="567"/>
        <w:rPr>
          <w:lang w:eastAsia="en-AU"/>
        </w:rPr>
      </w:pPr>
      <w:r>
        <w:rPr>
          <w:lang w:eastAsia="en-AU"/>
        </w:rPr>
        <w:t xml:space="preserve">clarify </w:t>
      </w:r>
      <w:r w:rsidR="00BC5B33">
        <w:rPr>
          <w:lang w:eastAsia="en-AU"/>
        </w:rPr>
        <w:t>the general power of courts to order the use of video conferencing and provided a list of factors to guide the court in the use of that power; and</w:t>
      </w:r>
    </w:p>
    <w:p w14:paraId="26600B63" w14:textId="34E6D550" w:rsidR="00BC5B33" w:rsidRDefault="00B40473" w:rsidP="0067521E">
      <w:pPr>
        <w:pStyle w:val="ListParagraph"/>
        <w:numPr>
          <w:ilvl w:val="0"/>
          <w:numId w:val="93"/>
        </w:numPr>
        <w:ind w:left="567" w:hanging="567"/>
        <w:rPr>
          <w:lang w:eastAsia="en-AU"/>
        </w:rPr>
      </w:pPr>
      <w:r>
        <w:rPr>
          <w:lang w:eastAsia="en-AU"/>
        </w:rPr>
        <w:t xml:space="preserve">CREATE </w:t>
      </w:r>
      <w:r w:rsidR="00BC5B33">
        <w:rPr>
          <w:lang w:eastAsia="en-AU"/>
        </w:rPr>
        <w:t>a statutory presumption that the evidence of vulnerable witnesses and experts and the corroborative evidence of a member of the police force is to be given via audio-visual link.</w:t>
      </w:r>
    </w:p>
    <w:p w14:paraId="4DA1A36A" w14:textId="40735EB2" w:rsidR="00BC5B33" w:rsidRDefault="00906AC2" w:rsidP="00381763">
      <w:pPr>
        <w:rPr>
          <w:lang w:eastAsia="en-AU"/>
        </w:rPr>
      </w:pPr>
      <w:r>
        <w:rPr>
          <w:lang w:eastAsia="en-AU"/>
        </w:rPr>
        <w:t>It is not proposed to make further amendment</w:t>
      </w:r>
      <w:r w:rsidR="00BC5B33">
        <w:rPr>
          <w:lang w:eastAsia="en-AU"/>
        </w:rPr>
        <w:t xml:space="preserve">s to vulnerable witness provisions as part of this </w:t>
      </w:r>
      <w:r w:rsidR="00B40473">
        <w:rPr>
          <w:lang w:eastAsia="en-AU"/>
        </w:rPr>
        <w:t>review</w:t>
      </w:r>
      <w:r w:rsidR="007B6170">
        <w:rPr>
          <w:lang w:eastAsia="en-AU"/>
        </w:rPr>
        <w:t>, except for the proposal below.</w:t>
      </w:r>
    </w:p>
    <w:p w14:paraId="4D06FA2A" w14:textId="3ED04E47" w:rsidR="00550BB3" w:rsidRDefault="00550BB3" w:rsidP="00381763">
      <w:pPr>
        <w:rPr>
          <w:lang w:eastAsia="en-AU"/>
        </w:rPr>
      </w:pPr>
      <w:r>
        <w:rPr>
          <w:lang w:eastAsia="en-AU"/>
        </w:rPr>
        <w:t>Section 110 of the DFV</w:t>
      </w:r>
      <w:r w:rsidR="00B40473">
        <w:rPr>
          <w:lang w:eastAsia="en-AU"/>
        </w:rPr>
        <w:t> </w:t>
      </w:r>
      <w:r>
        <w:rPr>
          <w:lang w:eastAsia="en-AU"/>
        </w:rPr>
        <w:t>A</w:t>
      </w:r>
      <w:r w:rsidR="00B40473">
        <w:rPr>
          <w:lang w:eastAsia="en-AU"/>
        </w:rPr>
        <w:t>ct</w:t>
      </w:r>
      <w:r>
        <w:rPr>
          <w:lang w:eastAsia="en-AU"/>
        </w:rPr>
        <w:t xml:space="preserve"> provides that a vulnerable witness is entitled to give evidence using an audio-visual link.  It also provides that if an audio-visual link is not available, or the witness chooses to give evidence in the courtroom a screen or </w:t>
      </w:r>
      <w:r w:rsidR="005E6227">
        <w:rPr>
          <w:lang w:eastAsia="en-AU"/>
        </w:rPr>
        <w:t>partition or one-way glass mus</w:t>
      </w:r>
      <w:r w:rsidR="00DC3AB1">
        <w:rPr>
          <w:lang w:eastAsia="en-AU"/>
        </w:rPr>
        <w:t>t be placed so that the witness’</w:t>
      </w:r>
      <w:r w:rsidR="005E6227">
        <w:rPr>
          <w:lang w:eastAsia="en-AU"/>
        </w:rPr>
        <w:t xml:space="preserve"> view of the defendant is obscured but not the view of the witness by the judge.  Although these safeguards for vulnerable witnesses are extremely important and well-utilised, it has been suggested that some witnesses may wish to face and see the defendant in the courtroom and, if so, they should be entitled to do so.</w:t>
      </w:r>
    </w:p>
    <w:p w14:paraId="1FB8033D" w14:textId="02C1472F" w:rsidR="00906AC2" w:rsidRDefault="009A7547" w:rsidP="00B40473">
      <w:pPr>
        <w:pStyle w:val="Heading4"/>
        <w:keepNext/>
        <w:numPr>
          <w:ilvl w:val="0"/>
          <w:numId w:val="0"/>
        </w:numPr>
        <w:spacing w:before="0" w:after="0"/>
        <w:ind w:left="862" w:hanging="862"/>
        <w:rPr>
          <w:lang w:eastAsia="en-AU"/>
        </w:rPr>
      </w:pPr>
      <w:r>
        <w:rPr>
          <w:lang w:eastAsia="en-AU"/>
        </w:rPr>
        <w:t xml:space="preserve">PROPOSAL </w:t>
      </w:r>
      <w:r w:rsidR="001804B8">
        <w:rPr>
          <w:lang w:eastAsia="en-AU"/>
        </w:rPr>
        <w:t xml:space="preserve">LR </w:t>
      </w:r>
      <w:r>
        <w:rPr>
          <w:lang w:eastAsia="en-AU"/>
        </w:rPr>
        <w:t>34</w:t>
      </w:r>
    </w:p>
    <w:p w14:paraId="41E6A2B7" w14:textId="6DFC8866" w:rsidR="009A7547" w:rsidRPr="009A7547" w:rsidRDefault="00550BB3" w:rsidP="009A7547">
      <w:pPr>
        <w:spacing w:after="0"/>
        <w:rPr>
          <w:b/>
          <w:lang w:eastAsia="en-AU"/>
        </w:rPr>
      </w:pPr>
      <w:r w:rsidRPr="009A7547">
        <w:rPr>
          <w:b/>
          <w:lang w:eastAsia="en-AU"/>
        </w:rPr>
        <w:t>It is proposed to amend section 110 (2) of the DFV</w:t>
      </w:r>
      <w:r w:rsidR="00B40473">
        <w:rPr>
          <w:b/>
          <w:lang w:eastAsia="en-AU"/>
        </w:rPr>
        <w:t> </w:t>
      </w:r>
      <w:r w:rsidRPr="009A7547">
        <w:rPr>
          <w:b/>
          <w:lang w:eastAsia="en-AU"/>
        </w:rPr>
        <w:t>A</w:t>
      </w:r>
      <w:r w:rsidR="00B40473">
        <w:rPr>
          <w:b/>
          <w:lang w:eastAsia="en-AU"/>
        </w:rPr>
        <w:t>ct</w:t>
      </w:r>
      <w:r w:rsidRPr="009A7547">
        <w:rPr>
          <w:b/>
          <w:lang w:eastAsia="en-AU"/>
        </w:rPr>
        <w:t xml:space="preserve"> to add words along the lines ‘unless the witness requests that a screen or partition is not used.’</w:t>
      </w:r>
    </w:p>
    <w:p w14:paraId="2FE906CB" w14:textId="77777777" w:rsidR="00E77310" w:rsidRDefault="00E77310" w:rsidP="00025605">
      <w:pPr>
        <w:pStyle w:val="Heading3"/>
        <w:rPr>
          <w:lang w:eastAsia="en-AU"/>
        </w:rPr>
      </w:pPr>
      <w:bookmarkStart w:id="65" w:name="_Toc112051852"/>
      <w:r>
        <w:rPr>
          <w:lang w:eastAsia="en-AU"/>
        </w:rPr>
        <w:t>Evidentiary matters</w:t>
      </w:r>
      <w:bookmarkEnd w:id="65"/>
    </w:p>
    <w:p w14:paraId="19B65804" w14:textId="320174D7" w:rsidR="00E77310" w:rsidRDefault="00C45BD3" w:rsidP="00E77310">
      <w:pPr>
        <w:rPr>
          <w:lang w:eastAsia="en-AU"/>
        </w:rPr>
      </w:pPr>
      <w:r>
        <w:rPr>
          <w:lang w:eastAsia="en-AU"/>
        </w:rPr>
        <w:t>It has been suggested that for DFV proceedings where parties may be vulnerable and under stress</w:t>
      </w:r>
      <w:r w:rsidR="00F13B9F">
        <w:rPr>
          <w:lang w:eastAsia="en-AU"/>
        </w:rPr>
        <w:t xml:space="preserve"> and where it is particularly important that parties</w:t>
      </w:r>
      <w:r>
        <w:rPr>
          <w:lang w:eastAsia="en-AU"/>
        </w:rPr>
        <w:t xml:space="preserve"> understand th</w:t>
      </w:r>
      <w:r w:rsidR="00F13B9F">
        <w:rPr>
          <w:lang w:eastAsia="en-AU"/>
        </w:rPr>
        <w:t>e proceedings, it is appropriate for the court proceedings to be conducted with as little formality and legal technicality as possible.</w:t>
      </w:r>
    </w:p>
    <w:p w14:paraId="357C137C" w14:textId="77777777" w:rsidR="00107119" w:rsidRPr="00107119" w:rsidRDefault="00107119" w:rsidP="004C0CF3">
      <w:pPr>
        <w:spacing w:after="120"/>
        <w:rPr>
          <w:lang w:eastAsia="en-AU"/>
        </w:rPr>
      </w:pPr>
      <w:r w:rsidRPr="00107119">
        <w:rPr>
          <w:lang w:eastAsia="en-AU"/>
        </w:rPr>
        <w:t>It is proposed to retain section 116 as currently worded:</w:t>
      </w:r>
    </w:p>
    <w:p w14:paraId="3384375F" w14:textId="131C6491" w:rsidR="00107119" w:rsidRPr="00107119" w:rsidRDefault="00107119" w:rsidP="00107119">
      <w:pPr>
        <w:ind w:left="568"/>
        <w:rPr>
          <w:lang w:eastAsia="en-AU"/>
        </w:rPr>
      </w:pPr>
      <w:r w:rsidRPr="00107119">
        <w:rPr>
          <w:lang w:eastAsia="en-AU"/>
        </w:rPr>
        <w:t>In making, confirming varying or revoking a DVO the issuing authority may adm</w:t>
      </w:r>
      <w:r>
        <w:rPr>
          <w:lang w:eastAsia="en-AU"/>
        </w:rPr>
        <w:t>it and act on hearsay evidence.</w:t>
      </w:r>
    </w:p>
    <w:p w14:paraId="035B42C3" w14:textId="6F0B06A9" w:rsidR="00C45BD3" w:rsidRDefault="00A40589" w:rsidP="00B40473">
      <w:pPr>
        <w:pStyle w:val="Heading4"/>
        <w:keepNext/>
        <w:numPr>
          <w:ilvl w:val="0"/>
          <w:numId w:val="0"/>
        </w:numPr>
        <w:spacing w:after="0" w:line="259" w:lineRule="auto"/>
        <w:ind w:left="864" w:hanging="864"/>
        <w:rPr>
          <w:lang w:eastAsia="en-AU"/>
        </w:rPr>
      </w:pPr>
      <w:r>
        <w:rPr>
          <w:lang w:eastAsia="en-AU"/>
        </w:rPr>
        <w:t xml:space="preserve">PROPOSAL </w:t>
      </w:r>
      <w:r w:rsidR="001804B8">
        <w:rPr>
          <w:lang w:eastAsia="en-AU"/>
        </w:rPr>
        <w:t xml:space="preserve">LR </w:t>
      </w:r>
      <w:r>
        <w:rPr>
          <w:lang w:eastAsia="en-AU"/>
        </w:rPr>
        <w:t>35</w:t>
      </w:r>
    </w:p>
    <w:p w14:paraId="5F1CD3E2" w14:textId="249E9CAD" w:rsidR="00C45BD3" w:rsidRPr="00A40589" w:rsidRDefault="00C45BD3" w:rsidP="00B40473">
      <w:pPr>
        <w:keepNext/>
        <w:spacing w:after="0" w:line="259" w:lineRule="auto"/>
        <w:rPr>
          <w:b/>
          <w:lang w:eastAsia="en-AU"/>
        </w:rPr>
      </w:pPr>
      <w:r w:rsidRPr="00A40589">
        <w:rPr>
          <w:b/>
          <w:lang w:eastAsia="en-AU"/>
        </w:rPr>
        <w:t>It is proposed to ame</w:t>
      </w:r>
      <w:r w:rsidR="00F13B9F" w:rsidRPr="00A40589">
        <w:rPr>
          <w:b/>
          <w:lang w:eastAsia="en-AU"/>
        </w:rPr>
        <w:t>nd the DFV</w:t>
      </w:r>
      <w:r w:rsidR="00B40473">
        <w:rPr>
          <w:b/>
          <w:lang w:eastAsia="en-AU"/>
        </w:rPr>
        <w:t> </w:t>
      </w:r>
      <w:r w:rsidR="00F13B9F" w:rsidRPr="00A40589">
        <w:rPr>
          <w:b/>
          <w:lang w:eastAsia="en-AU"/>
        </w:rPr>
        <w:t>A</w:t>
      </w:r>
      <w:r w:rsidR="00B40473">
        <w:rPr>
          <w:b/>
          <w:lang w:eastAsia="en-AU"/>
        </w:rPr>
        <w:t>ct</w:t>
      </w:r>
      <w:r w:rsidR="00F13B9F" w:rsidRPr="00A40589">
        <w:rPr>
          <w:b/>
          <w:lang w:eastAsia="en-AU"/>
        </w:rPr>
        <w:t xml:space="preserve"> along the lines along the lines of section 93 </w:t>
      </w:r>
      <w:r w:rsidR="00107119">
        <w:rPr>
          <w:b/>
          <w:lang w:eastAsia="en-AU"/>
        </w:rPr>
        <w:t xml:space="preserve">of </w:t>
      </w:r>
      <w:r w:rsidR="00F13B9F" w:rsidRPr="00A40589">
        <w:rPr>
          <w:b/>
          <w:lang w:eastAsia="en-AU"/>
        </w:rPr>
        <w:t xml:space="preserve">the </w:t>
      </w:r>
      <w:r w:rsidR="00F13B9F" w:rsidRPr="00A40589">
        <w:rPr>
          <w:b/>
          <w:i/>
          <w:lang w:eastAsia="en-AU"/>
        </w:rPr>
        <w:t>Care and Protection of Children Act 2007</w:t>
      </w:r>
      <w:r w:rsidRPr="00A40589">
        <w:rPr>
          <w:b/>
          <w:lang w:eastAsia="en-AU"/>
        </w:rPr>
        <w:t>:</w:t>
      </w:r>
    </w:p>
    <w:p w14:paraId="6FF962E9" w14:textId="7350CE24" w:rsidR="00C45BD3" w:rsidRPr="00A40589" w:rsidRDefault="00F13B9F" w:rsidP="0067521E">
      <w:pPr>
        <w:pStyle w:val="ListParagraph"/>
        <w:numPr>
          <w:ilvl w:val="0"/>
          <w:numId w:val="94"/>
        </w:numPr>
        <w:spacing w:after="0" w:line="259" w:lineRule="auto"/>
        <w:ind w:left="567" w:hanging="567"/>
        <w:rPr>
          <w:b/>
          <w:lang w:eastAsia="en-AU"/>
        </w:rPr>
      </w:pPr>
      <w:r w:rsidRPr="00A40589">
        <w:rPr>
          <w:b/>
          <w:lang w:eastAsia="en-AU"/>
        </w:rPr>
        <w:t>Court proceedings must be conducted with as little formality and legal technicality as the circumstances permit</w:t>
      </w:r>
      <w:r w:rsidR="00B40473">
        <w:rPr>
          <w:b/>
          <w:lang w:eastAsia="en-AU"/>
        </w:rPr>
        <w:t>.</w:t>
      </w:r>
    </w:p>
    <w:p w14:paraId="04F33A39" w14:textId="677A144E" w:rsidR="00DE0238" w:rsidRPr="009D167E" w:rsidRDefault="00F13B9F" w:rsidP="0067521E">
      <w:pPr>
        <w:pStyle w:val="ListParagraph"/>
        <w:numPr>
          <w:ilvl w:val="0"/>
          <w:numId w:val="94"/>
        </w:numPr>
        <w:spacing w:line="259" w:lineRule="auto"/>
        <w:ind w:left="567" w:hanging="567"/>
        <w:rPr>
          <w:b/>
          <w:lang w:eastAsia="en-AU"/>
        </w:rPr>
      </w:pPr>
      <w:r w:rsidRPr="00A40589">
        <w:rPr>
          <w:b/>
          <w:lang w:eastAsia="en-AU"/>
        </w:rPr>
        <w:t xml:space="preserve">Subject to any directions of the </w:t>
      </w:r>
      <w:r w:rsidR="00B40473" w:rsidRPr="00A40589">
        <w:rPr>
          <w:b/>
          <w:lang w:eastAsia="en-AU"/>
        </w:rPr>
        <w:t>court</w:t>
      </w:r>
      <w:r w:rsidRPr="00A40589">
        <w:rPr>
          <w:b/>
          <w:lang w:eastAsia="en-AU"/>
        </w:rPr>
        <w:t xml:space="preserve">, the </w:t>
      </w:r>
      <w:r w:rsidR="00B40473" w:rsidRPr="00A40589">
        <w:rPr>
          <w:b/>
          <w:lang w:eastAsia="en-AU"/>
        </w:rPr>
        <w:t xml:space="preserve">court </w:t>
      </w:r>
      <w:r w:rsidRPr="00A40589">
        <w:rPr>
          <w:b/>
          <w:lang w:eastAsia="en-AU"/>
        </w:rPr>
        <w:t>is not</w:t>
      </w:r>
      <w:r w:rsidR="00107119">
        <w:rPr>
          <w:b/>
          <w:lang w:eastAsia="en-AU"/>
        </w:rPr>
        <w:t xml:space="preserve"> bound by the rules of evidence</w:t>
      </w:r>
      <w:r w:rsidR="00DC3AB1">
        <w:rPr>
          <w:b/>
          <w:lang w:eastAsia="en-AU"/>
        </w:rPr>
        <w:t>.</w:t>
      </w:r>
    </w:p>
    <w:p w14:paraId="1AA69172" w14:textId="77777777" w:rsidR="00FA4FCF" w:rsidRDefault="00FA4FCF" w:rsidP="00B40473">
      <w:pPr>
        <w:pStyle w:val="Heading3"/>
        <w:keepNext/>
        <w:rPr>
          <w:lang w:eastAsia="en-AU"/>
        </w:rPr>
      </w:pPr>
      <w:bookmarkStart w:id="66" w:name="_Toc112051853"/>
      <w:r>
        <w:rPr>
          <w:lang w:eastAsia="en-AU"/>
        </w:rPr>
        <w:t>Mandatory Reporting</w:t>
      </w:r>
      <w:bookmarkEnd w:id="66"/>
    </w:p>
    <w:p w14:paraId="03267FB6" w14:textId="0B08C254" w:rsidR="00FA4FCF" w:rsidRPr="00B40473" w:rsidRDefault="00FA4FCF" w:rsidP="004C0CF3">
      <w:pPr>
        <w:spacing w:after="0"/>
      </w:pPr>
      <w:r>
        <w:t>Under section 124A of the</w:t>
      </w:r>
      <w:r w:rsidR="00B40473">
        <w:t xml:space="preserve"> DFV Act</w:t>
      </w:r>
      <w:r>
        <w:t xml:space="preserve">, all adults in the NT are required by law to report certain incidents of DFV to the police. </w:t>
      </w:r>
      <w:r w:rsidR="00B40473">
        <w:t xml:space="preserve"> </w:t>
      </w:r>
      <w:r>
        <w:t xml:space="preserve">The mandatory reporting provision commenced in March 2009 and </w:t>
      </w:r>
      <w:r>
        <w:lastRenderedPageBreak/>
        <w:t>was considered to be a world first.</w:t>
      </w:r>
      <w:r>
        <w:rPr>
          <w:rStyle w:val="FootnoteReference"/>
        </w:rPr>
        <w:footnoteReference w:id="181"/>
      </w:r>
      <w:r>
        <w:t xml:space="preserve">  The rationale was to challenge the cultur</w:t>
      </w:r>
      <w:r w:rsidR="00DE0F9C">
        <w:t xml:space="preserve">e </w:t>
      </w:r>
      <w:r w:rsidR="00DE0F9C" w:rsidRPr="00B40473">
        <w:t>of silence and inaction in relation to</w:t>
      </w:r>
      <w:r w:rsidRPr="00B40473">
        <w:t xml:space="preserve"> </w:t>
      </w:r>
      <w:r w:rsidR="00DE0F9C" w:rsidRPr="00B40473">
        <w:t>DFV so that</w:t>
      </w:r>
      <w:r w:rsidRPr="00B40473">
        <w:t xml:space="preserve"> families </w:t>
      </w:r>
      <w:r w:rsidR="00DE0F9C" w:rsidRPr="00B40473">
        <w:t xml:space="preserve">are </w:t>
      </w:r>
      <w:r w:rsidRPr="00B40473">
        <w:t>safer.</w:t>
      </w:r>
    </w:p>
    <w:p w14:paraId="76FE0C8E" w14:textId="77777777" w:rsidR="00FA4FCF" w:rsidRDefault="00FA4FCF" w:rsidP="00B40473">
      <w:pPr>
        <w:keepNext/>
        <w:spacing w:before="120" w:after="120"/>
      </w:pPr>
      <w:r>
        <w:t>An adult commits an offence if they believe on reasonable grounds that either, or both, of the following circumstances exist and they do not report it to police as soon as practicable:</w:t>
      </w:r>
    </w:p>
    <w:p w14:paraId="0B34A092" w14:textId="4E26FE1A" w:rsidR="00FA4FCF" w:rsidRPr="00B40473" w:rsidRDefault="00B40473" w:rsidP="0067521E">
      <w:pPr>
        <w:pStyle w:val="ListParagraph"/>
        <w:numPr>
          <w:ilvl w:val="0"/>
          <w:numId w:val="29"/>
        </w:numPr>
        <w:spacing w:before="120"/>
        <w:ind w:left="567" w:hanging="567"/>
      </w:pPr>
      <w:r w:rsidRPr="00B40473">
        <w:t xml:space="preserve">another </w:t>
      </w:r>
      <w:r w:rsidR="00FA4FCF" w:rsidRPr="00B40473">
        <w:t>person has caused, or is likely to cause, harm to someone else (the victim) with whom they are in a domestic or family relationship, and/or</w:t>
      </w:r>
    </w:p>
    <w:p w14:paraId="7D00CAB1" w14:textId="0CBDEFA3" w:rsidR="00FA4FCF" w:rsidRPr="00B40473" w:rsidRDefault="00B40473" w:rsidP="0067521E">
      <w:pPr>
        <w:pStyle w:val="ListParagraph"/>
        <w:numPr>
          <w:ilvl w:val="0"/>
          <w:numId w:val="29"/>
        </w:numPr>
        <w:spacing w:before="120" w:after="200"/>
        <w:ind w:left="567" w:hanging="567"/>
      </w:pPr>
      <w:r w:rsidRPr="00B40473">
        <w:t xml:space="preserve">the </w:t>
      </w:r>
      <w:r w:rsidR="00FA4FCF" w:rsidRPr="00B40473">
        <w:t>life or safety of another person (also the victim) is under serious or imminent threat because domestic violence has been, is being or is about to be committed.</w:t>
      </w:r>
    </w:p>
    <w:p w14:paraId="226CD759" w14:textId="77777777" w:rsidR="00FA4FCF" w:rsidRDefault="00FA4FCF" w:rsidP="00B40473">
      <w:pPr>
        <w:spacing w:before="240"/>
      </w:pPr>
      <w:r>
        <w:t>The maximum penalty is 200 penalty units.</w:t>
      </w:r>
    </w:p>
    <w:p w14:paraId="448E2C4D" w14:textId="03486CFE" w:rsidR="00FA4FCF" w:rsidRDefault="00FA4FCF" w:rsidP="00B40473">
      <w:pPr>
        <w:spacing w:before="240" w:after="120"/>
      </w:pPr>
      <w:r>
        <w:t xml:space="preserve">Harm means physical harm that is serious harm as defined in the Criminal Code. </w:t>
      </w:r>
    </w:p>
    <w:p w14:paraId="1D465DF1" w14:textId="77777777" w:rsidR="00FA4FCF" w:rsidRDefault="00FA4FCF" w:rsidP="00B40473">
      <w:pPr>
        <w:spacing w:before="120" w:after="120"/>
      </w:pPr>
      <w:r>
        <w:t>Physical harm as defined in section 1A of the Criminal Code means:</w:t>
      </w:r>
    </w:p>
    <w:p w14:paraId="2F8EA378" w14:textId="5FDFBCB6" w:rsidR="00FA4FCF" w:rsidRDefault="00B40473" w:rsidP="0067521E">
      <w:pPr>
        <w:pStyle w:val="ListParagraph"/>
        <w:numPr>
          <w:ilvl w:val="0"/>
          <w:numId w:val="30"/>
        </w:numPr>
        <w:spacing w:before="120"/>
        <w:ind w:left="993" w:hanging="426"/>
      </w:pPr>
      <w:r>
        <w:t xml:space="preserve">temporary </w:t>
      </w:r>
      <w:r w:rsidR="00FA4FCF">
        <w:t>or permanent harm</w:t>
      </w:r>
      <w:r>
        <w:t>;</w:t>
      </w:r>
    </w:p>
    <w:p w14:paraId="0E21FFEC" w14:textId="6FB65B3E" w:rsidR="00FA4FCF" w:rsidRDefault="00B40473" w:rsidP="0067521E">
      <w:pPr>
        <w:pStyle w:val="ListParagraph"/>
        <w:numPr>
          <w:ilvl w:val="0"/>
          <w:numId w:val="30"/>
        </w:numPr>
        <w:spacing w:before="120"/>
        <w:ind w:left="993" w:hanging="426"/>
      </w:pPr>
      <w:r>
        <w:t xml:space="preserve">physical </w:t>
      </w:r>
      <w:r w:rsidR="00FA4FCF">
        <w:t>harm</w:t>
      </w:r>
      <w:r w:rsidR="00FA4FCF" w:rsidRPr="00D56EF3">
        <w:t xml:space="preserve"> includes unconsciousness, pain, disfigurement, infection with a disease and any physical contact with a person that a person might reasonably object to in the circumstances, whether or not the person was aware of </w:t>
      </w:r>
      <w:r w:rsidR="00FA4FCF">
        <w:t>it at the time</w:t>
      </w:r>
      <w:r>
        <w:t>;</w:t>
      </w:r>
    </w:p>
    <w:p w14:paraId="4963C598" w14:textId="07D60B9A" w:rsidR="00FA4FCF" w:rsidRPr="00D56EF3" w:rsidRDefault="00B40473" w:rsidP="0067521E">
      <w:pPr>
        <w:pStyle w:val="ListParagraph"/>
        <w:numPr>
          <w:ilvl w:val="0"/>
          <w:numId w:val="30"/>
        </w:numPr>
        <w:spacing w:before="120" w:after="200"/>
        <w:ind w:left="992" w:hanging="425"/>
      </w:pPr>
      <w:r w:rsidRPr="00D56EF3">
        <w:t xml:space="preserve">harm </w:t>
      </w:r>
      <w:r w:rsidR="00FA4FCF" w:rsidRPr="00D56EF3">
        <w:t>does not include being subjected to any force or impact that is within the limits of what is acceptable as incidental to social interaction or to life in the community.</w:t>
      </w:r>
    </w:p>
    <w:p w14:paraId="13A02F4A" w14:textId="77777777" w:rsidR="00FA4FCF" w:rsidRDefault="00FA4FCF" w:rsidP="00B40473">
      <w:pPr>
        <w:spacing w:after="120"/>
        <w:rPr>
          <w:lang w:eastAsia="en-AU"/>
        </w:rPr>
      </w:pPr>
      <w:r>
        <w:rPr>
          <w:lang w:eastAsia="en-AU"/>
        </w:rPr>
        <w:t>Serious harm is defined in section 1 of the Criminal Code to mean any harm (including the cumulative effect of more than one harm):</w:t>
      </w:r>
    </w:p>
    <w:p w14:paraId="0342DFE9" w14:textId="7AB29338" w:rsidR="00FA4FCF" w:rsidRDefault="00B40473" w:rsidP="0067521E">
      <w:pPr>
        <w:pStyle w:val="ListParagraph"/>
        <w:numPr>
          <w:ilvl w:val="0"/>
          <w:numId w:val="31"/>
        </w:numPr>
        <w:ind w:left="993" w:hanging="426"/>
        <w:rPr>
          <w:lang w:eastAsia="en-AU"/>
        </w:rPr>
      </w:pPr>
      <w:r>
        <w:rPr>
          <w:lang w:eastAsia="en-AU"/>
        </w:rPr>
        <w:t xml:space="preserve">that </w:t>
      </w:r>
      <w:r w:rsidR="00FA4FCF">
        <w:rPr>
          <w:lang w:eastAsia="en-AU"/>
        </w:rPr>
        <w:t>endangers, or is likely to endanger, a person’s life</w:t>
      </w:r>
      <w:r>
        <w:rPr>
          <w:lang w:eastAsia="en-AU"/>
        </w:rPr>
        <w:t>;</w:t>
      </w:r>
    </w:p>
    <w:p w14:paraId="37949FB3" w14:textId="73227074" w:rsidR="00FA4FCF" w:rsidRDefault="00B40473" w:rsidP="0067521E">
      <w:pPr>
        <w:pStyle w:val="ListParagraph"/>
        <w:numPr>
          <w:ilvl w:val="0"/>
          <w:numId w:val="31"/>
        </w:numPr>
        <w:ind w:left="993" w:hanging="426"/>
        <w:rPr>
          <w:lang w:eastAsia="en-AU"/>
        </w:rPr>
      </w:pPr>
      <w:r>
        <w:rPr>
          <w:lang w:eastAsia="en-AU"/>
        </w:rPr>
        <w:t xml:space="preserve">that </w:t>
      </w:r>
      <w:r w:rsidR="00FA4FCF">
        <w:rPr>
          <w:lang w:eastAsia="en-AU"/>
        </w:rPr>
        <w:t>is or is likely to be significant and longstanding.</w:t>
      </w:r>
    </w:p>
    <w:p w14:paraId="5BBF5664" w14:textId="53E65CFE" w:rsidR="00FA4FCF" w:rsidRDefault="00FA4FCF" w:rsidP="00B40473">
      <w:pPr>
        <w:keepNext/>
        <w:spacing w:before="240" w:after="120"/>
      </w:pPr>
      <w:r>
        <w:t xml:space="preserve">It is a defence to a prosecution if the defendant has a reasonable excuse. </w:t>
      </w:r>
      <w:r w:rsidR="00B40473">
        <w:t xml:space="preserve"> </w:t>
      </w:r>
      <w:r>
        <w:t>Without limiting what may be a reasonable excuse, it is a reasonable excuse if the defendant establishes one or more of the following:</w:t>
      </w:r>
    </w:p>
    <w:p w14:paraId="56622C4B" w14:textId="210D4C21" w:rsidR="00FA4FCF" w:rsidRDefault="00FA4FCF" w:rsidP="0067521E">
      <w:pPr>
        <w:pStyle w:val="ListParagraph"/>
        <w:numPr>
          <w:ilvl w:val="0"/>
          <w:numId w:val="28"/>
        </w:numPr>
        <w:spacing w:before="120"/>
        <w:ind w:left="992" w:hanging="425"/>
      </w:pPr>
      <w:r>
        <w:t>The defendant reasonably believed someone else had reported the DFV</w:t>
      </w:r>
      <w:r w:rsidR="00B40473">
        <w:t>.</w:t>
      </w:r>
    </w:p>
    <w:p w14:paraId="0F4A1DA7" w14:textId="1AEC2D02" w:rsidR="00FA4FCF" w:rsidRDefault="00FA4FCF" w:rsidP="0067521E">
      <w:pPr>
        <w:pStyle w:val="ListParagraph"/>
        <w:numPr>
          <w:ilvl w:val="0"/>
          <w:numId w:val="28"/>
        </w:numPr>
        <w:spacing w:before="120"/>
        <w:ind w:left="992" w:hanging="425"/>
      </w:pPr>
      <w:r>
        <w:t>The defendant was engaged in planning the removal of the victim survivor from DFV and intended to report the matter as soon as practical after the removal</w:t>
      </w:r>
      <w:r w:rsidR="00B40473">
        <w:t>.</w:t>
      </w:r>
    </w:p>
    <w:p w14:paraId="2960526E" w14:textId="77777777" w:rsidR="00FA4FCF" w:rsidRDefault="00FA4FCF" w:rsidP="0067521E">
      <w:pPr>
        <w:pStyle w:val="ListParagraph"/>
        <w:numPr>
          <w:ilvl w:val="0"/>
          <w:numId w:val="28"/>
        </w:numPr>
        <w:spacing w:before="120" w:after="200"/>
        <w:ind w:left="992" w:hanging="425"/>
      </w:pPr>
      <w:r>
        <w:t>The defendant believed a serious or imminent threat to the life or safety of any person may result.</w:t>
      </w:r>
    </w:p>
    <w:p w14:paraId="6F4719BA" w14:textId="77777777" w:rsidR="00FA4FCF" w:rsidRDefault="00FA4FCF" w:rsidP="00B40473">
      <w:pPr>
        <w:rPr>
          <w:lang w:eastAsia="en-AU"/>
        </w:rPr>
      </w:pPr>
      <w:r>
        <w:rPr>
          <w:lang w:eastAsia="en-AU"/>
        </w:rPr>
        <w:t xml:space="preserve">The ALRC and NSWLRC considered the NT’s mandatory reporting laws in its 2010 Report, </w:t>
      </w:r>
      <w:r w:rsidRPr="009F5BF5">
        <w:rPr>
          <w:i/>
          <w:lang w:eastAsia="en-AU"/>
        </w:rPr>
        <w:t>Family Violence – A National Legal Response</w:t>
      </w:r>
      <w:r>
        <w:rPr>
          <w:lang w:eastAsia="en-AU"/>
        </w:rPr>
        <w:t>.</w:t>
      </w:r>
      <w:r>
        <w:rPr>
          <w:rStyle w:val="FootnoteReference"/>
          <w:lang w:eastAsia="en-AU"/>
        </w:rPr>
        <w:footnoteReference w:id="182"/>
      </w:r>
      <w:r>
        <w:rPr>
          <w:lang w:eastAsia="en-AU"/>
        </w:rPr>
        <w:t xml:space="preserve"> </w:t>
      </w:r>
    </w:p>
    <w:p w14:paraId="15B2F79F" w14:textId="77777777" w:rsidR="00FA4FCF" w:rsidRDefault="00FA4FCF" w:rsidP="00B40473">
      <w:pPr>
        <w:rPr>
          <w:lang w:eastAsia="en-AU"/>
        </w:rPr>
      </w:pPr>
      <w:r>
        <w:rPr>
          <w:lang w:eastAsia="en-AU"/>
        </w:rPr>
        <w:t xml:space="preserve">The Commissions considered the views of stakeholders and academics who expressed the view that mandatory reporting laws can undermine the autonomy of the victims to decide when to call the police.  Some stakeholders believed that safety and welfare was not always best secured by calling the police.  </w:t>
      </w:r>
    </w:p>
    <w:p w14:paraId="0DD25CC4" w14:textId="77777777" w:rsidR="00FA4FCF" w:rsidRDefault="00FA4FCF" w:rsidP="00FA4FCF">
      <w:pPr>
        <w:rPr>
          <w:lang w:eastAsia="en-AU"/>
        </w:rPr>
      </w:pPr>
      <w:r>
        <w:rPr>
          <w:lang w:eastAsia="en-AU"/>
        </w:rPr>
        <w:t xml:space="preserve">The Commissions acknowledge that whether, and under what circumstances, the state should defer to the wishes of victims and not investigate or act upon family violence remains a contested issue.  </w:t>
      </w:r>
      <w:r>
        <w:rPr>
          <w:lang w:eastAsia="en-AU"/>
        </w:rPr>
        <w:lastRenderedPageBreak/>
        <w:t>Victims may wish their injuries to be treated confidentially by a doctor but not to have police involved.</w:t>
      </w:r>
    </w:p>
    <w:p w14:paraId="5A3D820D" w14:textId="483A349D" w:rsidR="00FA4FCF" w:rsidRDefault="00FA4FCF" w:rsidP="00FA4FCF">
      <w:pPr>
        <w:rPr>
          <w:lang w:eastAsia="en-AU"/>
        </w:rPr>
      </w:pPr>
      <w:r>
        <w:rPr>
          <w:lang w:eastAsia="en-AU"/>
        </w:rPr>
        <w:t>The Commissions found that the potential for mandatory reporting to isolate victims of family violence by acting as a disincentive for victims to seek assistance, guidance or medical care.  The Commission</w:t>
      </w:r>
      <w:r w:rsidR="00CA047D">
        <w:rPr>
          <w:lang w:eastAsia="en-AU"/>
        </w:rPr>
        <w:t>s</w:t>
      </w:r>
      <w:r>
        <w:rPr>
          <w:lang w:eastAsia="en-AU"/>
        </w:rPr>
        <w:t xml:space="preserve"> found that mandatory reporting may disempower victims, and take from them some of the tools with which, in their judgement, they are best able to use to combat or escape from violence. </w:t>
      </w:r>
    </w:p>
    <w:p w14:paraId="62D61692" w14:textId="148D5045" w:rsidR="00FA4FCF" w:rsidRDefault="00FA4FCF" w:rsidP="00FA4FCF">
      <w:pPr>
        <w:rPr>
          <w:lang w:eastAsia="en-AU"/>
        </w:rPr>
      </w:pPr>
      <w:r>
        <w:rPr>
          <w:lang w:eastAsia="en-AU"/>
        </w:rPr>
        <w:t>The Commission</w:t>
      </w:r>
      <w:r w:rsidR="00CA047D">
        <w:rPr>
          <w:lang w:eastAsia="en-AU"/>
        </w:rPr>
        <w:t>s</w:t>
      </w:r>
      <w:r>
        <w:rPr>
          <w:lang w:eastAsia="en-AU"/>
        </w:rPr>
        <w:t xml:space="preserve"> believed that children are more vulnerable and less capable of judging how to respond, to and escape from family violence so mandatory reporting of child abuse is appropriate.  However, for adult DFV victims mandatory reporting may remove the victim’s autonomy and have p</w:t>
      </w:r>
      <w:r w:rsidR="009D167E">
        <w:rPr>
          <w:lang w:eastAsia="en-AU"/>
        </w:rPr>
        <w:t xml:space="preserve">otential negative consequences.  </w:t>
      </w:r>
      <w:r>
        <w:rPr>
          <w:lang w:eastAsia="en-AU"/>
        </w:rPr>
        <w:t>The Commission</w:t>
      </w:r>
      <w:r w:rsidR="00CA047D">
        <w:rPr>
          <w:lang w:eastAsia="en-AU"/>
        </w:rPr>
        <w:t>s</w:t>
      </w:r>
      <w:r>
        <w:rPr>
          <w:lang w:eastAsia="en-AU"/>
        </w:rPr>
        <w:t xml:space="preserve"> suggested that the operation of the NT’s mandatory report laws be monitored and evaluated.</w:t>
      </w:r>
      <w:r w:rsidR="009D167E">
        <w:rPr>
          <w:lang w:eastAsia="en-AU"/>
        </w:rPr>
        <w:t xml:space="preserve">  </w:t>
      </w:r>
    </w:p>
    <w:p w14:paraId="3186985C" w14:textId="5E4089CF" w:rsidR="00FA4FCF" w:rsidRDefault="007C7701" w:rsidP="00FA4FCF">
      <w:pPr>
        <w:rPr>
          <w:lang w:eastAsia="en-AU"/>
        </w:rPr>
      </w:pPr>
      <w:r>
        <w:rPr>
          <w:lang w:eastAsia="en-AU"/>
        </w:rPr>
        <w:t xml:space="preserve">Some stakeholders in the NT have </w:t>
      </w:r>
      <w:r w:rsidR="00FA4FCF">
        <w:rPr>
          <w:lang w:eastAsia="en-AU"/>
        </w:rPr>
        <w:t>suggested th</w:t>
      </w:r>
      <w:r w:rsidR="00C978C0">
        <w:rPr>
          <w:lang w:eastAsia="en-AU"/>
        </w:rPr>
        <w:t xml:space="preserve">at mandatory reporting laws </w:t>
      </w:r>
      <w:r w:rsidR="00FA4FCF">
        <w:rPr>
          <w:lang w:eastAsia="en-AU"/>
        </w:rPr>
        <w:t>provide a disincentive for Aboriginal women, in particular, to seek the assistance of medical and other services when they have experienced DFV.  Moreover when they do seek help they may withhold information about how the injuries arose.  Mandatory reporting may prevent full and frank conversations arising about DFV which can inhibit referral to specialist services or safety planning.</w:t>
      </w:r>
    </w:p>
    <w:p w14:paraId="0CB0B5D8" w14:textId="52A9BBFC" w:rsidR="008A35C4" w:rsidRPr="008A35C4" w:rsidRDefault="007C7701" w:rsidP="00CA047D">
      <w:pPr>
        <w:spacing w:after="120"/>
        <w:rPr>
          <w:lang w:eastAsia="en-AU"/>
        </w:rPr>
      </w:pPr>
      <w:r>
        <w:rPr>
          <w:lang w:eastAsia="en-AU"/>
        </w:rPr>
        <w:t>They have suggested</w:t>
      </w:r>
      <w:r w:rsidR="008A35C4">
        <w:rPr>
          <w:lang w:eastAsia="en-AU"/>
        </w:rPr>
        <w:t xml:space="preserve"> </w:t>
      </w:r>
      <w:r>
        <w:rPr>
          <w:lang w:eastAsia="en-AU"/>
        </w:rPr>
        <w:t xml:space="preserve">that </w:t>
      </w:r>
      <w:r w:rsidR="008A35C4">
        <w:rPr>
          <w:lang w:eastAsia="en-AU"/>
        </w:rPr>
        <w:t xml:space="preserve">mandatory reporting </w:t>
      </w:r>
      <w:r>
        <w:rPr>
          <w:lang w:eastAsia="en-AU"/>
        </w:rPr>
        <w:t>be abolished, or alternatively</w:t>
      </w:r>
      <w:r w:rsidR="003B47C6">
        <w:rPr>
          <w:lang w:eastAsia="en-AU"/>
        </w:rPr>
        <w:t>,</w:t>
      </w:r>
      <w:r>
        <w:rPr>
          <w:lang w:eastAsia="en-AU"/>
        </w:rPr>
        <w:t xml:space="preserve"> that </w:t>
      </w:r>
      <w:r w:rsidR="008A35C4" w:rsidRPr="008A35C4">
        <w:rPr>
          <w:lang w:eastAsia="en-AU"/>
        </w:rPr>
        <w:t xml:space="preserve">an exception </w:t>
      </w:r>
      <w:r w:rsidR="003B47C6">
        <w:rPr>
          <w:lang w:eastAsia="en-AU"/>
        </w:rPr>
        <w:t xml:space="preserve">is provided for health professionals, for example, </w:t>
      </w:r>
      <w:r w:rsidR="00C978C0">
        <w:rPr>
          <w:lang w:eastAsia="en-AU"/>
        </w:rPr>
        <w:t xml:space="preserve">that </w:t>
      </w:r>
      <w:r w:rsidR="008A35C4" w:rsidRPr="008A35C4">
        <w:rPr>
          <w:lang w:eastAsia="en-AU"/>
        </w:rPr>
        <w:t xml:space="preserve">an additional reasonable excuse </w:t>
      </w:r>
      <w:r w:rsidR="003B47C6">
        <w:rPr>
          <w:lang w:eastAsia="en-AU"/>
        </w:rPr>
        <w:t xml:space="preserve">is added </w:t>
      </w:r>
      <w:r w:rsidR="00CA047D">
        <w:rPr>
          <w:lang w:eastAsia="en-AU"/>
        </w:rPr>
        <w:t>to section </w:t>
      </w:r>
      <w:r w:rsidR="008A35C4" w:rsidRPr="008A35C4">
        <w:rPr>
          <w:lang w:eastAsia="en-AU"/>
        </w:rPr>
        <w:t>124A(3) along the lines:</w:t>
      </w:r>
    </w:p>
    <w:p w14:paraId="2100A3B2" w14:textId="77777777" w:rsidR="008A35C4" w:rsidRPr="00CA047D" w:rsidRDefault="008A35C4" w:rsidP="00CA047D">
      <w:pPr>
        <w:pStyle w:val="ListParagraph"/>
        <w:ind w:left="567"/>
        <w:rPr>
          <w:lang w:eastAsia="en-AU"/>
        </w:rPr>
      </w:pPr>
      <w:r w:rsidRPr="00CA047D">
        <w:rPr>
          <w:lang w:eastAsia="en-AU"/>
        </w:rPr>
        <w:t>Health professionals and other helping professionals are not required to report to police if they reasonably believe that both:</w:t>
      </w:r>
    </w:p>
    <w:p w14:paraId="3094ACB8" w14:textId="77777777" w:rsidR="008A35C4" w:rsidRPr="00CA047D" w:rsidRDefault="008A35C4" w:rsidP="0067521E">
      <w:pPr>
        <w:pStyle w:val="ListParagraph"/>
        <w:numPr>
          <w:ilvl w:val="1"/>
          <w:numId w:val="32"/>
        </w:numPr>
        <w:ind w:left="1134" w:hanging="567"/>
        <w:rPr>
          <w:lang w:eastAsia="en-AU"/>
        </w:rPr>
      </w:pPr>
      <w:r w:rsidRPr="00CA047D">
        <w:rPr>
          <w:lang w:eastAsia="en-AU"/>
        </w:rPr>
        <w:t>there is no imminent or serious risk to the victim of further violence, and</w:t>
      </w:r>
    </w:p>
    <w:p w14:paraId="790161CB" w14:textId="16ECCE58" w:rsidR="008A35C4" w:rsidRPr="00CA047D" w:rsidRDefault="008A35C4" w:rsidP="0067521E">
      <w:pPr>
        <w:pStyle w:val="ListParagraph"/>
        <w:numPr>
          <w:ilvl w:val="1"/>
          <w:numId w:val="32"/>
        </w:numPr>
        <w:spacing w:after="200"/>
        <w:ind w:left="1134" w:hanging="567"/>
        <w:rPr>
          <w:lang w:eastAsia="en-AU"/>
        </w:rPr>
      </w:pPr>
      <w:r w:rsidRPr="00CA047D">
        <w:rPr>
          <w:lang w:eastAsia="en-AU"/>
        </w:rPr>
        <w:t>reporting is likely to provide a disincentive or barrier to the victim seeking or consenting to the provision of support, assistance or medical care, now or in the future.</w:t>
      </w:r>
    </w:p>
    <w:p w14:paraId="138FC6E2" w14:textId="12289101" w:rsidR="00FA4FCF" w:rsidRDefault="003B47C6" w:rsidP="00FA4FCF">
      <w:pPr>
        <w:rPr>
          <w:lang w:eastAsia="en-AU"/>
        </w:rPr>
      </w:pPr>
      <w:r>
        <w:rPr>
          <w:lang w:eastAsia="en-AU"/>
        </w:rPr>
        <w:t>O</w:t>
      </w:r>
      <w:r w:rsidR="008A35C4">
        <w:rPr>
          <w:lang w:eastAsia="en-AU"/>
        </w:rPr>
        <w:t>ther stakeholders, inclu</w:t>
      </w:r>
      <w:r>
        <w:rPr>
          <w:lang w:eastAsia="en-AU"/>
        </w:rPr>
        <w:t xml:space="preserve">ding </w:t>
      </w:r>
      <w:r w:rsidR="00C978C0">
        <w:rPr>
          <w:lang w:eastAsia="en-AU"/>
        </w:rPr>
        <w:t>NT P</w:t>
      </w:r>
      <w:r>
        <w:rPr>
          <w:lang w:eastAsia="en-AU"/>
        </w:rPr>
        <w:t xml:space="preserve">olice, are opposed to </w:t>
      </w:r>
      <w:r w:rsidR="00C978C0">
        <w:rPr>
          <w:lang w:eastAsia="en-AU"/>
        </w:rPr>
        <w:t xml:space="preserve">the provision of </w:t>
      </w:r>
      <w:r>
        <w:rPr>
          <w:lang w:eastAsia="en-AU"/>
        </w:rPr>
        <w:t xml:space="preserve">an </w:t>
      </w:r>
      <w:r w:rsidR="008A35C4">
        <w:rPr>
          <w:lang w:eastAsia="en-AU"/>
        </w:rPr>
        <w:t>exception</w:t>
      </w:r>
      <w:r>
        <w:rPr>
          <w:lang w:eastAsia="en-AU"/>
        </w:rPr>
        <w:t xml:space="preserve"> for health professionals</w:t>
      </w:r>
      <w:r w:rsidR="008A35C4">
        <w:rPr>
          <w:lang w:eastAsia="en-AU"/>
        </w:rPr>
        <w:t xml:space="preserve">.  They are that </w:t>
      </w:r>
      <w:r>
        <w:rPr>
          <w:lang w:eastAsia="en-AU"/>
        </w:rPr>
        <w:t xml:space="preserve">of the view that </w:t>
      </w:r>
      <w:r w:rsidR="00FA4FCF">
        <w:rPr>
          <w:lang w:eastAsia="en-AU"/>
        </w:rPr>
        <w:t>the NT has a higher rate of DFV than other jurisdictions, and DFV has become normalised in many communities.  Assault in the NT disproportionately impact</w:t>
      </w:r>
      <w:r w:rsidR="00DC3AB1">
        <w:rPr>
          <w:lang w:eastAsia="en-AU"/>
        </w:rPr>
        <w:t>s</w:t>
      </w:r>
      <w:r w:rsidR="00FA4FCF">
        <w:rPr>
          <w:lang w:eastAsia="en-AU"/>
        </w:rPr>
        <w:t xml:space="preserve"> on Aboriginal women, who are eight times more likely to be assaulted than non-Indigenous men or women, and three times more likely to be assaulted than Aboriginal men.</w:t>
      </w:r>
      <w:r w:rsidR="00FA4FCF">
        <w:rPr>
          <w:rStyle w:val="FootnoteReference"/>
          <w:lang w:eastAsia="en-AU"/>
        </w:rPr>
        <w:footnoteReference w:id="183"/>
      </w:r>
      <w:r w:rsidR="00FA4FCF">
        <w:rPr>
          <w:lang w:eastAsia="en-AU"/>
        </w:rPr>
        <w:t xml:space="preserve">  </w:t>
      </w:r>
    </w:p>
    <w:p w14:paraId="589BBB4E" w14:textId="6F3E1C7D" w:rsidR="008915BC" w:rsidRDefault="00FA4FCF" w:rsidP="00FA4FCF">
      <w:pPr>
        <w:rPr>
          <w:lang w:eastAsia="en-AU"/>
        </w:rPr>
      </w:pPr>
      <w:r>
        <w:rPr>
          <w:lang w:eastAsia="en-AU"/>
        </w:rPr>
        <w:t xml:space="preserve">Many bystanders, including professionals in universal services, fail to identify </w:t>
      </w:r>
      <w:r w:rsidR="007737D0">
        <w:rPr>
          <w:lang w:eastAsia="en-AU"/>
        </w:rPr>
        <w:t xml:space="preserve">and report </w:t>
      </w:r>
      <w:r>
        <w:rPr>
          <w:lang w:eastAsia="en-AU"/>
        </w:rPr>
        <w:t>signs of DFV.  The compulsory nature of the mandatory reporting requirement sends a clear m</w:t>
      </w:r>
      <w:r w:rsidR="003B47C6">
        <w:rPr>
          <w:lang w:eastAsia="en-AU"/>
        </w:rPr>
        <w:t>essage to everyone in the NT</w:t>
      </w:r>
      <w:r>
        <w:rPr>
          <w:lang w:eastAsia="en-AU"/>
        </w:rPr>
        <w:t xml:space="preserve"> that </w:t>
      </w:r>
      <w:r w:rsidR="007F6B2A">
        <w:rPr>
          <w:lang w:eastAsia="en-AU"/>
        </w:rPr>
        <w:t xml:space="preserve">there is a shared </w:t>
      </w:r>
      <w:r w:rsidR="003B47C6">
        <w:rPr>
          <w:lang w:eastAsia="en-AU"/>
        </w:rPr>
        <w:t xml:space="preserve">obligation for all adults to </w:t>
      </w:r>
      <w:r w:rsidR="007F6B2A">
        <w:rPr>
          <w:lang w:eastAsia="en-AU"/>
        </w:rPr>
        <w:t>report</w:t>
      </w:r>
      <w:r>
        <w:rPr>
          <w:lang w:eastAsia="en-AU"/>
        </w:rPr>
        <w:t xml:space="preserve"> </w:t>
      </w:r>
      <w:r w:rsidR="003B47C6">
        <w:rPr>
          <w:lang w:eastAsia="en-AU"/>
        </w:rPr>
        <w:t xml:space="preserve">DFV to authorities. </w:t>
      </w:r>
      <w:r w:rsidR="00CA047D">
        <w:rPr>
          <w:lang w:eastAsia="en-AU"/>
        </w:rPr>
        <w:t xml:space="preserve"> </w:t>
      </w:r>
      <w:r w:rsidR="003B47C6">
        <w:rPr>
          <w:lang w:eastAsia="en-AU"/>
        </w:rPr>
        <w:t>The mandatory reporting provision</w:t>
      </w:r>
      <w:r>
        <w:rPr>
          <w:lang w:eastAsia="en-AU"/>
        </w:rPr>
        <w:t xml:space="preserve"> may be especially important in a jurisdiction like the NT where there is a high turnov</w:t>
      </w:r>
      <w:r w:rsidR="009D167E">
        <w:rPr>
          <w:lang w:eastAsia="en-AU"/>
        </w:rPr>
        <w:t>er of residents and workers.</w:t>
      </w:r>
    </w:p>
    <w:p w14:paraId="766CA4C1" w14:textId="05C25435" w:rsidR="00FA4FCF" w:rsidRDefault="009D167E" w:rsidP="00CA047D">
      <w:pPr>
        <w:pStyle w:val="Heading4"/>
        <w:keepNext/>
        <w:numPr>
          <w:ilvl w:val="0"/>
          <w:numId w:val="0"/>
        </w:numPr>
        <w:spacing w:after="0" w:line="259" w:lineRule="auto"/>
        <w:ind w:left="862" w:hanging="862"/>
        <w:rPr>
          <w:lang w:eastAsia="en-AU"/>
        </w:rPr>
      </w:pPr>
      <w:r>
        <w:rPr>
          <w:lang w:eastAsia="en-AU"/>
        </w:rPr>
        <w:t xml:space="preserve">PROPOSAL </w:t>
      </w:r>
      <w:r w:rsidR="00C04303">
        <w:rPr>
          <w:lang w:eastAsia="en-AU"/>
        </w:rPr>
        <w:t xml:space="preserve">LR </w:t>
      </w:r>
      <w:r>
        <w:rPr>
          <w:lang w:eastAsia="en-AU"/>
        </w:rPr>
        <w:t xml:space="preserve">36 </w:t>
      </w:r>
    </w:p>
    <w:p w14:paraId="2194E7BA" w14:textId="3C5B8BFA" w:rsidR="008A35C4" w:rsidRPr="008A35C4" w:rsidRDefault="008A35C4" w:rsidP="00CA047D">
      <w:pPr>
        <w:spacing w:line="259" w:lineRule="auto"/>
        <w:rPr>
          <w:b/>
          <w:lang w:eastAsia="en-AU"/>
        </w:rPr>
      </w:pPr>
      <w:r w:rsidRPr="008A35C4">
        <w:rPr>
          <w:b/>
          <w:lang w:eastAsia="en-AU"/>
        </w:rPr>
        <w:t xml:space="preserve">It is proposed to maintain </w:t>
      </w:r>
      <w:r>
        <w:rPr>
          <w:b/>
          <w:lang w:eastAsia="en-AU"/>
        </w:rPr>
        <w:t>the mandatory reporting provision in section 124A</w:t>
      </w:r>
      <w:r w:rsidRPr="008A35C4">
        <w:rPr>
          <w:b/>
          <w:lang w:eastAsia="en-AU"/>
        </w:rPr>
        <w:t xml:space="preserve"> as currently worded.</w:t>
      </w:r>
    </w:p>
    <w:p w14:paraId="22F94C06" w14:textId="77777777" w:rsidR="00FA4FCF" w:rsidRPr="00751313" w:rsidRDefault="00FA4FCF" w:rsidP="00CA047D">
      <w:pPr>
        <w:pStyle w:val="Heading3"/>
        <w:keepNext/>
        <w:rPr>
          <w:lang w:eastAsia="en-AU"/>
        </w:rPr>
      </w:pPr>
      <w:bookmarkStart w:id="67" w:name="_Toc112051854"/>
      <w:r>
        <w:rPr>
          <w:lang w:eastAsia="en-AU"/>
        </w:rPr>
        <w:t>Penalties for contravention of a DVO</w:t>
      </w:r>
      <w:bookmarkEnd w:id="67"/>
    </w:p>
    <w:p w14:paraId="50E64E4E" w14:textId="215E3ED3" w:rsidR="00FA4FCF" w:rsidRDefault="00FA4FCF" w:rsidP="00FA4FCF">
      <w:r>
        <w:t>If an adult is found guilty of contravening a DVO</w:t>
      </w:r>
      <w:r w:rsidRPr="00002886">
        <w:t>, the person is liable to a penalty of 400 pen</w:t>
      </w:r>
      <w:r w:rsidR="00CA047D">
        <w:t>alty units or imprisonment for two</w:t>
      </w:r>
      <w:r w:rsidRPr="00002886">
        <w:t> years</w:t>
      </w:r>
      <w:r>
        <w:t xml:space="preserve"> (section 121(1))</w:t>
      </w:r>
      <w:r w:rsidRPr="00002886">
        <w:t>.</w:t>
      </w:r>
    </w:p>
    <w:p w14:paraId="2E56F528" w14:textId="1BF3E329" w:rsidR="00FA4FCF" w:rsidRDefault="00FA4FCF" w:rsidP="00FA4FCF">
      <w:r>
        <w:lastRenderedPageBreak/>
        <w:t>However, mandatory sentencing provisions apply</w:t>
      </w:r>
      <w:r w:rsidR="00984BF1">
        <w:t xml:space="preserve">. </w:t>
      </w:r>
      <w:r w:rsidR="00CA047D">
        <w:t xml:space="preserve"> </w:t>
      </w:r>
      <w:r w:rsidR="00984BF1">
        <w:t>If an adult</w:t>
      </w:r>
      <w:r>
        <w:t xml:space="preserve"> has been previously found guilty of a DVO contravention offence</w:t>
      </w:r>
      <w:r w:rsidR="00CA047D">
        <w:t>,</w:t>
      </w:r>
      <w:r>
        <w:t xml:space="preserve"> the </w:t>
      </w:r>
      <w:r w:rsidR="00CA047D">
        <w:t xml:space="preserve">court </w:t>
      </w:r>
      <w:r>
        <w:t>must record a conviction and sentence the person to imprisonment for at least seven days (section 121(2)). This does not apply if the offence does not result in harm to the protected person and the court is satisfied that it is not appropriate in the circumstances of the case, or it was a breach of an unconfirmed police DVO.</w:t>
      </w:r>
    </w:p>
    <w:p w14:paraId="5907CBCF" w14:textId="67AAAD57" w:rsidR="00FA4FCF" w:rsidRDefault="00FA4FCF" w:rsidP="00FA4FCF">
      <w:r>
        <w:t>Under section 121(5)</w:t>
      </w:r>
      <w:r w:rsidR="00CA047D">
        <w:t>,</w:t>
      </w:r>
      <w:r>
        <w:t xml:space="preserve"> the court must not make an order for a person previously found guilty of a DVO contravention offence if the order would result in the release of the person from the requirement to actually serve the term of imprisonment imposed.</w:t>
      </w:r>
    </w:p>
    <w:p w14:paraId="1B229A98" w14:textId="0FCEA65D" w:rsidR="00FA4FCF" w:rsidRDefault="00FA4FCF" w:rsidP="00FA4FCF">
      <w:r>
        <w:t>There are different views amongst the case law</w:t>
      </w:r>
      <w:r>
        <w:rPr>
          <w:rStyle w:val="FootnoteReference"/>
        </w:rPr>
        <w:footnoteReference w:id="184"/>
      </w:r>
      <w:r>
        <w:t xml:space="preserve"> as to whether section 121(5) only applies to imprisonment imposed under section 121(2) or whether it applies to all terms of imprisonment.  This raises the question of whether the </w:t>
      </w:r>
      <w:r w:rsidR="00CA047D">
        <w:t xml:space="preserve">court </w:t>
      </w:r>
      <w:r>
        <w:t>can suspend a prison sentence imposed on an adult who has previously been found guilty of a DVO contravention offence.</w:t>
      </w:r>
    </w:p>
    <w:p w14:paraId="19917D42" w14:textId="2C0470FE" w:rsidR="00FA4FCF" w:rsidRDefault="00FA4FCF" w:rsidP="00FA4FCF">
      <w:r>
        <w:t xml:space="preserve">However, in its March 2021 final report on </w:t>
      </w:r>
      <w:r w:rsidRPr="004B08DF">
        <w:rPr>
          <w:i/>
        </w:rPr>
        <w:t>Mandatory Sentencing and Community-Based Sentencing Options</w:t>
      </w:r>
      <w:r>
        <w:t xml:space="preserve"> the Northern Territory Law Reform Committee recommended that the Government repeal the mandatory sentencing provisions in section 121 and section 122 of the DFV</w:t>
      </w:r>
      <w:r w:rsidR="00CA047D">
        <w:t xml:space="preserve"> </w:t>
      </w:r>
      <w:r>
        <w:t>A</w:t>
      </w:r>
      <w:r w:rsidR="00CA047D">
        <w:t>ct</w:t>
      </w:r>
      <w:r>
        <w:t>.</w:t>
      </w:r>
    </w:p>
    <w:p w14:paraId="7D7EFDC0" w14:textId="460534F8" w:rsidR="00FA4FCF" w:rsidRDefault="00FA4FCF" w:rsidP="00FA4FCF">
      <w:r>
        <w:t>Many jurisdictions have a tiered approach to penalties for contravening a D</w:t>
      </w:r>
      <w:r w:rsidR="00984BF1">
        <w:t>VO which allows for the seriousness of the conduct and repeat offending to be taking into account in sentencing.</w:t>
      </w:r>
    </w:p>
    <w:p w14:paraId="0BD9B879" w14:textId="77777777" w:rsidR="00FA4FCF" w:rsidRDefault="00FA4FCF" w:rsidP="00CA047D">
      <w:pPr>
        <w:spacing w:after="120"/>
      </w:pPr>
      <w:r>
        <w:t>For example, Victoria has penalties of:</w:t>
      </w:r>
    </w:p>
    <w:p w14:paraId="3A86A80A" w14:textId="70146697" w:rsidR="00FA4FCF" w:rsidRDefault="00CA047D" w:rsidP="00CA047D">
      <w:pPr>
        <w:pStyle w:val="ListParagraph"/>
        <w:numPr>
          <w:ilvl w:val="0"/>
          <w:numId w:val="13"/>
        </w:numPr>
        <w:ind w:left="993" w:hanging="426"/>
      </w:pPr>
      <w:r>
        <w:t xml:space="preserve">two </w:t>
      </w:r>
      <w:r w:rsidR="00FA4FCF">
        <w:t>years imprisonment of 240 penalty units for contravening a family violence intervention order (section 123)</w:t>
      </w:r>
      <w:r>
        <w:t>;</w:t>
      </w:r>
    </w:p>
    <w:p w14:paraId="5AE9564E" w14:textId="65E4EC51" w:rsidR="00FA4FCF" w:rsidRDefault="00CA047D" w:rsidP="00CA047D">
      <w:pPr>
        <w:pStyle w:val="ListParagraph"/>
        <w:numPr>
          <w:ilvl w:val="0"/>
          <w:numId w:val="13"/>
        </w:numPr>
        <w:ind w:left="993" w:hanging="426"/>
      </w:pPr>
      <w:r>
        <w:t xml:space="preserve">five </w:t>
      </w:r>
      <w:r w:rsidR="00FA4FCF">
        <w:t>years imprisonment or 600 penalty for contravening an order intending to cause harm or fear for safety (section 123A)</w:t>
      </w:r>
      <w:r>
        <w:t>;</w:t>
      </w:r>
    </w:p>
    <w:p w14:paraId="44A0E3E6" w14:textId="0EE15D37" w:rsidR="00FA4FCF" w:rsidRDefault="00CA047D" w:rsidP="00CA047D">
      <w:pPr>
        <w:pStyle w:val="ListParagraph"/>
        <w:numPr>
          <w:ilvl w:val="0"/>
          <w:numId w:val="13"/>
        </w:numPr>
        <w:spacing w:after="200"/>
        <w:ind w:left="992" w:hanging="425"/>
      </w:pPr>
      <w:r>
        <w:t xml:space="preserve">five </w:t>
      </w:r>
      <w:r w:rsidR="00FA4FCF">
        <w:t>years imprisonment or 600 penalty for persistent contravention ie. three breaches in 28 days.</w:t>
      </w:r>
    </w:p>
    <w:p w14:paraId="6B53C82B" w14:textId="77777777" w:rsidR="00FA4FCF" w:rsidRDefault="00FA4FCF" w:rsidP="00CA047D">
      <w:pPr>
        <w:spacing w:after="120"/>
        <w:rPr>
          <w:lang w:eastAsia="en-AU"/>
        </w:rPr>
      </w:pPr>
      <w:r>
        <w:rPr>
          <w:lang w:eastAsia="en-AU"/>
        </w:rPr>
        <w:t>Queensland has two offences increasing in severity for repeat offending:</w:t>
      </w:r>
    </w:p>
    <w:p w14:paraId="0832FCC1" w14:textId="6549669C" w:rsidR="00FA4FCF" w:rsidRDefault="00FA4FCF" w:rsidP="0067521E">
      <w:pPr>
        <w:pStyle w:val="ListParagraph"/>
        <w:numPr>
          <w:ilvl w:val="0"/>
          <w:numId w:val="26"/>
        </w:numPr>
        <w:ind w:left="993" w:hanging="426"/>
        <w:rPr>
          <w:lang w:eastAsia="en-AU"/>
        </w:rPr>
      </w:pPr>
      <w:r>
        <w:rPr>
          <w:lang w:eastAsia="en-AU"/>
        </w:rPr>
        <w:t>120 penalty units of three years imprisonment if no prior convictions</w:t>
      </w:r>
      <w:r w:rsidR="00CA047D">
        <w:rPr>
          <w:lang w:eastAsia="en-AU"/>
        </w:rPr>
        <w:t>; and</w:t>
      </w:r>
    </w:p>
    <w:p w14:paraId="27173794" w14:textId="0667D107" w:rsidR="00FA4FCF" w:rsidRDefault="00FA4FCF" w:rsidP="0067521E">
      <w:pPr>
        <w:pStyle w:val="ListParagraph"/>
        <w:numPr>
          <w:ilvl w:val="0"/>
          <w:numId w:val="26"/>
        </w:numPr>
        <w:spacing w:after="200"/>
        <w:ind w:left="992" w:hanging="425"/>
        <w:rPr>
          <w:lang w:eastAsia="en-AU"/>
        </w:rPr>
      </w:pPr>
      <w:r>
        <w:rPr>
          <w:lang w:eastAsia="en-AU"/>
        </w:rPr>
        <w:t>240 penalty units and five years imprisonment if prior convictions for a domestic violence offence.</w:t>
      </w:r>
    </w:p>
    <w:p w14:paraId="40BBFCD6" w14:textId="77777777" w:rsidR="00FA4FCF" w:rsidRDefault="00FA4FCF" w:rsidP="00FA4FCF">
      <w:pPr>
        <w:rPr>
          <w:lang w:eastAsia="en-AU"/>
        </w:rPr>
      </w:pPr>
      <w:r>
        <w:rPr>
          <w:lang w:eastAsia="en-AU"/>
        </w:rPr>
        <w:t>In South Australia, the penalty increases from two years imprisonment to four years imprisonment if there is a second or subsequent contravention or the contravention involved physical violence or a threat of physical violence.</w:t>
      </w:r>
    </w:p>
    <w:p w14:paraId="44D62DFE" w14:textId="06901B6B" w:rsidR="00FA4FCF" w:rsidRDefault="00FA4FCF" w:rsidP="00383499">
      <w:pPr>
        <w:rPr>
          <w:lang w:eastAsia="en-AU"/>
        </w:rPr>
      </w:pPr>
      <w:r>
        <w:rPr>
          <w:lang w:eastAsia="en-AU"/>
        </w:rPr>
        <w:t xml:space="preserve">Tasmania has a gradation of penalties from a maximum of 12 months for a first offence to 18 months for a </w:t>
      </w:r>
      <w:r w:rsidR="00DC3AB1">
        <w:rPr>
          <w:lang w:eastAsia="en-AU"/>
        </w:rPr>
        <w:t>second offence to two years for</w:t>
      </w:r>
      <w:r>
        <w:rPr>
          <w:lang w:eastAsia="en-AU"/>
        </w:rPr>
        <w:t xml:space="preserve"> a third offence to </w:t>
      </w:r>
      <w:r w:rsidR="00CA047D">
        <w:rPr>
          <w:lang w:eastAsia="en-AU"/>
        </w:rPr>
        <w:t>five</w:t>
      </w:r>
      <w:r>
        <w:rPr>
          <w:lang w:eastAsia="en-AU"/>
        </w:rPr>
        <w:t xml:space="preserve"> years for a</w:t>
      </w:r>
      <w:r w:rsidR="00383499">
        <w:rPr>
          <w:lang w:eastAsia="en-AU"/>
        </w:rPr>
        <w:t xml:space="preserve"> fourth and subsequent offence.</w:t>
      </w:r>
    </w:p>
    <w:p w14:paraId="7B99E0D1" w14:textId="74BC4F0C" w:rsidR="00B375C3" w:rsidRPr="00B375C3" w:rsidRDefault="00B375C3" w:rsidP="00B375C3">
      <w:pPr>
        <w:pStyle w:val="Subsection"/>
        <w:ind w:left="0" w:firstLine="0"/>
        <w:rPr>
          <w:rFonts w:asciiTheme="minorHAnsi" w:hAnsiTheme="minorHAnsi" w:cstheme="minorHAnsi"/>
          <w:sz w:val="22"/>
          <w:szCs w:val="22"/>
        </w:rPr>
      </w:pPr>
      <w:r>
        <w:rPr>
          <w:rFonts w:asciiTheme="minorHAnsi" w:hAnsiTheme="minorHAnsi" w:cstheme="minorHAnsi"/>
          <w:sz w:val="22"/>
          <w:szCs w:val="22"/>
        </w:rPr>
        <w:t xml:space="preserve">It is proposed that a tiered approach to sentencing for a contravention of a DVO be adopted in the NT. </w:t>
      </w:r>
      <w:r w:rsidR="00CA047D">
        <w:rPr>
          <w:rFonts w:asciiTheme="minorHAnsi" w:hAnsiTheme="minorHAnsi" w:cstheme="minorHAnsi"/>
          <w:sz w:val="22"/>
          <w:szCs w:val="22"/>
        </w:rPr>
        <w:t xml:space="preserve"> </w:t>
      </w:r>
      <w:r>
        <w:rPr>
          <w:rFonts w:asciiTheme="minorHAnsi" w:hAnsiTheme="minorHAnsi" w:cstheme="minorHAnsi"/>
          <w:sz w:val="22"/>
          <w:szCs w:val="22"/>
        </w:rPr>
        <w:t xml:space="preserve">The mandatory sentence provision </w:t>
      </w:r>
      <w:r w:rsidR="0067521E">
        <w:rPr>
          <w:rFonts w:asciiTheme="minorHAnsi" w:hAnsiTheme="minorHAnsi" w:cstheme="minorHAnsi"/>
          <w:sz w:val="22"/>
          <w:szCs w:val="22"/>
        </w:rPr>
        <w:t>would</w:t>
      </w:r>
      <w:r>
        <w:rPr>
          <w:rFonts w:asciiTheme="minorHAnsi" w:hAnsiTheme="minorHAnsi" w:cstheme="minorHAnsi"/>
          <w:sz w:val="22"/>
          <w:szCs w:val="22"/>
        </w:rPr>
        <w:t xml:space="preserve"> therefore no longer </w:t>
      </w:r>
      <w:r w:rsidR="0067521E">
        <w:rPr>
          <w:rFonts w:asciiTheme="minorHAnsi" w:hAnsiTheme="minorHAnsi" w:cstheme="minorHAnsi"/>
          <w:sz w:val="22"/>
          <w:szCs w:val="22"/>
        </w:rPr>
        <w:t xml:space="preserve">be </w:t>
      </w:r>
      <w:r>
        <w:rPr>
          <w:rFonts w:asciiTheme="minorHAnsi" w:hAnsiTheme="minorHAnsi" w:cstheme="minorHAnsi"/>
          <w:sz w:val="22"/>
          <w:szCs w:val="22"/>
        </w:rPr>
        <w:t>required.</w:t>
      </w:r>
    </w:p>
    <w:p w14:paraId="18CB4F15" w14:textId="77777777" w:rsidR="00CA047D" w:rsidRDefault="00CA047D">
      <w:pPr>
        <w:rPr>
          <w:rFonts w:asciiTheme="majorHAnsi" w:eastAsiaTheme="majorEastAsia" w:hAnsiTheme="majorHAnsi" w:cstheme="majorBidi"/>
          <w:bCs/>
          <w:iCs/>
          <w:color w:val="454347"/>
          <w:sz w:val="24"/>
          <w:lang w:eastAsia="en-AU"/>
        </w:rPr>
      </w:pPr>
      <w:r>
        <w:rPr>
          <w:lang w:eastAsia="en-AU"/>
        </w:rPr>
        <w:br w:type="page"/>
      </w:r>
    </w:p>
    <w:p w14:paraId="25323634" w14:textId="5B9907C1" w:rsidR="00383499" w:rsidRPr="009C3DA0" w:rsidRDefault="00383499" w:rsidP="00CA047D">
      <w:pPr>
        <w:pStyle w:val="Heading4"/>
        <w:keepNext/>
        <w:numPr>
          <w:ilvl w:val="0"/>
          <w:numId w:val="0"/>
        </w:numPr>
        <w:spacing w:after="0" w:line="259" w:lineRule="auto"/>
        <w:ind w:left="862" w:hanging="862"/>
        <w:rPr>
          <w:lang w:eastAsia="en-AU"/>
        </w:rPr>
      </w:pPr>
      <w:r>
        <w:rPr>
          <w:lang w:eastAsia="en-AU"/>
        </w:rPr>
        <w:lastRenderedPageBreak/>
        <w:t xml:space="preserve">PROPOSAL </w:t>
      </w:r>
      <w:r w:rsidR="001804B8">
        <w:rPr>
          <w:lang w:eastAsia="en-AU"/>
        </w:rPr>
        <w:t xml:space="preserve">LR </w:t>
      </w:r>
      <w:r>
        <w:rPr>
          <w:lang w:eastAsia="en-AU"/>
        </w:rPr>
        <w:t>38</w:t>
      </w:r>
    </w:p>
    <w:p w14:paraId="67AF4103" w14:textId="2CD4A6E2" w:rsidR="00FA4FCF" w:rsidRPr="003A0E82" w:rsidRDefault="00FA4FCF" w:rsidP="00CA047D">
      <w:pPr>
        <w:spacing w:after="0" w:line="259" w:lineRule="auto"/>
        <w:rPr>
          <w:rFonts w:asciiTheme="minorHAnsi" w:hAnsiTheme="minorHAnsi"/>
          <w:b/>
          <w:lang w:eastAsia="en-AU"/>
        </w:rPr>
      </w:pPr>
      <w:r w:rsidRPr="00F65A29">
        <w:rPr>
          <w:b/>
          <w:lang w:eastAsia="en-AU"/>
        </w:rPr>
        <w:t>It is proposed that</w:t>
      </w:r>
      <w:r w:rsidR="00122D54">
        <w:rPr>
          <w:b/>
          <w:lang w:eastAsia="en-AU"/>
        </w:rPr>
        <w:t xml:space="preserve"> section</w:t>
      </w:r>
      <w:r w:rsidR="00CA047D">
        <w:rPr>
          <w:b/>
          <w:lang w:eastAsia="en-AU"/>
        </w:rPr>
        <w:t>s</w:t>
      </w:r>
      <w:r w:rsidR="00122D54">
        <w:rPr>
          <w:b/>
          <w:lang w:eastAsia="en-AU"/>
        </w:rPr>
        <w:t xml:space="preserve"> 121 and 122 be repealed</w:t>
      </w:r>
      <w:r w:rsidRPr="00F65A29">
        <w:rPr>
          <w:b/>
          <w:lang w:eastAsia="en-AU"/>
        </w:rPr>
        <w:t xml:space="preserve"> </w:t>
      </w:r>
      <w:r w:rsidR="00122D54">
        <w:rPr>
          <w:b/>
          <w:lang w:eastAsia="en-AU"/>
        </w:rPr>
        <w:t xml:space="preserve">and replaced with a tiered approach to </w:t>
      </w:r>
      <w:r w:rsidR="00122D54" w:rsidRPr="003A0E82">
        <w:rPr>
          <w:rFonts w:asciiTheme="minorHAnsi" w:hAnsiTheme="minorHAnsi"/>
          <w:b/>
          <w:lang w:eastAsia="en-AU"/>
        </w:rPr>
        <w:t xml:space="preserve">sentencing </w:t>
      </w:r>
      <w:r w:rsidR="0093054C" w:rsidRPr="003A0E82">
        <w:rPr>
          <w:rFonts w:asciiTheme="minorHAnsi" w:hAnsiTheme="minorHAnsi"/>
          <w:b/>
          <w:lang w:eastAsia="en-AU"/>
        </w:rPr>
        <w:t xml:space="preserve">for the contravention of a DVO </w:t>
      </w:r>
      <w:r w:rsidRPr="003A0E82">
        <w:rPr>
          <w:rFonts w:asciiTheme="minorHAnsi" w:hAnsiTheme="minorHAnsi"/>
          <w:b/>
          <w:lang w:eastAsia="en-AU"/>
        </w:rPr>
        <w:t xml:space="preserve">along the </w:t>
      </w:r>
      <w:r w:rsidR="00364E04" w:rsidRPr="003A0E82">
        <w:rPr>
          <w:rFonts w:asciiTheme="minorHAnsi" w:hAnsiTheme="minorHAnsi"/>
          <w:b/>
          <w:lang w:eastAsia="en-AU"/>
        </w:rPr>
        <w:t xml:space="preserve">following </w:t>
      </w:r>
      <w:r w:rsidRPr="003A0E82">
        <w:rPr>
          <w:rFonts w:asciiTheme="minorHAnsi" w:hAnsiTheme="minorHAnsi"/>
          <w:b/>
          <w:lang w:eastAsia="en-AU"/>
        </w:rPr>
        <w:t xml:space="preserve">lines:  </w:t>
      </w:r>
    </w:p>
    <w:p w14:paraId="63945455" w14:textId="26DB6B52" w:rsidR="00364E04" w:rsidRPr="003A0E82" w:rsidRDefault="00364E04" w:rsidP="003A0E82">
      <w:pPr>
        <w:pStyle w:val="Subsection"/>
        <w:numPr>
          <w:ilvl w:val="0"/>
          <w:numId w:val="201"/>
        </w:numPr>
        <w:tabs>
          <w:tab w:val="clear" w:pos="902"/>
        </w:tabs>
        <w:spacing w:line="259" w:lineRule="auto"/>
        <w:rPr>
          <w:rFonts w:asciiTheme="minorHAnsi" w:hAnsiTheme="minorHAnsi" w:cstheme="minorHAnsi"/>
          <w:b/>
          <w:sz w:val="22"/>
          <w:szCs w:val="22"/>
        </w:rPr>
      </w:pPr>
      <w:r w:rsidRPr="003A0E82">
        <w:rPr>
          <w:rFonts w:asciiTheme="minorHAnsi" w:hAnsiTheme="minorHAnsi"/>
          <w:b/>
          <w:sz w:val="22"/>
          <w:szCs w:val="22"/>
        </w:rPr>
        <w:t xml:space="preserve">If a person is found guilty of an offence against section 120(1), the person is liable to a penalty imprisonment for two years (along the lines of existing section 121(1)). </w:t>
      </w:r>
    </w:p>
    <w:p w14:paraId="4AB0DDB0" w14:textId="55F4D882" w:rsidR="00364E04" w:rsidRPr="003A0E82" w:rsidRDefault="00364E04" w:rsidP="003A0E82">
      <w:pPr>
        <w:pStyle w:val="Subsection"/>
        <w:numPr>
          <w:ilvl w:val="0"/>
          <w:numId w:val="201"/>
        </w:numPr>
        <w:tabs>
          <w:tab w:val="clear" w:pos="902"/>
        </w:tabs>
        <w:spacing w:line="259" w:lineRule="auto"/>
        <w:rPr>
          <w:rFonts w:asciiTheme="minorHAnsi" w:hAnsiTheme="minorHAnsi" w:cstheme="minorHAnsi"/>
          <w:b/>
          <w:sz w:val="22"/>
          <w:szCs w:val="22"/>
        </w:rPr>
      </w:pPr>
      <w:r w:rsidRPr="003A0E82">
        <w:rPr>
          <w:rFonts w:asciiTheme="minorHAnsi" w:hAnsiTheme="minorHAnsi"/>
          <w:b/>
          <w:sz w:val="22"/>
          <w:szCs w:val="22"/>
        </w:rPr>
        <w:t xml:space="preserve">For persistent contravention, on three occasions within </w:t>
      </w:r>
      <w:r w:rsidRPr="003A0E82">
        <w:rPr>
          <w:rFonts w:asciiTheme="minorHAnsi" w:hAnsiTheme="minorHAnsi"/>
          <w:b/>
          <w:bCs/>
          <w:sz w:val="22"/>
          <w:szCs w:val="22"/>
        </w:rPr>
        <w:t>28 days</w:t>
      </w:r>
      <w:r w:rsidRPr="003A0E82">
        <w:rPr>
          <w:rFonts w:asciiTheme="minorHAnsi" w:hAnsiTheme="minorHAnsi"/>
          <w:b/>
          <w:sz w:val="22"/>
          <w:szCs w:val="22"/>
        </w:rPr>
        <w:t>, the person is liable to a penalty of three years in prison.</w:t>
      </w:r>
    </w:p>
    <w:p w14:paraId="2D22E4AB" w14:textId="7983A0B8" w:rsidR="00364E04" w:rsidRPr="003A0E82" w:rsidRDefault="00364E04" w:rsidP="003A0E82">
      <w:pPr>
        <w:pStyle w:val="Subsection"/>
        <w:numPr>
          <w:ilvl w:val="0"/>
          <w:numId w:val="201"/>
        </w:numPr>
        <w:tabs>
          <w:tab w:val="clear" w:pos="902"/>
        </w:tabs>
        <w:spacing w:line="259" w:lineRule="auto"/>
        <w:rPr>
          <w:rFonts w:asciiTheme="minorHAnsi" w:hAnsiTheme="minorHAnsi" w:cstheme="minorHAnsi"/>
          <w:b/>
          <w:sz w:val="22"/>
          <w:szCs w:val="22"/>
        </w:rPr>
      </w:pPr>
      <w:r w:rsidRPr="003A0E82">
        <w:rPr>
          <w:rFonts w:asciiTheme="minorHAnsi" w:hAnsiTheme="minorHAnsi"/>
          <w:b/>
          <w:sz w:val="22"/>
          <w:szCs w:val="22"/>
        </w:rPr>
        <w:t>For a contravention where a person has a prior finding of guilt for a DFV-related offence, the person is liable to a penalty of three years in prison.</w:t>
      </w:r>
    </w:p>
    <w:p w14:paraId="49B9B3F2" w14:textId="753E409E" w:rsidR="00364E04" w:rsidRPr="003A0E82" w:rsidRDefault="00364E04" w:rsidP="003A0E82">
      <w:pPr>
        <w:pStyle w:val="Subsection"/>
        <w:numPr>
          <w:ilvl w:val="0"/>
          <w:numId w:val="201"/>
        </w:numPr>
        <w:tabs>
          <w:tab w:val="clear" w:pos="902"/>
        </w:tabs>
        <w:spacing w:line="259" w:lineRule="auto"/>
        <w:rPr>
          <w:rFonts w:asciiTheme="minorHAnsi" w:hAnsiTheme="minorHAnsi" w:cstheme="minorHAnsi"/>
          <w:b/>
          <w:sz w:val="22"/>
          <w:szCs w:val="22"/>
        </w:rPr>
      </w:pPr>
      <w:r w:rsidRPr="003A0E82">
        <w:rPr>
          <w:rFonts w:asciiTheme="minorHAnsi" w:hAnsiTheme="minorHAnsi"/>
          <w:b/>
          <w:sz w:val="22"/>
          <w:szCs w:val="22"/>
        </w:rPr>
        <w:t xml:space="preserve">If the contravention is accompanied by harm to the protected person or threats of harm, the person is liable to a penalty of </w:t>
      </w:r>
      <w:r w:rsidRPr="003A0E82">
        <w:rPr>
          <w:rFonts w:asciiTheme="minorHAnsi" w:hAnsiTheme="minorHAnsi"/>
          <w:b/>
          <w:bCs/>
          <w:sz w:val="22"/>
          <w:szCs w:val="22"/>
        </w:rPr>
        <w:t>five years in prison</w:t>
      </w:r>
      <w:r w:rsidRPr="003A0E82">
        <w:rPr>
          <w:rFonts w:asciiTheme="minorHAnsi" w:hAnsiTheme="minorHAnsi"/>
          <w:b/>
          <w:sz w:val="22"/>
          <w:szCs w:val="22"/>
        </w:rPr>
        <w:t>. </w:t>
      </w:r>
    </w:p>
    <w:p w14:paraId="30067B3C" w14:textId="77777777" w:rsidR="00545D47" w:rsidRDefault="00545D47" w:rsidP="00CA047D">
      <w:pPr>
        <w:pStyle w:val="Heading3"/>
        <w:keepNext/>
        <w:rPr>
          <w:lang w:eastAsia="en-AU"/>
        </w:rPr>
      </w:pPr>
      <w:bookmarkStart w:id="68" w:name="_Toc112051855"/>
      <w:r>
        <w:rPr>
          <w:lang w:eastAsia="en-AU"/>
        </w:rPr>
        <w:t>Chapter 5A Information Sharing Scheme</w:t>
      </w:r>
      <w:bookmarkEnd w:id="68"/>
    </w:p>
    <w:p w14:paraId="03B28AB0" w14:textId="05DF20FA" w:rsidR="00545D47" w:rsidRDefault="00545D47" w:rsidP="00545D47">
      <w:pPr>
        <w:rPr>
          <w:lang w:eastAsia="en-AU"/>
        </w:rPr>
      </w:pPr>
      <w:r>
        <w:rPr>
          <w:lang w:eastAsia="en-AU"/>
        </w:rPr>
        <w:t>In October 2018</w:t>
      </w:r>
      <w:r w:rsidR="00CA047D">
        <w:rPr>
          <w:lang w:eastAsia="en-AU"/>
        </w:rPr>
        <w:t>,</w:t>
      </w:r>
      <w:r>
        <w:rPr>
          <w:lang w:eastAsia="en-AU"/>
        </w:rPr>
        <w:t xml:space="preserve"> amendments were made to the DFV</w:t>
      </w:r>
      <w:r w:rsidR="00CA047D">
        <w:rPr>
          <w:lang w:eastAsia="en-AU"/>
        </w:rPr>
        <w:t xml:space="preserve"> </w:t>
      </w:r>
      <w:r>
        <w:rPr>
          <w:lang w:eastAsia="en-AU"/>
        </w:rPr>
        <w:t>A</w:t>
      </w:r>
      <w:r w:rsidR="00CA047D">
        <w:rPr>
          <w:lang w:eastAsia="en-AU"/>
        </w:rPr>
        <w:t>ct</w:t>
      </w:r>
      <w:r>
        <w:rPr>
          <w:lang w:eastAsia="en-AU"/>
        </w:rPr>
        <w:t xml:space="preserve"> to introduce a new DFV Information Sharing Scheme.  The provisions are set out in Chapter 5A and commenced on 30 August 2019.</w:t>
      </w:r>
    </w:p>
    <w:p w14:paraId="331FBAD3" w14:textId="172E27AE" w:rsidR="009A5599" w:rsidRDefault="009A5599" w:rsidP="00545D47">
      <w:pPr>
        <w:rPr>
          <w:lang w:eastAsia="en-AU"/>
        </w:rPr>
      </w:pPr>
      <w:r>
        <w:rPr>
          <w:lang w:eastAsia="en-AU"/>
        </w:rPr>
        <w:t>The Information Sharing Scheme and Chapter 5A sit</w:t>
      </w:r>
      <w:r w:rsidR="007F7901">
        <w:rPr>
          <w:lang w:eastAsia="en-AU"/>
        </w:rPr>
        <w:t xml:space="preserve"> within the responsibility of TFHC</w:t>
      </w:r>
      <w:r>
        <w:rPr>
          <w:lang w:eastAsia="en-AU"/>
        </w:rPr>
        <w:t>.</w:t>
      </w:r>
    </w:p>
    <w:p w14:paraId="737F25E6" w14:textId="77777777" w:rsidR="00545D47" w:rsidRDefault="00545D47" w:rsidP="00CA047D">
      <w:pPr>
        <w:spacing w:after="120"/>
        <w:rPr>
          <w:lang w:eastAsia="en-AU"/>
        </w:rPr>
      </w:pPr>
      <w:r>
        <w:rPr>
          <w:lang w:eastAsia="en-AU"/>
        </w:rPr>
        <w:t>Section 124E provides that an information sharing entity may give information to another information sharing entity if the entity that holds the information believes on reasonable grounds that:</w:t>
      </w:r>
    </w:p>
    <w:p w14:paraId="6FDDEFF3" w14:textId="4315FD9B" w:rsidR="00545D47" w:rsidRDefault="00CA047D" w:rsidP="0067521E">
      <w:pPr>
        <w:pStyle w:val="ListParagraph"/>
        <w:numPr>
          <w:ilvl w:val="0"/>
          <w:numId w:val="92"/>
        </w:numPr>
        <w:ind w:left="567" w:hanging="567"/>
        <w:rPr>
          <w:lang w:eastAsia="en-AU"/>
        </w:rPr>
      </w:pPr>
      <w:r>
        <w:rPr>
          <w:lang w:eastAsia="en-AU"/>
        </w:rPr>
        <w:t xml:space="preserve">a </w:t>
      </w:r>
      <w:r w:rsidR="00545D47">
        <w:rPr>
          <w:lang w:eastAsia="en-AU"/>
        </w:rPr>
        <w:t>person fears or is experiencing domestic violence; and</w:t>
      </w:r>
    </w:p>
    <w:p w14:paraId="304B1FCF" w14:textId="45B5D636" w:rsidR="00545D47" w:rsidRDefault="00CA047D" w:rsidP="0067521E">
      <w:pPr>
        <w:pStyle w:val="ListParagraph"/>
        <w:numPr>
          <w:ilvl w:val="0"/>
          <w:numId w:val="92"/>
        </w:numPr>
        <w:ind w:left="567" w:hanging="567"/>
        <w:rPr>
          <w:lang w:eastAsia="en-AU"/>
        </w:rPr>
      </w:pPr>
      <w:r>
        <w:rPr>
          <w:lang w:eastAsia="en-AU"/>
        </w:rPr>
        <w:t xml:space="preserve">the </w:t>
      </w:r>
      <w:r w:rsidR="00545D47">
        <w:rPr>
          <w:lang w:eastAsia="en-AU"/>
        </w:rPr>
        <w:t>information may help the entity receiving the information to:</w:t>
      </w:r>
    </w:p>
    <w:p w14:paraId="4D101CA5" w14:textId="35BB4C1A" w:rsidR="00545D47" w:rsidRDefault="00CA047D" w:rsidP="0067521E">
      <w:pPr>
        <w:pStyle w:val="ListParagraph"/>
        <w:numPr>
          <w:ilvl w:val="1"/>
          <w:numId w:val="92"/>
        </w:numPr>
        <w:ind w:left="1134" w:hanging="425"/>
        <w:rPr>
          <w:lang w:eastAsia="en-AU"/>
        </w:rPr>
      </w:pPr>
      <w:r>
        <w:rPr>
          <w:lang w:eastAsia="en-AU"/>
        </w:rPr>
        <w:t xml:space="preserve">assess </w:t>
      </w:r>
      <w:r w:rsidR="00545D47">
        <w:rPr>
          <w:lang w:eastAsia="en-AU"/>
        </w:rPr>
        <w:t>whether there is a serious threat to a person’s life, health, safety or welfare because of domestic violence; or</w:t>
      </w:r>
    </w:p>
    <w:p w14:paraId="7E27B49D" w14:textId="4A5A381F" w:rsidR="00545D47" w:rsidRDefault="00CA047D" w:rsidP="0067521E">
      <w:pPr>
        <w:pStyle w:val="ListParagraph"/>
        <w:numPr>
          <w:ilvl w:val="1"/>
          <w:numId w:val="92"/>
        </w:numPr>
        <w:spacing w:after="200"/>
        <w:ind w:left="1134" w:hanging="425"/>
        <w:rPr>
          <w:lang w:eastAsia="en-AU"/>
        </w:rPr>
      </w:pPr>
      <w:r>
        <w:rPr>
          <w:lang w:eastAsia="en-AU"/>
        </w:rPr>
        <w:t xml:space="preserve">lessen </w:t>
      </w:r>
      <w:r w:rsidR="00545D47">
        <w:rPr>
          <w:lang w:eastAsia="en-AU"/>
        </w:rPr>
        <w:t>or prevent a serious threat to a person’s life, health, safety or welfare because of domestic violence, including by providing or arranging a domestic violence related service to or for a person.</w:t>
      </w:r>
    </w:p>
    <w:p w14:paraId="15A9A405" w14:textId="704C73E1" w:rsidR="00C7114D" w:rsidRDefault="00545D47" w:rsidP="00545D47">
      <w:pPr>
        <w:rPr>
          <w:lang w:eastAsia="en-AU"/>
        </w:rPr>
      </w:pPr>
      <w:r>
        <w:rPr>
          <w:lang w:eastAsia="en-AU"/>
        </w:rPr>
        <w:t>Informatio</w:t>
      </w:r>
      <w:r w:rsidR="009A5599">
        <w:rPr>
          <w:lang w:eastAsia="en-AU"/>
        </w:rPr>
        <w:t>n sharing entities are as provided for</w:t>
      </w:r>
      <w:r>
        <w:rPr>
          <w:lang w:eastAsia="en-AU"/>
        </w:rPr>
        <w:t xml:space="preserve"> in the definition of </w:t>
      </w:r>
      <w:r w:rsidR="007F7901">
        <w:rPr>
          <w:lang w:eastAsia="en-AU"/>
        </w:rPr>
        <w:t>an infor</w:t>
      </w:r>
      <w:r w:rsidR="00C7114D">
        <w:rPr>
          <w:lang w:eastAsia="en-AU"/>
        </w:rPr>
        <w:t>mation sharing entity (ISE) in</w:t>
      </w:r>
      <w:r w:rsidR="007F7901">
        <w:rPr>
          <w:lang w:eastAsia="en-AU"/>
        </w:rPr>
        <w:t xml:space="preserve"> section </w:t>
      </w:r>
      <w:r w:rsidR="00C7114D">
        <w:rPr>
          <w:lang w:eastAsia="en-AU"/>
        </w:rPr>
        <w:t>124B</w:t>
      </w:r>
      <w:r w:rsidR="007F7901">
        <w:rPr>
          <w:lang w:eastAsia="en-AU"/>
        </w:rPr>
        <w:t>.  The definition</w:t>
      </w:r>
      <w:r w:rsidR="009228FF">
        <w:rPr>
          <w:lang w:eastAsia="en-AU"/>
        </w:rPr>
        <w:t xml:space="preserve"> includes the CEO of Government agencies who provide specified services and the princip</w:t>
      </w:r>
      <w:r w:rsidR="0090173D">
        <w:rPr>
          <w:lang w:eastAsia="en-AU"/>
        </w:rPr>
        <w:t>a</w:t>
      </w:r>
      <w:r w:rsidR="009228FF">
        <w:rPr>
          <w:lang w:eastAsia="en-AU"/>
        </w:rPr>
        <w:t>l of non-government schools.</w:t>
      </w:r>
      <w:r w:rsidR="009A5599">
        <w:rPr>
          <w:lang w:eastAsia="en-AU"/>
        </w:rPr>
        <w:t xml:space="preserve">  Other persons</w:t>
      </w:r>
      <w:r w:rsidR="0090173D">
        <w:rPr>
          <w:lang w:eastAsia="en-AU"/>
        </w:rPr>
        <w:t xml:space="preserve"> or entities that provide a DFV</w:t>
      </w:r>
      <w:r w:rsidR="0090173D">
        <w:rPr>
          <w:lang w:eastAsia="en-AU"/>
        </w:rPr>
        <w:noBreakHyphen/>
      </w:r>
      <w:r w:rsidR="007F7901">
        <w:rPr>
          <w:lang w:eastAsia="en-AU"/>
        </w:rPr>
        <w:t xml:space="preserve">related </w:t>
      </w:r>
      <w:r w:rsidR="009A5599">
        <w:rPr>
          <w:lang w:eastAsia="en-AU"/>
        </w:rPr>
        <w:t xml:space="preserve">service </w:t>
      </w:r>
      <w:r w:rsidR="00C7114D">
        <w:rPr>
          <w:lang w:eastAsia="en-AU"/>
        </w:rPr>
        <w:t xml:space="preserve">(for example, non-government organisations) </w:t>
      </w:r>
      <w:r w:rsidR="009A5599">
        <w:rPr>
          <w:lang w:eastAsia="en-AU"/>
        </w:rPr>
        <w:t>may be</w:t>
      </w:r>
      <w:r>
        <w:rPr>
          <w:lang w:eastAsia="en-AU"/>
        </w:rPr>
        <w:t xml:space="preserve"> prescribed by regulation</w:t>
      </w:r>
      <w:r w:rsidR="00A87635">
        <w:rPr>
          <w:lang w:eastAsia="en-AU"/>
        </w:rPr>
        <w:t xml:space="preserve">. </w:t>
      </w:r>
      <w:r w:rsidR="0090173D">
        <w:rPr>
          <w:lang w:eastAsia="en-AU"/>
        </w:rPr>
        <w:t xml:space="preserve"> </w:t>
      </w:r>
      <w:r w:rsidR="009A5599">
        <w:rPr>
          <w:lang w:eastAsia="en-AU"/>
        </w:rPr>
        <w:t xml:space="preserve">Before prescribing a person or body </w:t>
      </w:r>
      <w:r w:rsidR="00C7114D">
        <w:rPr>
          <w:lang w:eastAsia="en-AU"/>
        </w:rPr>
        <w:t>as an ISE</w:t>
      </w:r>
      <w:r w:rsidR="009A5599">
        <w:rPr>
          <w:lang w:eastAsia="en-AU"/>
        </w:rPr>
        <w:t>, the Minister must consult the person or body, and be satisfied that the person or body would comply with the information sharing guidelines (s</w:t>
      </w:r>
      <w:r w:rsidR="0090173D">
        <w:rPr>
          <w:lang w:eastAsia="en-AU"/>
        </w:rPr>
        <w:t>ection </w:t>
      </w:r>
      <w:r w:rsidR="009A5599">
        <w:rPr>
          <w:lang w:eastAsia="en-AU"/>
        </w:rPr>
        <w:t xml:space="preserve">127(3)(b)).  A number of </w:t>
      </w:r>
      <w:r w:rsidR="007F7901">
        <w:rPr>
          <w:lang w:eastAsia="en-AU"/>
        </w:rPr>
        <w:t>n</w:t>
      </w:r>
      <w:r w:rsidR="009A5599">
        <w:rPr>
          <w:lang w:eastAsia="en-AU"/>
        </w:rPr>
        <w:t xml:space="preserve">on-government organisations have been prescribed </w:t>
      </w:r>
      <w:r w:rsidR="00C7114D">
        <w:rPr>
          <w:lang w:eastAsia="en-AU"/>
        </w:rPr>
        <w:t xml:space="preserve">as ISEs </w:t>
      </w:r>
      <w:r w:rsidR="009A5599">
        <w:rPr>
          <w:lang w:eastAsia="en-AU"/>
        </w:rPr>
        <w:t>to date, and this occ</w:t>
      </w:r>
      <w:r w:rsidR="007F7901">
        <w:rPr>
          <w:lang w:eastAsia="en-AU"/>
        </w:rPr>
        <w:t xml:space="preserve">urs through application to </w:t>
      </w:r>
      <w:r w:rsidR="009A5599">
        <w:rPr>
          <w:lang w:eastAsia="en-AU"/>
        </w:rPr>
        <w:t>THFC.</w:t>
      </w:r>
      <w:r w:rsidR="007F7901">
        <w:rPr>
          <w:lang w:eastAsia="en-AU"/>
        </w:rPr>
        <w:t xml:space="preserve">  </w:t>
      </w:r>
    </w:p>
    <w:p w14:paraId="677ECC05" w14:textId="36DCE441" w:rsidR="009A5599" w:rsidRDefault="007F7901" w:rsidP="00545D47">
      <w:pPr>
        <w:rPr>
          <w:lang w:eastAsia="en-AU"/>
        </w:rPr>
      </w:pPr>
      <w:r>
        <w:rPr>
          <w:lang w:eastAsia="en-AU"/>
        </w:rPr>
        <w:t>It ha</w:t>
      </w:r>
      <w:r w:rsidR="00C7114D">
        <w:rPr>
          <w:lang w:eastAsia="en-AU"/>
        </w:rPr>
        <w:t>s</w:t>
      </w:r>
      <w:r w:rsidR="008319C1">
        <w:rPr>
          <w:lang w:eastAsia="en-AU"/>
        </w:rPr>
        <w:t xml:space="preserve"> been noted that the requirement that</w:t>
      </w:r>
      <w:r>
        <w:rPr>
          <w:lang w:eastAsia="en-AU"/>
        </w:rPr>
        <w:t xml:space="preserve"> ISEs </w:t>
      </w:r>
      <w:r w:rsidR="008319C1">
        <w:rPr>
          <w:lang w:eastAsia="en-AU"/>
        </w:rPr>
        <w:t xml:space="preserve">be prescribed </w:t>
      </w:r>
      <w:r>
        <w:rPr>
          <w:lang w:eastAsia="en-AU"/>
        </w:rPr>
        <w:t>in regulati</w:t>
      </w:r>
      <w:r w:rsidR="008319C1">
        <w:rPr>
          <w:lang w:eastAsia="en-AU"/>
        </w:rPr>
        <w:t>on means there is</w:t>
      </w:r>
      <w:r w:rsidR="00C7114D">
        <w:rPr>
          <w:lang w:eastAsia="en-AU"/>
        </w:rPr>
        <w:t xml:space="preserve"> some months delay between</w:t>
      </w:r>
      <w:r>
        <w:rPr>
          <w:lang w:eastAsia="en-AU"/>
        </w:rPr>
        <w:t xml:space="preserve"> </w:t>
      </w:r>
      <w:r w:rsidR="008319C1">
        <w:rPr>
          <w:lang w:eastAsia="en-AU"/>
        </w:rPr>
        <w:t xml:space="preserve">when the application is submitted and </w:t>
      </w:r>
      <w:r w:rsidR="009228FF">
        <w:rPr>
          <w:lang w:eastAsia="en-AU"/>
        </w:rPr>
        <w:t xml:space="preserve">when the organisation is </w:t>
      </w:r>
      <w:r w:rsidR="008319C1">
        <w:rPr>
          <w:lang w:eastAsia="en-AU"/>
        </w:rPr>
        <w:t>prescribed</w:t>
      </w:r>
      <w:r w:rsidR="009228FF">
        <w:rPr>
          <w:lang w:eastAsia="en-AU"/>
        </w:rPr>
        <w:t xml:space="preserve"> as an ISE</w:t>
      </w:r>
      <w:r w:rsidR="008319C1">
        <w:rPr>
          <w:lang w:eastAsia="en-AU"/>
        </w:rPr>
        <w:t xml:space="preserve">. </w:t>
      </w:r>
      <w:r w:rsidR="0090173D">
        <w:rPr>
          <w:lang w:eastAsia="en-AU"/>
        </w:rPr>
        <w:t xml:space="preserve"> </w:t>
      </w:r>
      <w:r w:rsidR="008319C1">
        <w:rPr>
          <w:lang w:eastAsia="en-AU"/>
        </w:rPr>
        <w:t xml:space="preserve">It is proposed that publishing ISEs in the Gazette rather than prescribing them </w:t>
      </w:r>
      <w:r w:rsidR="009228FF">
        <w:rPr>
          <w:lang w:eastAsia="en-AU"/>
        </w:rPr>
        <w:t>in regulation might be preferable.</w:t>
      </w:r>
    </w:p>
    <w:p w14:paraId="0ADD2746" w14:textId="70E38E44" w:rsidR="00545D47" w:rsidRPr="0069440C" w:rsidRDefault="00E20851" w:rsidP="00545D47">
      <w:pPr>
        <w:rPr>
          <w:i/>
          <w:lang w:eastAsia="en-AU"/>
        </w:rPr>
      </w:pPr>
      <w:r>
        <w:rPr>
          <w:lang w:eastAsia="en-AU"/>
        </w:rPr>
        <w:t xml:space="preserve">Stakeholders </w:t>
      </w:r>
      <w:r w:rsidR="008319C1">
        <w:rPr>
          <w:lang w:eastAsia="en-AU"/>
        </w:rPr>
        <w:t xml:space="preserve">also </w:t>
      </w:r>
      <w:r>
        <w:rPr>
          <w:lang w:eastAsia="en-AU"/>
        </w:rPr>
        <w:t xml:space="preserve">have raised </w:t>
      </w:r>
      <w:r w:rsidR="00F03E7C">
        <w:rPr>
          <w:lang w:eastAsia="en-AU"/>
        </w:rPr>
        <w:t>some limitations</w:t>
      </w:r>
      <w:r w:rsidR="00545D47">
        <w:rPr>
          <w:lang w:eastAsia="en-AU"/>
        </w:rPr>
        <w:t xml:space="preserve"> in relation to the operation of Chapter 5A, particularly about how it interacts with the obligations in the </w:t>
      </w:r>
      <w:r w:rsidR="00545D47" w:rsidRPr="0079299E">
        <w:rPr>
          <w:i/>
          <w:lang w:eastAsia="en-AU"/>
        </w:rPr>
        <w:t>Information Act 2002.</w:t>
      </w:r>
      <w:r w:rsidR="00545D47">
        <w:rPr>
          <w:i/>
          <w:lang w:eastAsia="en-AU"/>
        </w:rPr>
        <w:t xml:space="preserve"> </w:t>
      </w:r>
      <w:r w:rsidR="0090173D">
        <w:rPr>
          <w:i/>
          <w:lang w:eastAsia="en-AU"/>
        </w:rPr>
        <w:t xml:space="preserve"> </w:t>
      </w:r>
      <w:r w:rsidR="00545D47">
        <w:rPr>
          <w:lang w:eastAsia="en-AU"/>
        </w:rPr>
        <w:t>This has impacted for example, on case management meetings occurring as part of the Specialist Approach to DFV at the Local Court in Alice Springs, and has meant that some matters are not currently included in the case management meetings.</w:t>
      </w:r>
    </w:p>
    <w:p w14:paraId="61386C2A" w14:textId="5CB48225" w:rsidR="00545D47" w:rsidRDefault="00545D47" w:rsidP="0090173D">
      <w:pPr>
        <w:keepLines/>
        <w:rPr>
          <w:lang w:eastAsia="en-AU"/>
        </w:rPr>
      </w:pPr>
      <w:r>
        <w:rPr>
          <w:lang w:eastAsia="en-AU"/>
        </w:rPr>
        <w:lastRenderedPageBreak/>
        <w:t>The DFV</w:t>
      </w:r>
      <w:r w:rsidR="0090173D">
        <w:rPr>
          <w:lang w:eastAsia="en-AU"/>
        </w:rPr>
        <w:t xml:space="preserve"> </w:t>
      </w:r>
      <w:r>
        <w:rPr>
          <w:lang w:eastAsia="en-AU"/>
        </w:rPr>
        <w:t>A</w:t>
      </w:r>
      <w:r w:rsidR="0090173D">
        <w:rPr>
          <w:lang w:eastAsia="en-AU"/>
        </w:rPr>
        <w:t>ct</w:t>
      </w:r>
      <w:r>
        <w:rPr>
          <w:lang w:eastAsia="en-AU"/>
        </w:rPr>
        <w:t xml:space="preserve"> provides that the Information Commissioner must review the operation of Chapter 5A after the first two years of operation (section 124U).  This review is currently under way. It is proposed that any further amendments to Chapter 5A that may be required are considered once the findings of the review are available.  </w:t>
      </w:r>
    </w:p>
    <w:p w14:paraId="293B7C13" w14:textId="3B15B929" w:rsidR="00B24AAA" w:rsidRDefault="00B24AAA" w:rsidP="00545D47">
      <w:pPr>
        <w:rPr>
          <w:lang w:eastAsia="en-AU"/>
        </w:rPr>
      </w:pPr>
      <w:r>
        <w:rPr>
          <w:lang w:eastAsia="en-AU"/>
        </w:rPr>
        <w:t xml:space="preserve">However, preliminary input from stakeholders suggest that a number of </w:t>
      </w:r>
      <w:r w:rsidRPr="00A87635">
        <w:rPr>
          <w:lang w:eastAsia="en-AU"/>
        </w:rPr>
        <w:t xml:space="preserve">amendments </w:t>
      </w:r>
      <w:r>
        <w:rPr>
          <w:lang w:eastAsia="en-AU"/>
        </w:rPr>
        <w:t>should be considered:</w:t>
      </w:r>
    </w:p>
    <w:p w14:paraId="2D7298E4" w14:textId="31B37C12" w:rsidR="00B24AAA" w:rsidRPr="009C3DA0" w:rsidRDefault="00B24AAA" w:rsidP="0090173D">
      <w:pPr>
        <w:pStyle w:val="Heading4"/>
        <w:keepNext/>
        <w:numPr>
          <w:ilvl w:val="0"/>
          <w:numId w:val="0"/>
        </w:numPr>
        <w:spacing w:after="0" w:line="259" w:lineRule="auto"/>
        <w:ind w:left="864" w:hanging="864"/>
        <w:rPr>
          <w:lang w:eastAsia="en-AU"/>
        </w:rPr>
      </w:pPr>
      <w:r>
        <w:rPr>
          <w:lang w:eastAsia="en-AU"/>
        </w:rPr>
        <w:t xml:space="preserve">PROPOSAL </w:t>
      </w:r>
      <w:r w:rsidR="001804B8">
        <w:rPr>
          <w:lang w:eastAsia="en-AU"/>
        </w:rPr>
        <w:t xml:space="preserve">LR </w:t>
      </w:r>
      <w:r>
        <w:rPr>
          <w:lang w:eastAsia="en-AU"/>
        </w:rPr>
        <w:t>39</w:t>
      </w:r>
    </w:p>
    <w:p w14:paraId="2FFC4322" w14:textId="59D754D0" w:rsidR="00545D47" w:rsidRPr="00A50E25" w:rsidRDefault="00B24AAA" w:rsidP="0090173D">
      <w:pPr>
        <w:keepNext/>
        <w:spacing w:after="0" w:line="259" w:lineRule="auto"/>
        <w:rPr>
          <w:lang w:eastAsia="en-AU"/>
        </w:rPr>
      </w:pPr>
      <w:r w:rsidRPr="00A50E25">
        <w:rPr>
          <w:b/>
          <w:lang w:eastAsia="en-AU"/>
        </w:rPr>
        <w:t>Subject to the findings of the Information Commissioner’s Review of Chapter 5A, it is proposed to:</w:t>
      </w:r>
    </w:p>
    <w:p w14:paraId="7BA83E2C" w14:textId="0CAF218E" w:rsidR="00545D47" w:rsidRPr="00A50E25" w:rsidRDefault="00545D47" w:rsidP="0067521E">
      <w:pPr>
        <w:pStyle w:val="ListParagraph"/>
        <w:numPr>
          <w:ilvl w:val="0"/>
          <w:numId w:val="154"/>
        </w:numPr>
        <w:spacing w:after="0" w:line="259" w:lineRule="auto"/>
        <w:ind w:left="567" w:hanging="567"/>
        <w:rPr>
          <w:b/>
        </w:rPr>
      </w:pPr>
      <w:r w:rsidRPr="00A50E25">
        <w:rPr>
          <w:b/>
        </w:rPr>
        <w:t>Amend the DFVA and</w:t>
      </w:r>
      <w:r w:rsidR="00A87635" w:rsidRPr="00A50E25">
        <w:rPr>
          <w:b/>
        </w:rPr>
        <w:t>/or</w:t>
      </w:r>
      <w:r w:rsidRPr="00A50E25">
        <w:rPr>
          <w:b/>
        </w:rPr>
        <w:t xml:space="preserve"> the </w:t>
      </w:r>
      <w:r w:rsidRPr="00A50E25">
        <w:rPr>
          <w:b/>
          <w:i/>
        </w:rPr>
        <w:t>Information Act 2002</w:t>
      </w:r>
      <w:r w:rsidRPr="00A50E25">
        <w:rPr>
          <w:b/>
        </w:rPr>
        <w:t xml:space="preserve">, so that the </w:t>
      </w:r>
      <w:r w:rsidR="0090173D" w:rsidRPr="0090173D">
        <w:rPr>
          <w:b/>
        </w:rPr>
        <w:t>Information Privacy Principles</w:t>
      </w:r>
      <w:r w:rsidR="0090173D" w:rsidRPr="00A50E25">
        <w:rPr>
          <w:b/>
        </w:rPr>
        <w:t xml:space="preserve"> </w:t>
      </w:r>
      <w:r w:rsidR="0090173D">
        <w:rPr>
          <w:b/>
        </w:rPr>
        <w:t>(</w:t>
      </w:r>
      <w:r w:rsidRPr="00A50E25">
        <w:rPr>
          <w:b/>
        </w:rPr>
        <w:t>IPPs</w:t>
      </w:r>
      <w:r w:rsidR="0090173D">
        <w:rPr>
          <w:b/>
        </w:rPr>
        <w:t>)</w:t>
      </w:r>
      <w:r w:rsidRPr="00A50E25">
        <w:rPr>
          <w:b/>
        </w:rPr>
        <w:t xml:space="preserve"> in relation so the collection of information </w:t>
      </w:r>
      <w:r w:rsidR="00C4165D" w:rsidRPr="00A50E25">
        <w:rPr>
          <w:b/>
        </w:rPr>
        <w:t xml:space="preserve">(IPP 1 and IPP 10) </w:t>
      </w:r>
      <w:r w:rsidRPr="00A50E25">
        <w:rPr>
          <w:b/>
        </w:rPr>
        <w:t>do not apply if the test for informati</w:t>
      </w:r>
      <w:r w:rsidR="0090173D">
        <w:rPr>
          <w:b/>
        </w:rPr>
        <w:t>on sharing in Chapter 5A is met.</w:t>
      </w:r>
    </w:p>
    <w:p w14:paraId="691F637E" w14:textId="1D85751D" w:rsidR="00545D47" w:rsidRPr="00A50E25" w:rsidRDefault="00F03E7C" w:rsidP="0067521E">
      <w:pPr>
        <w:pStyle w:val="ListParagraph"/>
        <w:numPr>
          <w:ilvl w:val="0"/>
          <w:numId w:val="154"/>
        </w:numPr>
        <w:spacing w:after="0" w:line="259" w:lineRule="auto"/>
        <w:ind w:left="567" w:hanging="567"/>
        <w:rPr>
          <w:b/>
          <w:lang w:eastAsia="en-AU"/>
        </w:rPr>
      </w:pPr>
      <w:r w:rsidRPr="00A50E25">
        <w:rPr>
          <w:b/>
        </w:rPr>
        <w:t xml:space="preserve">Amend section 124T to clarify that Chapter 5A has effect despite the operation of any other laws, </w:t>
      </w:r>
      <w:r w:rsidR="00C4165D" w:rsidRPr="00A50E25">
        <w:rPr>
          <w:b/>
        </w:rPr>
        <w:t xml:space="preserve">and </w:t>
      </w:r>
      <w:r w:rsidR="003E7BAD" w:rsidRPr="00A50E25">
        <w:rPr>
          <w:b/>
        </w:rPr>
        <w:t>explicitly name</w:t>
      </w:r>
      <w:r w:rsidRPr="00A50E25">
        <w:rPr>
          <w:b/>
        </w:rPr>
        <w:t xml:space="preserve"> the</w:t>
      </w:r>
      <w:r w:rsidR="00545D47" w:rsidRPr="00A50E25">
        <w:rPr>
          <w:b/>
        </w:rPr>
        <w:t xml:space="preserve"> </w:t>
      </w:r>
      <w:r w:rsidR="00545D47" w:rsidRPr="00A50E25">
        <w:rPr>
          <w:b/>
          <w:i/>
        </w:rPr>
        <w:t>Information Act</w:t>
      </w:r>
      <w:r w:rsidR="00A63417" w:rsidRPr="00A50E25">
        <w:rPr>
          <w:b/>
          <w:i/>
        </w:rPr>
        <w:t xml:space="preserve"> 2002</w:t>
      </w:r>
      <w:r w:rsidRPr="00A50E25">
        <w:rPr>
          <w:b/>
        </w:rPr>
        <w:t xml:space="preserve"> </w:t>
      </w:r>
      <w:r w:rsidR="007F7901" w:rsidRPr="00A50E25">
        <w:rPr>
          <w:b/>
        </w:rPr>
        <w:t xml:space="preserve">to avoid any doubt that Chapter 5A is not to be limited by the </w:t>
      </w:r>
      <w:r w:rsidR="0090173D">
        <w:rPr>
          <w:b/>
        </w:rPr>
        <w:t>IPPs</w:t>
      </w:r>
      <w:r w:rsidR="007F7901" w:rsidRPr="00A50E25">
        <w:rPr>
          <w:b/>
        </w:rPr>
        <w:t xml:space="preserve"> </w:t>
      </w:r>
      <w:r w:rsidRPr="00A50E25">
        <w:rPr>
          <w:b/>
        </w:rPr>
        <w:t>(and any corresponding changes that may be required to the</w:t>
      </w:r>
      <w:r w:rsidRPr="00A50E25">
        <w:rPr>
          <w:b/>
          <w:i/>
        </w:rPr>
        <w:t xml:space="preserve"> Information Act 2002 </w:t>
      </w:r>
      <w:r w:rsidRPr="00A50E25">
        <w:rPr>
          <w:b/>
        </w:rPr>
        <w:t>to</w:t>
      </w:r>
      <w:r w:rsidR="0090173D">
        <w:rPr>
          <w:b/>
        </w:rPr>
        <w:t xml:space="preserve"> give effect to that amendment).</w:t>
      </w:r>
    </w:p>
    <w:p w14:paraId="1E88D597" w14:textId="194D4934" w:rsidR="00A87635" w:rsidRPr="00A50E25" w:rsidRDefault="00F03E7C" w:rsidP="0067521E">
      <w:pPr>
        <w:pStyle w:val="ListParagraph"/>
        <w:numPr>
          <w:ilvl w:val="0"/>
          <w:numId w:val="154"/>
        </w:numPr>
        <w:spacing w:after="0" w:line="259" w:lineRule="auto"/>
        <w:ind w:left="567" w:hanging="567"/>
        <w:rPr>
          <w:b/>
          <w:lang w:eastAsia="en-AU"/>
        </w:rPr>
      </w:pPr>
      <w:r w:rsidRPr="00A50E25">
        <w:rPr>
          <w:b/>
          <w:lang w:eastAsia="en-AU"/>
        </w:rPr>
        <w:t>Amend the DFV</w:t>
      </w:r>
      <w:r w:rsidR="0090173D">
        <w:rPr>
          <w:b/>
          <w:lang w:eastAsia="en-AU"/>
        </w:rPr>
        <w:t xml:space="preserve"> </w:t>
      </w:r>
      <w:r w:rsidRPr="00A50E25">
        <w:rPr>
          <w:b/>
          <w:lang w:eastAsia="en-AU"/>
        </w:rPr>
        <w:t>A</w:t>
      </w:r>
      <w:r w:rsidR="0090173D">
        <w:rPr>
          <w:b/>
          <w:lang w:eastAsia="en-AU"/>
        </w:rPr>
        <w:t>ct</w:t>
      </w:r>
      <w:r w:rsidR="007F7901" w:rsidRPr="00A50E25">
        <w:rPr>
          <w:b/>
          <w:lang w:eastAsia="en-AU"/>
        </w:rPr>
        <w:t xml:space="preserve"> to explicitly provide that information is permitted to be shared in </w:t>
      </w:r>
      <w:r w:rsidR="00864C08" w:rsidRPr="00A50E25">
        <w:rPr>
          <w:b/>
          <w:lang w:eastAsia="en-AU"/>
        </w:rPr>
        <w:t>c</w:t>
      </w:r>
      <w:r w:rsidR="007F7901" w:rsidRPr="00A50E25">
        <w:rPr>
          <w:b/>
          <w:lang w:eastAsia="en-AU"/>
        </w:rPr>
        <w:t>ase management meetings if</w:t>
      </w:r>
      <w:r w:rsidR="00864C08" w:rsidRPr="00A50E25">
        <w:rPr>
          <w:b/>
          <w:lang w:eastAsia="en-AU"/>
        </w:rPr>
        <w:t xml:space="preserve"> the purpose of the meeting is to</w:t>
      </w:r>
      <w:r w:rsidRPr="00A50E25">
        <w:rPr>
          <w:b/>
          <w:lang w:eastAsia="en-AU"/>
        </w:rPr>
        <w:t xml:space="preserve"> assess, lessen or prevent a serious threat to a person’s</w:t>
      </w:r>
      <w:r w:rsidR="00864C08" w:rsidRPr="00A50E25">
        <w:rPr>
          <w:b/>
          <w:lang w:eastAsia="en-AU"/>
        </w:rPr>
        <w:t xml:space="preserve"> life, health safety or welfare, </w:t>
      </w:r>
      <w:r w:rsidR="003E7BAD" w:rsidRPr="00A50E25">
        <w:rPr>
          <w:b/>
          <w:lang w:eastAsia="en-AU"/>
        </w:rPr>
        <w:t>including to provide or arrange a domestic violence related service</w:t>
      </w:r>
      <w:r w:rsidR="0090173D">
        <w:rPr>
          <w:b/>
          <w:lang w:eastAsia="en-AU"/>
        </w:rPr>
        <w:t>.</w:t>
      </w:r>
    </w:p>
    <w:p w14:paraId="10AD084D" w14:textId="3117C741" w:rsidR="007F7901" w:rsidRPr="00A50E25" w:rsidRDefault="009228FF" w:rsidP="0067521E">
      <w:pPr>
        <w:pStyle w:val="ListParagraph"/>
        <w:numPr>
          <w:ilvl w:val="0"/>
          <w:numId w:val="154"/>
        </w:numPr>
        <w:spacing w:after="0" w:line="259" w:lineRule="auto"/>
        <w:ind w:left="567" w:hanging="567"/>
        <w:rPr>
          <w:b/>
          <w:lang w:eastAsia="en-AU"/>
        </w:rPr>
      </w:pPr>
      <w:r w:rsidRPr="00A50E25">
        <w:rPr>
          <w:b/>
          <w:lang w:eastAsia="en-AU"/>
        </w:rPr>
        <w:t>Amend the DFV</w:t>
      </w:r>
      <w:r w:rsidR="0090173D">
        <w:rPr>
          <w:b/>
          <w:lang w:eastAsia="en-AU"/>
        </w:rPr>
        <w:t xml:space="preserve"> </w:t>
      </w:r>
      <w:r w:rsidRPr="00A50E25">
        <w:rPr>
          <w:b/>
          <w:lang w:eastAsia="en-AU"/>
        </w:rPr>
        <w:t>A</w:t>
      </w:r>
      <w:r w:rsidR="0090173D">
        <w:rPr>
          <w:b/>
          <w:lang w:eastAsia="en-AU"/>
        </w:rPr>
        <w:t>ct</w:t>
      </w:r>
      <w:r w:rsidRPr="00A50E25">
        <w:rPr>
          <w:b/>
          <w:lang w:eastAsia="en-AU"/>
        </w:rPr>
        <w:t xml:space="preserve"> to provide</w:t>
      </w:r>
      <w:r w:rsidR="007F7901" w:rsidRPr="00A50E25">
        <w:rPr>
          <w:b/>
          <w:lang w:eastAsia="en-AU"/>
        </w:rPr>
        <w:t xml:space="preserve"> a de</w:t>
      </w:r>
      <w:r w:rsidR="003E7BAD" w:rsidRPr="00A50E25">
        <w:rPr>
          <w:b/>
          <w:lang w:eastAsia="en-AU"/>
        </w:rPr>
        <w:t xml:space="preserve">finition of information sharing, that includes the giving and receiving of information, and </w:t>
      </w:r>
      <w:r w:rsidRPr="00A50E25">
        <w:rPr>
          <w:b/>
          <w:lang w:eastAsia="en-AU"/>
        </w:rPr>
        <w:t xml:space="preserve">encompasses </w:t>
      </w:r>
      <w:r w:rsidR="003E7BAD" w:rsidRPr="00A50E25">
        <w:rPr>
          <w:b/>
          <w:lang w:eastAsia="en-AU"/>
        </w:rPr>
        <w:t>the collection, use and disclosure of inf</w:t>
      </w:r>
      <w:r w:rsidR="0090173D">
        <w:rPr>
          <w:b/>
          <w:lang w:eastAsia="en-AU"/>
        </w:rPr>
        <w:t>ormation.</w:t>
      </w:r>
    </w:p>
    <w:p w14:paraId="4ACA0F22" w14:textId="09E0C25F" w:rsidR="00BB1101" w:rsidRPr="00A50E25" w:rsidRDefault="00922819" w:rsidP="0067521E">
      <w:pPr>
        <w:pStyle w:val="ListParagraph"/>
        <w:numPr>
          <w:ilvl w:val="0"/>
          <w:numId w:val="154"/>
        </w:numPr>
        <w:spacing w:line="259" w:lineRule="auto"/>
        <w:ind w:left="567" w:hanging="567"/>
        <w:rPr>
          <w:b/>
          <w:lang w:eastAsia="en-AU"/>
        </w:rPr>
      </w:pPr>
      <w:r w:rsidRPr="00A50E25">
        <w:rPr>
          <w:b/>
          <w:lang w:eastAsia="en-AU"/>
        </w:rPr>
        <w:t>Amen</w:t>
      </w:r>
      <w:r w:rsidR="003E7BAD" w:rsidRPr="00A50E25">
        <w:rPr>
          <w:b/>
          <w:lang w:eastAsia="en-AU"/>
        </w:rPr>
        <w:t>d s</w:t>
      </w:r>
      <w:r w:rsidR="0090173D">
        <w:rPr>
          <w:b/>
          <w:lang w:eastAsia="en-AU"/>
        </w:rPr>
        <w:t>ection </w:t>
      </w:r>
      <w:r w:rsidR="003E7BAD" w:rsidRPr="00A50E25">
        <w:rPr>
          <w:b/>
          <w:lang w:eastAsia="en-AU"/>
        </w:rPr>
        <w:t xml:space="preserve">124B(g)(ii) </w:t>
      </w:r>
      <w:r w:rsidR="008319C1" w:rsidRPr="00A50E25">
        <w:rPr>
          <w:b/>
          <w:lang w:eastAsia="en-AU"/>
        </w:rPr>
        <w:t xml:space="preserve">so that additional ISEs are </w:t>
      </w:r>
      <w:r w:rsidR="003E7BAD" w:rsidRPr="00A50E25">
        <w:rPr>
          <w:b/>
          <w:lang w:eastAsia="en-AU"/>
        </w:rPr>
        <w:t>published in the Gazette rather</w:t>
      </w:r>
      <w:r w:rsidR="00F03E7C" w:rsidRPr="00A50E25">
        <w:rPr>
          <w:b/>
          <w:lang w:eastAsia="en-AU"/>
        </w:rPr>
        <w:t xml:space="preserve"> </w:t>
      </w:r>
      <w:r w:rsidR="003E7BAD" w:rsidRPr="00A50E25">
        <w:rPr>
          <w:b/>
          <w:lang w:eastAsia="en-AU"/>
        </w:rPr>
        <w:t xml:space="preserve">than </w:t>
      </w:r>
      <w:r w:rsidR="008319C1" w:rsidRPr="00A50E25">
        <w:rPr>
          <w:b/>
          <w:lang w:eastAsia="en-AU"/>
        </w:rPr>
        <w:t>being prescribed by regulations and that the complete</w:t>
      </w:r>
      <w:r w:rsidR="003E7BAD" w:rsidRPr="00A50E25">
        <w:rPr>
          <w:b/>
          <w:lang w:eastAsia="en-AU"/>
        </w:rPr>
        <w:t xml:space="preserve"> list </w:t>
      </w:r>
      <w:r w:rsidR="008319C1" w:rsidRPr="00A50E25">
        <w:rPr>
          <w:b/>
          <w:lang w:eastAsia="en-AU"/>
        </w:rPr>
        <w:t xml:space="preserve">of ISEs be </w:t>
      </w:r>
      <w:r w:rsidR="003E7BAD" w:rsidRPr="00A50E25">
        <w:rPr>
          <w:b/>
          <w:lang w:eastAsia="en-AU"/>
        </w:rPr>
        <w:t>provi</w:t>
      </w:r>
      <w:r w:rsidR="008319C1" w:rsidRPr="00A50E25">
        <w:rPr>
          <w:b/>
          <w:lang w:eastAsia="en-AU"/>
        </w:rPr>
        <w:t>ded on the website alongside</w:t>
      </w:r>
      <w:r w:rsidR="003E7BAD" w:rsidRPr="00A50E25">
        <w:rPr>
          <w:b/>
          <w:lang w:eastAsia="en-AU"/>
        </w:rPr>
        <w:t xml:space="preserve"> the Information Sharing Guidelines.</w:t>
      </w:r>
    </w:p>
    <w:p w14:paraId="5CBB7967" w14:textId="17349464" w:rsidR="00A50E25" w:rsidRPr="009C3DA0" w:rsidRDefault="00A50E25" w:rsidP="0090173D">
      <w:pPr>
        <w:pStyle w:val="Heading4"/>
        <w:keepNext/>
        <w:numPr>
          <w:ilvl w:val="0"/>
          <w:numId w:val="0"/>
        </w:numPr>
        <w:spacing w:after="0" w:line="259" w:lineRule="auto"/>
        <w:ind w:left="862" w:hanging="862"/>
        <w:rPr>
          <w:lang w:eastAsia="en-AU"/>
        </w:rPr>
      </w:pPr>
      <w:r>
        <w:rPr>
          <w:lang w:eastAsia="en-AU"/>
        </w:rPr>
        <w:t>PROPOSAL</w:t>
      </w:r>
      <w:r w:rsidR="00A06026">
        <w:rPr>
          <w:lang w:eastAsia="en-AU"/>
        </w:rPr>
        <w:t xml:space="preserve"> </w:t>
      </w:r>
      <w:r w:rsidR="001804B8">
        <w:rPr>
          <w:lang w:eastAsia="en-AU"/>
        </w:rPr>
        <w:t xml:space="preserve">LR </w:t>
      </w:r>
      <w:r>
        <w:rPr>
          <w:lang w:eastAsia="en-AU"/>
        </w:rPr>
        <w:t>40</w:t>
      </w:r>
    </w:p>
    <w:p w14:paraId="7B52C1E0" w14:textId="72FE4737" w:rsidR="00F5413D" w:rsidRDefault="00A06026" w:rsidP="0090173D">
      <w:pPr>
        <w:spacing w:line="259" w:lineRule="auto"/>
        <w:rPr>
          <w:b/>
        </w:rPr>
      </w:pPr>
      <w:r>
        <w:rPr>
          <w:b/>
        </w:rPr>
        <w:t>It is proposed to</w:t>
      </w:r>
      <w:r w:rsidRPr="00880DF3">
        <w:rPr>
          <w:b/>
        </w:rPr>
        <w:t xml:space="preserve"> a</w:t>
      </w:r>
      <w:r>
        <w:rPr>
          <w:b/>
        </w:rPr>
        <w:t xml:space="preserve">mend </w:t>
      </w:r>
      <w:r w:rsidRPr="00880DF3">
        <w:rPr>
          <w:b/>
        </w:rPr>
        <w:t>the DFV</w:t>
      </w:r>
      <w:r w:rsidR="0090173D">
        <w:rPr>
          <w:b/>
        </w:rPr>
        <w:t xml:space="preserve"> </w:t>
      </w:r>
      <w:r w:rsidRPr="00880DF3">
        <w:rPr>
          <w:b/>
        </w:rPr>
        <w:t>A</w:t>
      </w:r>
      <w:r w:rsidR="0090173D">
        <w:rPr>
          <w:b/>
        </w:rPr>
        <w:t>ct</w:t>
      </w:r>
      <w:r w:rsidRPr="00880DF3">
        <w:rPr>
          <w:b/>
        </w:rPr>
        <w:t xml:space="preserve"> to require police to refer alleged victims of DFV </w:t>
      </w:r>
      <w:r>
        <w:rPr>
          <w:b/>
        </w:rPr>
        <w:t>to a 24 H</w:t>
      </w:r>
      <w:r w:rsidRPr="00880DF3">
        <w:rPr>
          <w:b/>
        </w:rPr>
        <w:t xml:space="preserve">our Specialist DFSV Referral Service.  </w:t>
      </w:r>
      <w:r>
        <w:rPr>
          <w:b/>
        </w:rPr>
        <w:t xml:space="preserve">It is proposed that police </w:t>
      </w:r>
      <w:r w:rsidRPr="00880DF3">
        <w:rPr>
          <w:b/>
        </w:rPr>
        <w:t xml:space="preserve">have the power to refer </w:t>
      </w:r>
      <w:r>
        <w:rPr>
          <w:b/>
        </w:rPr>
        <w:t xml:space="preserve">victim-survivors automatically </w:t>
      </w:r>
      <w:r w:rsidRPr="00880DF3">
        <w:rPr>
          <w:b/>
        </w:rPr>
        <w:t>without the victim-survivors consent but police will be required to explain the reason for the mandatory referral to the victim-survivor.</w:t>
      </w:r>
      <w:r>
        <w:rPr>
          <w:b/>
        </w:rPr>
        <w:t xml:space="preserve">  </w:t>
      </w:r>
    </w:p>
    <w:p w14:paraId="7C777AE6" w14:textId="56489CB1" w:rsidR="00A06026" w:rsidRPr="0090173D" w:rsidRDefault="00A06026" w:rsidP="00A06026">
      <w:r w:rsidRPr="0090173D">
        <w:t xml:space="preserve">This amendment is complementary to </w:t>
      </w:r>
      <w:r w:rsidR="0090173D" w:rsidRPr="0090173D">
        <w:t xml:space="preserve">proposal </w:t>
      </w:r>
      <w:r w:rsidR="00F5413D" w:rsidRPr="0090173D">
        <w:t>SR</w:t>
      </w:r>
      <w:r w:rsidR="00731D2A" w:rsidRPr="0090173D">
        <w:t xml:space="preserve"> 15 to </w:t>
      </w:r>
      <w:r w:rsidR="00F5413D" w:rsidRPr="0090173D">
        <w:t>establi</w:t>
      </w:r>
      <w:r w:rsidR="00731D2A" w:rsidRPr="0090173D">
        <w:t>sh</w:t>
      </w:r>
      <w:r w:rsidR="00F5413D" w:rsidRPr="0090173D">
        <w:t xml:space="preserve"> a 24-hour specialist </w:t>
      </w:r>
      <w:r w:rsidR="00731D2A" w:rsidRPr="0090173D">
        <w:t xml:space="preserve">DFV </w:t>
      </w:r>
      <w:r w:rsidR="00F5413D" w:rsidRPr="0090173D">
        <w:t>referral service.</w:t>
      </w:r>
    </w:p>
    <w:p w14:paraId="40F8BBE1" w14:textId="1F2D4800" w:rsidR="00864C08" w:rsidRDefault="00864C08" w:rsidP="00A50E25">
      <w:pPr>
        <w:rPr>
          <w:lang w:eastAsia="en-AU"/>
        </w:rPr>
      </w:pPr>
      <w:r>
        <w:rPr>
          <w:lang w:eastAsia="en-AU"/>
        </w:rPr>
        <w:br w:type="page"/>
      </w:r>
    </w:p>
    <w:p w14:paraId="04612797" w14:textId="375211DF" w:rsidR="008977E3" w:rsidRDefault="008977E3" w:rsidP="0090173D">
      <w:pPr>
        <w:pStyle w:val="Heading3"/>
        <w:keepNext/>
        <w:rPr>
          <w:lang w:eastAsia="en-AU"/>
        </w:rPr>
      </w:pPr>
      <w:bookmarkStart w:id="69" w:name="_Toc112051856"/>
      <w:r>
        <w:rPr>
          <w:lang w:eastAsia="en-AU"/>
        </w:rPr>
        <w:lastRenderedPageBreak/>
        <w:t>Service</w:t>
      </w:r>
      <w:r w:rsidR="00407653">
        <w:rPr>
          <w:lang w:eastAsia="en-AU"/>
        </w:rPr>
        <w:t xml:space="preserve"> of Applications and DVOs</w:t>
      </w:r>
      <w:bookmarkEnd w:id="69"/>
    </w:p>
    <w:p w14:paraId="0CC86DDD" w14:textId="27317B0E" w:rsidR="008F6163" w:rsidRDefault="00CF64BB" w:rsidP="00DD62ED">
      <w:pPr>
        <w:rPr>
          <w:lang w:eastAsia="en-AU"/>
        </w:rPr>
      </w:pPr>
      <w:r>
        <w:rPr>
          <w:lang w:eastAsia="en-AU"/>
        </w:rPr>
        <w:t xml:space="preserve">The service of applications and DVOs is an important consideration in relation to the justice response to DFV.  Concerns about service have been raised during the course of this review. </w:t>
      </w:r>
      <w:r w:rsidR="0090173D">
        <w:rPr>
          <w:lang w:eastAsia="en-AU"/>
        </w:rPr>
        <w:t xml:space="preserve"> </w:t>
      </w:r>
      <w:r w:rsidR="00DD62ED">
        <w:rPr>
          <w:lang w:eastAsia="en-AU"/>
        </w:rPr>
        <w:t>Service</w:t>
      </w:r>
      <w:r w:rsidR="00DD62ED" w:rsidRPr="00DD62ED">
        <w:rPr>
          <w:lang w:eastAsia="en-AU"/>
        </w:rPr>
        <w:t xml:space="preserve"> can present </w:t>
      </w:r>
      <w:r>
        <w:rPr>
          <w:lang w:eastAsia="en-AU"/>
        </w:rPr>
        <w:t xml:space="preserve">particular </w:t>
      </w:r>
      <w:r w:rsidR="00DD62ED" w:rsidRPr="00DD62ED">
        <w:rPr>
          <w:lang w:eastAsia="en-AU"/>
        </w:rPr>
        <w:t xml:space="preserve">challenges in </w:t>
      </w:r>
      <w:r>
        <w:rPr>
          <w:lang w:eastAsia="en-AU"/>
        </w:rPr>
        <w:t xml:space="preserve">the NT, particularly in </w:t>
      </w:r>
      <w:r w:rsidR="00DD62ED" w:rsidRPr="00DD62ED">
        <w:rPr>
          <w:lang w:eastAsia="en-AU"/>
        </w:rPr>
        <w:t>remote locations</w:t>
      </w:r>
      <w:r>
        <w:rPr>
          <w:lang w:eastAsia="en-AU"/>
        </w:rPr>
        <w:t>, and also may have safety implications</w:t>
      </w:r>
      <w:r w:rsidR="006A1149">
        <w:rPr>
          <w:lang w:eastAsia="en-AU"/>
        </w:rPr>
        <w:t xml:space="preserve"> arising from the DFV</w:t>
      </w:r>
      <w:r>
        <w:rPr>
          <w:lang w:eastAsia="en-AU"/>
        </w:rPr>
        <w:t>.</w:t>
      </w:r>
      <w:r w:rsidR="00F5192F">
        <w:rPr>
          <w:lang w:eastAsia="en-AU"/>
        </w:rPr>
        <w:t xml:space="preserve"> </w:t>
      </w:r>
      <w:r w:rsidR="0090173D">
        <w:rPr>
          <w:lang w:eastAsia="en-AU"/>
        </w:rPr>
        <w:t xml:space="preserve"> </w:t>
      </w:r>
      <w:r>
        <w:rPr>
          <w:lang w:eastAsia="en-AU"/>
        </w:rPr>
        <w:t>This issue has not been resolved prior to the release of this paper but</w:t>
      </w:r>
      <w:r w:rsidR="00611664">
        <w:rPr>
          <w:lang w:eastAsia="en-AU"/>
        </w:rPr>
        <w:t xml:space="preserve"> requires further consideration as part of a co-ordinated inter-agency response to DFV</w:t>
      </w:r>
      <w:r w:rsidR="00F5192F">
        <w:rPr>
          <w:lang w:eastAsia="en-AU"/>
        </w:rPr>
        <w:t xml:space="preserve"> and may require</w:t>
      </w:r>
      <w:r>
        <w:rPr>
          <w:lang w:eastAsia="en-AU"/>
        </w:rPr>
        <w:t xml:space="preserve"> legislative </w:t>
      </w:r>
      <w:r w:rsidR="00F5192F">
        <w:rPr>
          <w:lang w:eastAsia="en-AU"/>
        </w:rPr>
        <w:t>amendment</w:t>
      </w:r>
      <w:r w:rsidR="00611664">
        <w:rPr>
          <w:lang w:eastAsia="en-AU"/>
        </w:rPr>
        <w:t>.</w:t>
      </w:r>
    </w:p>
    <w:p w14:paraId="21D42F63" w14:textId="3C61CE5D" w:rsidR="0085754C" w:rsidRPr="0024570B" w:rsidRDefault="00D2297A" w:rsidP="0090173D">
      <w:pPr>
        <w:pStyle w:val="Heading4"/>
        <w:keepNext/>
        <w:numPr>
          <w:ilvl w:val="0"/>
          <w:numId w:val="0"/>
        </w:numPr>
        <w:spacing w:after="0" w:line="259" w:lineRule="auto"/>
        <w:rPr>
          <w:lang w:eastAsia="en-AU"/>
        </w:rPr>
      </w:pPr>
      <w:r w:rsidRPr="0024570B">
        <w:rPr>
          <w:lang w:eastAsia="en-AU"/>
        </w:rPr>
        <w:t>PROPOSAL 41</w:t>
      </w:r>
    </w:p>
    <w:p w14:paraId="3F170F6A" w14:textId="7E007955" w:rsidR="0085754C" w:rsidRPr="0090173D" w:rsidRDefault="004B1561" w:rsidP="0090173D">
      <w:pPr>
        <w:spacing w:after="0" w:line="259" w:lineRule="auto"/>
        <w:rPr>
          <w:b/>
          <w:lang w:eastAsia="en-AU"/>
        </w:rPr>
      </w:pPr>
      <w:r w:rsidRPr="0090173D">
        <w:rPr>
          <w:b/>
          <w:lang w:eastAsia="en-AU"/>
        </w:rPr>
        <w:t xml:space="preserve">It is proposed that </w:t>
      </w:r>
      <w:r w:rsidR="00611664" w:rsidRPr="0090173D">
        <w:rPr>
          <w:b/>
          <w:lang w:eastAsia="en-AU"/>
        </w:rPr>
        <w:t>AGD</w:t>
      </w:r>
      <w:r w:rsidR="0090173D">
        <w:rPr>
          <w:b/>
          <w:lang w:eastAsia="en-AU"/>
        </w:rPr>
        <w:t>,</w:t>
      </w:r>
      <w:r w:rsidR="00611664" w:rsidRPr="0090173D">
        <w:rPr>
          <w:b/>
          <w:lang w:eastAsia="en-AU"/>
        </w:rPr>
        <w:t xml:space="preserve"> in collaboration with </w:t>
      </w:r>
      <w:r w:rsidR="00D221B5" w:rsidRPr="0090173D">
        <w:rPr>
          <w:b/>
          <w:lang w:eastAsia="en-AU"/>
        </w:rPr>
        <w:t xml:space="preserve">NT Police and </w:t>
      </w:r>
      <w:r w:rsidR="00611664" w:rsidRPr="0090173D">
        <w:rPr>
          <w:b/>
          <w:lang w:eastAsia="en-AU"/>
        </w:rPr>
        <w:t xml:space="preserve">the </w:t>
      </w:r>
      <w:r w:rsidRPr="0090173D">
        <w:rPr>
          <w:b/>
          <w:lang w:eastAsia="en-AU"/>
        </w:rPr>
        <w:t>DFSV-ICRO</w:t>
      </w:r>
      <w:r w:rsidR="0090173D">
        <w:rPr>
          <w:b/>
          <w:lang w:eastAsia="en-AU"/>
        </w:rPr>
        <w:t>,</w:t>
      </w:r>
      <w:r w:rsidRPr="0090173D">
        <w:rPr>
          <w:b/>
          <w:lang w:eastAsia="en-AU"/>
        </w:rPr>
        <w:t xml:space="preserve"> </w:t>
      </w:r>
      <w:r w:rsidR="00F5192F" w:rsidRPr="0090173D">
        <w:rPr>
          <w:b/>
          <w:lang w:eastAsia="en-AU"/>
        </w:rPr>
        <w:t xml:space="preserve">develops a policy on </w:t>
      </w:r>
      <w:r w:rsidR="00611664" w:rsidRPr="0090173D">
        <w:rPr>
          <w:b/>
          <w:lang w:eastAsia="en-AU"/>
        </w:rPr>
        <w:t>the</w:t>
      </w:r>
      <w:r w:rsidR="00CF64BB" w:rsidRPr="0090173D">
        <w:rPr>
          <w:b/>
          <w:lang w:eastAsia="en-AU"/>
        </w:rPr>
        <w:t xml:space="preserve"> service of application</w:t>
      </w:r>
      <w:r w:rsidR="00F5192F" w:rsidRPr="0090173D">
        <w:rPr>
          <w:b/>
          <w:lang w:eastAsia="en-AU"/>
        </w:rPr>
        <w:t>s and DVOs</w:t>
      </w:r>
      <w:r w:rsidR="001201E4" w:rsidRPr="0090173D">
        <w:rPr>
          <w:b/>
          <w:lang w:eastAsia="en-AU"/>
        </w:rPr>
        <w:t>,</w:t>
      </w:r>
      <w:r w:rsidR="00F5192F" w:rsidRPr="0090173D">
        <w:rPr>
          <w:b/>
          <w:lang w:eastAsia="en-AU"/>
        </w:rPr>
        <w:t xml:space="preserve"> </w:t>
      </w:r>
      <w:r w:rsidR="001201E4" w:rsidRPr="0090173D">
        <w:rPr>
          <w:b/>
          <w:lang w:eastAsia="en-AU"/>
        </w:rPr>
        <w:t xml:space="preserve">and further considers the need for legislative amendments, </w:t>
      </w:r>
      <w:r w:rsidR="00F5192F" w:rsidRPr="0090173D">
        <w:rPr>
          <w:b/>
          <w:lang w:eastAsia="en-AU"/>
        </w:rPr>
        <w:t>to ensure there is a</w:t>
      </w:r>
      <w:r w:rsidR="00CF64BB" w:rsidRPr="0090173D">
        <w:rPr>
          <w:b/>
          <w:lang w:eastAsia="en-AU"/>
        </w:rPr>
        <w:t xml:space="preserve"> co-ordinated inter-agency response that prioritises victim-</w:t>
      </w:r>
      <w:r w:rsidR="00F5192F" w:rsidRPr="0090173D">
        <w:rPr>
          <w:b/>
          <w:lang w:eastAsia="en-AU"/>
        </w:rPr>
        <w:t>survivor safety</w:t>
      </w:r>
      <w:r w:rsidR="00186B67" w:rsidRPr="0090173D">
        <w:rPr>
          <w:b/>
          <w:lang w:eastAsia="en-AU"/>
        </w:rPr>
        <w:t>.</w:t>
      </w:r>
    </w:p>
    <w:p w14:paraId="7438C39F" w14:textId="77777777" w:rsidR="00FA4FCF" w:rsidRDefault="00FA4FCF" w:rsidP="007E1D4C">
      <w:pPr>
        <w:pStyle w:val="Heading3"/>
        <w:rPr>
          <w:lang w:eastAsia="en-AU"/>
        </w:rPr>
      </w:pPr>
      <w:bookmarkStart w:id="70" w:name="_Toc112051857"/>
      <w:r>
        <w:rPr>
          <w:lang w:eastAsia="en-AU"/>
        </w:rPr>
        <w:t>Other proposed changes</w:t>
      </w:r>
      <w:bookmarkEnd w:id="70"/>
    </w:p>
    <w:p w14:paraId="67548BA3" w14:textId="0DFD4399" w:rsidR="002E5EBA" w:rsidRDefault="004B1561" w:rsidP="002E5EBA">
      <w:pPr>
        <w:rPr>
          <w:lang w:eastAsia="en-AU"/>
        </w:rPr>
      </w:pPr>
      <w:r>
        <w:rPr>
          <w:lang w:eastAsia="en-AU"/>
        </w:rPr>
        <w:t>O</w:t>
      </w:r>
      <w:r w:rsidR="002E5EBA">
        <w:rPr>
          <w:lang w:eastAsia="en-AU"/>
        </w:rPr>
        <w:t>ther amendments to the DFV</w:t>
      </w:r>
      <w:r w:rsidR="0090173D">
        <w:rPr>
          <w:lang w:eastAsia="en-AU"/>
        </w:rPr>
        <w:t xml:space="preserve"> </w:t>
      </w:r>
      <w:r w:rsidR="002E5EBA">
        <w:rPr>
          <w:lang w:eastAsia="en-AU"/>
        </w:rPr>
        <w:t>A</w:t>
      </w:r>
      <w:r w:rsidR="0090173D">
        <w:rPr>
          <w:lang w:eastAsia="en-AU"/>
        </w:rPr>
        <w:t>ct</w:t>
      </w:r>
      <w:r w:rsidR="002E5EBA">
        <w:rPr>
          <w:lang w:eastAsia="en-AU"/>
        </w:rPr>
        <w:t xml:space="preserve"> are proposed as outlined below.</w:t>
      </w:r>
    </w:p>
    <w:p w14:paraId="4CA4D19A" w14:textId="635C4F21" w:rsidR="003A6F6A" w:rsidRDefault="00D2297A" w:rsidP="0090173D">
      <w:pPr>
        <w:pStyle w:val="Heading4"/>
        <w:keepNext/>
        <w:numPr>
          <w:ilvl w:val="0"/>
          <w:numId w:val="0"/>
        </w:numPr>
        <w:spacing w:after="0" w:line="259" w:lineRule="auto"/>
        <w:ind w:left="864" w:hanging="864"/>
        <w:rPr>
          <w:lang w:eastAsia="en-AU"/>
        </w:rPr>
      </w:pPr>
      <w:r>
        <w:rPr>
          <w:lang w:eastAsia="en-AU"/>
        </w:rPr>
        <w:t>PROPOSAL LR</w:t>
      </w:r>
      <w:r w:rsidR="003A6F6A">
        <w:rPr>
          <w:lang w:eastAsia="en-AU"/>
        </w:rPr>
        <w:t xml:space="preserve"> </w:t>
      </w:r>
      <w:r>
        <w:rPr>
          <w:lang w:eastAsia="en-AU"/>
        </w:rPr>
        <w:t>42</w:t>
      </w:r>
    </w:p>
    <w:p w14:paraId="40B593BD" w14:textId="5401367F" w:rsidR="00FA4FCF" w:rsidRPr="004A7D2C" w:rsidRDefault="00FA4FCF" w:rsidP="0090173D">
      <w:pPr>
        <w:keepNext/>
        <w:spacing w:after="0" w:line="259" w:lineRule="auto"/>
        <w:rPr>
          <w:b/>
          <w:lang w:eastAsia="en-AU"/>
        </w:rPr>
      </w:pPr>
      <w:r w:rsidRPr="004A7D2C">
        <w:rPr>
          <w:b/>
          <w:lang w:eastAsia="en-AU"/>
        </w:rPr>
        <w:t>Other proposed changes to the DFVA are</w:t>
      </w:r>
      <w:r w:rsidR="004B1561">
        <w:rPr>
          <w:b/>
          <w:lang w:eastAsia="en-AU"/>
        </w:rPr>
        <w:t xml:space="preserve"> to</w:t>
      </w:r>
      <w:r w:rsidRPr="004A7D2C">
        <w:rPr>
          <w:b/>
          <w:lang w:eastAsia="en-AU"/>
        </w:rPr>
        <w:t>:</w:t>
      </w:r>
    </w:p>
    <w:p w14:paraId="10F17F92" w14:textId="522687DC" w:rsidR="00FA4FCF" w:rsidRPr="004A7D2C" w:rsidRDefault="00FA4FCF" w:rsidP="0067521E">
      <w:pPr>
        <w:pStyle w:val="ListParagraph"/>
        <w:numPr>
          <w:ilvl w:val="0"/>
          <w:numId w:val="155"/>
        </w:numPr>
        <w:spacing w:after="0" w:line="259" w:lineRule="auto"/>
        <w:ind w:left="567" w:hanging="567"/>
        <w:rPr>
          <w:b/>
          <w:lang w:eastAsia="en-AU"/>
        </w:rPr>
      </w:pPr>
      <w:r w:rsidRPr="004A7D2C">
        <w:rPr>
          <w:b/>
          <w:lang w:eastAsia="en-AU"/>
        </w:rPr>
        <w:t>Amend section 14(3) so that a defendant must be at least 14 years (currently it is 15)</w:t>
      </w:r>
      <w:r w:rsidR="0090173D">
        <w:rPr>
          <w:b/>
          <w:lang w:eastAsia="en-AU"/>
        </w:rPr>
        <w:t>.</w:t>
      </w:r>
    </w:p>
    <w:p w14:paraId="1BB7C993" w14:textId="241FD6FB" w:rsidR="00FA4FCF" w:rsidRPr="004A7D2C" w:rsidRDefault="00FA4FCF" w:rsidP="0067521E">
      <w:pPr>
        <w:pStyle w:val="ListParagraph"/>
        <w:numPr>
          <w:ilvl w:val="0"/>
          <w:numId w:val="155"/>
        </w:numPr>
        <w:spacing w:after="0" w:line="259" w:lineRule="auto"/>
        <w:ind w:left="567" w:hanging="567"/>
        <w:rPr>
          <w:b/>
          <w:lang w:eastAsia="en-AU"/>
        </w:rPr>
      </w:pPr>
      <w:r w:rsidRPr="004A7D2C">
        <w:rPr>
          <w:b/>
          <w:lang w:eastAsia="en-AU"/>
        </w:rPr>
        <w:t>Amend section 28 (or the definitions in section 4) so that a</w:t>
      </w:r>
      <w:r w:rsidR="0090173D">
        <w:rPr>
          <w:b/>
          <w:lang w:eastAsia="en-AU"/>
        </w:rPr>
        <w:t xml:space="preserve"> young person between 14 and 18 years </w:t>
      </w:r>
      <w:r w:rsidRPr="004A7D2C">
        <w:rPr>
          <w:b/>
          <w:lang w:eastAsia="en-AU"/>
        </w:rPr>
        <w:t xml:space="preserve">may apply for a DVO with the leave of the </w:t>
      </w:r>
      <w:r w:rsidR="0090173D" w:rsidRPr="004A7D2C">
        <w:rPr>
          <w:b/>
          <w:lang w:eastAsia="en-AU"/>
        </w:rPr>
        <w:t xml:space="preserve">court </w:t>
      </w:r>
      <w:r w:rsidRPr="004A7D2C">
        <w:rPr>
          <w:b/>
          <w:lang w:eastAsia="en-AU"/>
        </w:rPr>
        <w:t>(currently it is between 15 and 18).</w:t>
      </w:r>
    </w:p>
    <w:p w14:paraId="0B55C72B" w14:textId="214BC987" w:rsidR="00FD771B" w:rsidRPr="004A7D2C" w:rsidRDefault="00FA4FCF" w:rsidP="0067521E">
      <w:pPr>
        <w:pStyle w:val="ListParagraph"/>
        <w:numPr>
          <w:ilvl w:val="0"/>
          <w:numId w:val="155"/>
        </w:numPr>
        <w:spacing w:after="0" w:line="259" w:lineRule="auto"/>
        <w:ind w:left="567" w:hanging="567"/>
        <w:rPr>
          <w:b/>
        </w:rPr>
      </w:pPr>
      <w:r w:rsidRPr="004A7D2C">
        <w:rPr>
          <w:b/>
        </w:rPr>
        <w:t>Amend the DFV</w:t>
      </w:r>
      <w:r w:rsidR="0090173D">
        <w:rPr>
          <w:b/>
        </w:rPr>
        <w:t xml:space="preserve"> </w:t>
      </w:r>
      <w:r w:rsidRPr="004A7D2C">
        <w:rPr>
          <w:b/>
        </w:rPr>
        <w:t>A</w:t>
      </w:r>
      <w:r w:rsidR="0090173D">
        <w:rPr>
          <w:b/>
        </w:rPr>
        <w:t>ct</w:t>
      </w:r>
      <w:r w:rsidRPr="004A7D2C">
        <w:rPr>
          <w:b/>
        </w:rPr>
        <w:t xml:space="preserve"> providing that when the defendant is under 18</w:t>
      </w:r>
      <w:r w:rsidR="0090173D">
        <w:rPr>
          <w:b/>
        </w:rPr>
        <w:t> years</w:t>
      </w:r>
      <w:r w:rsidRPr="004A7D2C">
        <w:rPr>
          <w:b/>
        </w:rPr>
        <w:t xml:space="preserve">, the matter </w:t>
      </w:r>
      <w:r w:rsidR="005F0536">
        <w:rPr>
          <w:b/>
        </w:rPr>
        <w:t xml:space="preserve">is to be heard in </w:t>
      </w:r>
      <w:r w:rsidR="0090173D">
        <w:rPr>
          <w:b/>
        </w:rPr>
        <w:t>a children’s court</w:t>
      </w:r>
      <w:r w:rsidRPr="004A7D2C">
        <w:rPr>
          <w:b/>
        </w:rPr>
        <w:t xml:space="preserve">.  </w:t>
      </w:r>
    </w:p>
    <w:p w14:paraId="35BF9A98" w14:textId="6BAB72FF" w:rsidR="00FA4FCF" w:rsidRPr="004A7D2C" w:rsidRDefault="000D6920" w:rsidP="0067521E">
      <w:pPr>
        <w:pStyle w:val="ListParagraph"/>
        <w:numPr>
          <w:ilvl w:val="0"/>
          <w:numId w:val="155"/>
        </w:numPr>
        <w:spacing w:after="0" w:line="259" w:lineRule="auto"/>
        <w:ind w:left="567" w:hanging="567"/>
        <w:rPr>
          <w:b/>
        </w:rPr>
      </w:pPr>
      <w:r w:rsidRPr="004A7D2C">
        <w:rPr>
          <w:rFonts w:cstheme="minorHAnsi"/>
          <w:b/>
        </w:rPr>
        <w:t>Amend the DFV</w:t>
      </w:r>
      <w:r w:rsidR="0090173D">
        <w:rPr>
          <w:rFonts w:cstheme="minorHAnsi"/>
          <w:b/>
        </w:rPr>
        <w:t> </w:t>
      </w:r>
      <w:r w:rsidRPr="004A7D2C">
        <w:rPr>
          <w:rFonts w:cstheme="minorHAnsi"/>
          <w:b/>
        </w:rPr>
        <w:t>A</w:t>
      </w:r>
      <w:r w:rsidR="0090173D">
        <w:rPr>
          <w:rFonts w:cstheme="minorHAnsi"/>
          <w:b/>
        </w:rPr>
        <w:t>ct</w:t>
      </w:r>
      <w:r w:rsidRPr="004A7D2C">
        <w:rPr>
          <w:rFonts w:cstheme="minorHAnsi"/>
          <w:b/>
        </w:rPr>
        <w:t xml:space="preserve"> to provide for explanations to be given to the parties about the order.</w:t>
      </w:r>
    </w:p>
    <w:p w14:paraId="7E27A9CB" w14:textId="406F73FC" w:rsidR="003A4C0D" w:rsidRPr="004A7D2C" w:rsidRDefault="003A4C0D" w:rsidP="0067521E">
      <w:pPr>
        <w:pStyle w:val="ListParagraph"/>
        <w:numPr>
          <w:ilvl w:val="0"/>
          <w:numId w:val="155"/>
        </w:numPr>
        <w:spacing w:after="0" w:line="259" w:lineRule="auto"/>
        <w:ind w:left="567" w:hanging="567"/>
        <w:rPr>
          <w:b/>
        </w:rPr>
      </w:pPr>
      <w:r w:rsidRPr="004A7D2C">
        <w:rPr>
          <w:b/>
        </w:rPr>
        <w:t xml:space="preserve">Section 90 requires an applicant for a DVO to inform the issuing authority of family law applications and orders, and a police officer considering making a DVO must make reasonable inquiries about the existence of such applications/orders.  It is proposed </w:t>
      </w:r>
      <w:r w:rsidR="00593E5D">
        <w:rPr>
          <w:b/>
        </w:rPr>
        <w:t>to add a similar provision</w:t>
      </w:r>
      <w:r w:rsidRPr="004A7D2C">
        <w:rPr>
          <w:b/>
        </w:rPr>
        <w:t xml:space="preserve"> for applications and orders under the </w:t>
      </w:r>
      <w:r w:rsidRPr="004A7D2C">
        <w:rPr>
          <w:b/>
          <w:i/>
        </w:rPr>
        <w:t>Care and Protection of Children Act 2007</w:t>
      </w:r>
      <w:r w:rsidR="003A6F6A" w:rsidRPr="004A7D2C">
        <w:rPr>
          <w:b/>
          <w:i/>
        </w:rPr>
        <w:t>.</w:t>
      </w:r>
    </w:p>
    <w:p w14:paraId="69EF4354" w14:textId="2422096B" w:rsidR="008F6163" w:rsidRPr="004A7D2C" w:rsidRDefault="003A6F6A" w:rsidP="0067521E">
      <w:pPr>
        <w:pStyle w:val="ListParagraph"/>
        <w:numPr>
          <w:ilvl w:val="0"/>
          <w:numId w:val="155"/>
        </w:numPr>
        <w:spacing w:after="0" w:line="259" w:lineRule="auto"/>
        <w:ind w:left="567" w:hanging="567"/>
        <w:rPr>
          <w:b/>
        </w:rPr>
      </w:pPr>
      <w:r w:rsidRPr="004A7D2C">
        <w:rPr>
          <w:b/>
        </w:rPr>
        <w:t>Review all references to the registrar in the DFV</w:t>
      </w:r>
      <w:r w:rsidR="0090173D">
        <w:rPr>
          <w:b/>
        </w:rPr>
        <w:t> </w:t>
      </w:r>
      <w:r w:rsidRPr="004A7D2C">
        <w:rPr>
          <w:b/>
        </w:rPr>
        <w:t>A</w:t>
      </w:r>
      <w:r w:rsidR="0090173D">
        <w:rPr>
          <w:b/>
        </w:rPr>
        <w:t>ct</w:t>
      </w:r>
      <w:r w:rsidRPr="004A7D2C">
        <w:rPr>
          <w:b/>
        </w:rPr>
        <w:t>.</w:t>
      </w:r>
    </w:p>
    <w:p w14:paraId="04EBCA3E" w14:textId="4D357CD0" w:rsidR="000A52AF" w:rsidRPr="004A7D2C" w:rsidRDefault="009D167E" w:rsidP="0067521E">
      <w:pPr>
        <w:pStyle w:val="ListParagraph"/>
        <w:numPr>
          <w:ilvl w:val="0"/>
          <w:numId w:val="155"/>
        </w:numPr>
        <w:spacing w:after="0" w:line="259" w:lineRule="auto"/>
        <w:ind w:left="567" w:hanging="567"/>
        <w:rPr>
          <w:b/>
        </w:rPr>
      </w:pPr>
      <w:r w:rsidRPr="004A7D2C">
        <w:rPr>
          <w:b/>
        </w:rPr>
        <w:t>C</w:t>
      </w:r>
      <w:r w:rsidR="000A52AF" w:rsidRPr="004A7D2C">
        <w:rPr>
          <w:b/>
        </w:rPr>
        <w:t>larify the terminology and remove inconsistencies in relation to references to children and young people in the DFV</w:t>
      </w:r>
      <w:r w:rsidR="0090173D">
        <w:rPr>
          <w:b/>
        </w:rPr>
        <w:t> </w:t>
      </w:r>
      <w:r w:rsidR="000A52AF" w:rsidRPr="004A7D2C">
        <w:rPr>
          <w:b/>
        </w:rPr>
        <w:t>A</w:t>
      </w:r>
      <w:r w:rsidR="0090173D">
        <w:rPr>
          <w:b/>
        </w:rPr>
        <w:t>ct</w:t>
      </w:r>
      <w:r w:rsidRPr="004A7D2C">
        <w:rPr>
          <w:b/>
        </w:rPr>
        <w:t>.</w:t>
      </w:r>
    </w:p>
    <w:p w14:paraId="3B647BC9" w14:textId="20BF27B4" w:rsidR="009D167E" w:rsidRPr="004A7D2C" w:rsidRDefault="009D167E" w:rsidP="0067521E">
      <w:pPr>
        <w:pStyle w:val="ListParagraph"/>
        <w:numPr>
          <w:ilvl w:val="0"/>
          <w:numId w:val="155"/>
        </w:numPr>
        <w:spacing w:after="0" w:line="259" w:lineRule="auto"/>
        <w:ind w:left="567" w:hanging="567"/>
        <w:rPr>
          <w:rFonts w:cstheme="minorHAnsi"/>
          <w:b/>
        </w:rPr>
      </w:pPr>
      <w:r w:rsidRPr="004A7D2C">
        <w:rPr>
          <w:rFonts w:cstheme="minorHAnsi"/>
          <w:b/>
        </w:rPr>
        <w:t xml:space="preserve">Amend section 106 to require the </w:t>
      </w:r>
      <w:r w:rsidR="0090173D" w:rsidRPr="004A7D2C">
        <w:rPr>
          <w:rFonts w:cstheme="minorHAnsi"/>
          <w:b/>
        </w:rPr>
        <w:t xml:space="preserve">court </w:t>
      </w:r>
      <w:r w:rsidRPr="004A7D2C">
        <w:rPr>
          <w:rFonts w:cstheme="minorHAnsi"/>
          <w:b/>
        </w:rPr>
        <w:t>to be closed if the defendant is under 18</w:t>
      </w:r>
      <w:r w:rsidR="0090173D">
        <w:rPr>
          <w:rFonts w:cstheme="minorHAnsi"/>
          <w:b/>
        </w:rPr>
        <w:t> years</w:t>
      </w:r>
      <w:r w:rsidRPr="004A7D2C">
        <w:rPr>
          <w:rFonts w:cstheme="minorHAnsi"/>
          <w:b/>
        </w:rPr>
        <w:t>.</w:t>
      </w:r>
    </w:p>
    <w:p w14:paraId="381DA853" w14:textId="60BC24B3" w:rsidR="002E5EBA" w:rsidRPr="00DD62ED" w:rsidRDefault="009D167E" w:rsidP="0067521E">
      <w:pPr>
        <w:pStyle w:val="ListParagraph"/>
        <w:numPr>
          <w:ilvl w:val="0"/>
          <w:numId w:val="155"/>
        </w:numPr>
        <w:spacing w:after="0" w:line="259" w:lineRule="auto"/>
        <w:ind w:left="567" w:hanging="567"/>
        <w:rPr>
          <w:rFonts w:cstheme="minorHAnsi"/>
          <w:b/>
        </w:rPr>
      </w:pPr>
      <w:r w:rsidRPr="004A7D2C">
        <w:rPr>
          <w:rFonts w:cstheme="minorHAnsi"/>
          <w:b/>
        </w:rPr>
        <w:t>Amend s</w:t>
      </w:r>
      <w:r w:rsidR="0090173D">
        <w:rPr>
          <w:rFonts w:cstheme="minorHAnsi"/>
          <w:b/>
        </w:rPr>
        <w:t>ections </w:t>
      </w:r>
      <w:r w:rsidRPr="004A7D2C">
        <w:rPr>
          <w:rFonts w:cstheme="minorHAnsi"/>
          <w:b/>
        </w:rPr>
        <w:t>107-109 so that it applies to ‘chi</w:t>
      </w:r>
      <w:r w:rsidR="001804B8">
        <w:rPr>
          <w:rFonts w:cstheme="minorHAnsi"/>
          <w:b/>
        </w:rPr>
        <w:t>ld</w:t>
      </w:r>
      <w:r w:rsidR="00DC3AB1">
        <w:rPr>
          <w:rFonts w:cstheme="minorHAnsi"/>
          <w:b/>
        </w:rPr>
        <w:t>’</w:t>
      </w:r>
      <w:r w:rsidR="001804B8">
        <w:rPr>
          <w:rFonts w:cstheme="minorHAnsi"/>
          <w:b/>
        </w:rPr>
        <w:t xml:space="preserve"> protected person.</w:t>
      </w:r>
    </w:p>
    <w:p w14:paraId="07C71BD8" w14:textId="77777777" w:rsidR="0090173D" w:rsidRDefault="0090173D">
      <w:pPr>
        <w:rPr>
          <w:rFonts w:asciiTheme="majorHAnsi" w:eastAsiaTheme="majorEastAsia" w:hAnsiTheme="majorHAnsi" w:cstheme="majorBidi"/>
          <w:bCs/>
          <w:iCs/>
          <w:color w:val="454347"/>
          <w:sz w:val="32"/>
          <w:szCs w:val="32"/>
          <w:lang w:eastAsia="en-AU"/>
        </w:rPr>
      </w:pPr>
      <w:r>
        <w:rPr>
          <w:lang w:eastAsia="en-AU"/>
        </w:rPr>
        <w:br w:type="page"/>
      </w:r>
    </w:p>
    <w:p w14:paraId="2A9D8A75" w14:textId="11BC81AA" w:rsidR="00FA4FCF" w:rsidRDefault="00FA4FCF" w:rsidP="0090173D">
      <w:pPr>
        <w:pStyle w:val="Heading2"/>
        <w:ind w:left="1134"/>
        <w:rPr>
          <w:lang w:eastAsia="en-AU"/>
        </w:rPr>
      </w:pPr>
      <w:bookmarkStart w:id="71" w:name="_Toc112051858"/>
      <w:r>
        <w:rPr>
          <w:lang w:eastAsia="en-AU"/>
        </w:rPr>
        <w:lastRenderedPageBreak/>
        <w:t xml:space="preserve">Proposed amendments to the </w:t>
      </w:r>
      <w:r w:rsidRPr="00631CC3">
        <w:rPr>
          <w:i/>
          <w:lang w:eastAsia="en-AU"/>
        </w:rPr>
        <w:t xml:space="preserve">Bail Act </w:t>
      </w:r>
      <w:r w:rsidR="00631CC3" w:rsidRPr="00631CC3">
        <w:rPr>
          <w:i/>
          <w:lang w:eastAsia="en-AU"/>
        </w:rPr>
        <w:t>1982</w:t>
      </w:r>
      <w:bookmarkEnd w:id="71"/>
    </w:p>
    <w:p w14:paraId="78D5785A" w14:textId="77777777" w:rsidR="00FA4FCF" w:rsidRDefault="00FA4FCF" w:rsidP="00025605">
      <w:pPr>
        <w:pStyle w:val="Heading3"/>
      </w:pPr>
      <w:bookmarkStart w:id="72" w:name="_Toc112051859"/>
      <w:r>
        <w:t>Requirement for bail decision makers to consider DFV</w:t>
      </w:r>
      <w:bookmarkEnd w:id="72"/>
    </w:p>
    <w:p w14:paraId="54705A4B" w14:textId="1ECC06E3" w:rsidR="00A65642" w:rsidRDefault="00FA4FCF" w:rsidP="00173C5D">
      <w:pPr>
        <w:rPr>
          <w:lang w:eastAsia="en-AU"/>
        </w:rPr>
      </w:pPr>
      <w:r w:rsidRPr="00173C5D">
        <w:rPr>
          <w:i/>
          <w:lang w:eastAsia="en-AU"/>
        </w:rPr>
        <w:t>The Bail Act</w:t>
      </w:r>
      <w:r w:rsidRPr="00173C5D">
        <w:rPr>
          <w:lang w:eastAsia="en-AU"/>
        </w:rPr>
        <w:t xml:space="preserve"> 1982</w:t>
      </w:r>
      <w:r w:rsidRPr="00386B4D">
        <w:rPr>
          <w:lang w:eastAsia="en-AU"/>
        </w:rPr>
        <w:t xml:space="preserve"> requires bail decision-makers </w:t>
      </w:r>
      <w:r>
        <w:rPr>
          <w:lang w:eastAsia="en-AU"/>
        </w:rPr>
        <w:t>to consider various matters when making a decision about whether to grant a person bail</w:t>
      </w:r>
      <w:r w:rsidR="0092606A">
        <w:rPr>
          <w:lang w:eastAsia="en-AU"/>
        </w:rPr>
        <w:t xml:space="preserve"> (see section 24)</w:t>
      </w:r>
      <w:r>
        <w:rPr>
          <w:lang w:eastAsia="en-AU"/>
        </w:rPr>
        <w:t xml:space="preserve">.  This includes </w:t>
      </w:r>
      <w:r w:rsidRPr="00386B4D">
        <w:rPr>
          <w:lang w:eastAsia="en-AU"/>
        </w:rPr>
        <w:t xml:space="preserve">the risk of interference with </w:t>
      </w:r>
      <w:r w:rsidR="0092606A">
        <w:rPr>
          <w:lang w:eastAsia="en-AU"/>
        </w:rPr>
        <w:t xml:space="preserve">evidence and witnesses, the risk of the accused committing an offence </w:t>
      </w:r>
      <w:r w:rsidRPr="00386B4D">
        <w:rPr>
          <w:lang w:eastAsia="en-AU"/>
        </w:rPr>
        <w:t>o</w:t>
      </w:r>
      <w:r>
        <w:rPr>
          <w:lang w:eastAsia="en-AU"/>
        </w:rPr>
        <w:t>r breach of the peace</w:t>
      </w:r>
      <w:r w:rsidR="0092606A">
        <w:rPr>
          <w:lang w:eastAsia="en-AU"/>
        </w:rPr>
        <w:t xml:space="preserve"> or </w:t>
      </w:r>
      <w:r w:rsidR="00DC4646">
        <w:rPr>
          <w:lang w:eastAsia="en-AU"/>
        </w:rPr>
        <w:t xml:space="preserve">breach of </w:t>
      </w:r>
      <w:r w:rsidR="0092606A">
        <w:rPr>
          <w:lang w:eastAsia="en-AU"/>
        </w:rPr>
        <w:t>bail</w:t>
      </w:r>
      <w:r>
        <w:rPr>
          <w:lang w:eastAsia="en-AU"/>
        </w:rPr>
        <w:t>, and risk</w:t>
      </w:r>
      <w:r w:rsidRPr="00386B4D">
        <w:rPr>
          <w:lang w:eastAsia="en-AU"/>
        </w:rPr>
        <w:t xml:space="preserve"> to safety and welfare</w:t>
      </w:r>
      <w:r w:rsidR="00A65642">
        <w:rPr>
          <w:lang w:eastAsia="en-AU"/>
        </w:rPr>
        <w:t xml:space="preserve"> of the </w:t>
      </w:r>
      <w:r w:rsidR="0092606A">
        <w:rPr>
          <w:lang w:eastAsia="en-AU"/>
        </w:rPr>
        <w:t xml:space="preserve">alleged </w:t>
      </w:r>
      <w:r w:rsidR="00A65642">
        <w:rPr>
          <w:lang w:eastAsia="en-AU"/>
        </w:rPr>
        <w:t xml:space="preserve">victim, close relatives of the </w:t>
      </w:r>
      <w:r w:rsidR="0092606A">
        <w:rPr>
          <w:lang w:eastAsia="en-AU"/>
        </w:rPr>
        <w:t xml:space="preserve">alleged </w:t>
      </w:r>
      <w:r w:rsidR="00A65642">
        <w:rPr>
          <w:lang w:eastAsia="en-AU"/>
        </w:rPr>
        <w:t>victim, the carer of a child victim, or any other person whose safety or welfare could in the circumstances of the case be at risk if the accused person were released on bail</w:t>
      </w:r>
      <w:r w:rsidRPr="00386B4D">
        <w:rPr>
          <w:lang w:eastAsia="en-AU"/>
        </w:rPr>
        <w:t xml:space="preserve">.  </w:t>
      </w:r>
    </w:p>
    <w:p w14:paraId="732B9E6E" w14:textId="0F4686B6" w:rsidR="00A65642" w:rsidRDefault="00A65642" w:rsidP="0090173D">
      <w:pPr>
        <w:spacing w:after="120"/>
        <w:rPr>
          <w:lang w:eastAsia="en-AU"/>
        </w:rPr>
      </w:pPr>
      <w:r>
        <w:rPr>
          <w:lang w:eastAsia="en-AU"/>
        </w:rPr>
        <w:t>Section 24(3) provides that:</w:t>
      </w:r>
    </w:p>
    <w:p w14:paraId="5DF14B96" w14:textId="570A67A8" w:rsidR="00A65642" w:rsidRPr="0090173D" w:rsidRDefault="00A65642" w:rsidP="0090173D">
      <w:pPr>
        <w:shd w:val="clear" w:color="auto" w:fill="FFFFFF"/>
        <w:spacing w:after="120"/>
        <w:ind w:left="567"/>
        <w:rPr>
          <w:rFonts w:asciiTheme="minorHAnsi" w:eastAsia="Times New Roman" w:hAnsiTheme="minorHAnsi" w:cs="Arial"/>
          <w:lang w:eastAsia="en-AU"/>
        </w:rPr>
      </w:pPr>
      <w:r w:rsidRPr="0090173D">
        <w:rPr>
          <w:rFonts w:asciiTheme="minorHAnsi" w:eastAsia="Times New Roman" w:hAnsiTheme="minorHAnsi" w:cs="Arial"/>
          <w:lang w:eastAsia="en-AU"/>
        </w:rPr>
        <w:t>In assessing risks to others that could result from the release of an accused person on bail, the authorised member or court must have regard to risks of the following kinds:</w:t>
      </w:r>
    </w:p>
    <w:p w14:paraId="3BB3A43D" w14:textId="2DF300DD" w:rsidR="00A65642" w:rsidRPr="0090173D" w:rsidRDefault="0090173D" w:rsidP="0090173D">
      <w:pPr>
        <w:shd w:val="clear" w:color="auto" w:fill="FFFFFF"/>
        <w:spacing w:after="120"/>
        <w:ind w:left="1134" w:hanging="567"/>
        <w:rPr>
          <w:rFonts w:asciiTheme="minorHAnsi" w:eastAsia="Times New Roman" w:hAnsiTheme="minorHAnsi" w:cs="Arial"/>
          <w:lang w:eastAsia="en-AU"/>
        </w:rPr>
      </w:pPr>
      <w:r>
        <w:rPr>
          <w:rFonts w:asciiTheme="minorHAnsi" w:eastAsia="Times New Roman" w:hAnsiTheme="minorHAnsi" w:cs="Arial"/>
          <w:lang w:eastAsia="en-AU"/>
        </w:rPr>
        <w:t>(a)</w:t>
      </w:r>
      <w:r>
        <w:rPr>
          <w:rFonts w:asciiTheme="minorHAnsi" w:eastAsia="Times New Roman" w:hAnsiTheme="minorHAnsi" w:cs="Arial"/>
          <w:lang w:eastAsia="en-AU"/>
        </w:rPr>
        <w:tab/>
      </w:r>
      <w:r w:rsidR="00A65642" w:rsidRPr="0090173D">
        <w:rPr>
          <w:rFonts w:asciiTheme="minorHAnsi" w:eastAsia="Times New Roman" w:hAnsiTheme="minorHAnsi" w:cs="Arial"/>
          <w:lang w:eastAsia="en-AU"/>
        </w:rPr>
        <w:t xml:space="preserve">a risk of violence or intimidation;  </w:t>
      </w:r>
    </w:p>
    <w:p w14:paraId="106DEC3B" w14:textId="0173D661" w:rsidR="00A65642" w:rsidRPr="0090173D" w:rsidRDefault="0090173D" w:rsidP="0090173D">
      <w:pPr>
        <w:shd w:val="clear" w:color="auto" w:fill="FFFFFF"/>
        <w:spacing w:after="120"/>
        <w:ind w:left="1134" w:hanging="567"/>
        <w:rPr>
          <w:rFonts w:asciiTheme="minorHAnsi" w:eastAsia="Times New Roman" w:hAnsiTheme="minorHAnsi" w:cs="Arial"/>
          <w:lang w:eastAsia="en-AU"/>
        </w:rPr>
      </w:pPr>
      <w:r>
        <w:rPr>
          <w:rFonts w:asciiTheme="minorHAnsi" w:eastAsia="Times New Roman" w:hAnsiTheme="minorHAnsi" w:cs="Arial"/>
          <w:lang w:eastAsia="en-AU"/>
        </w:rPr>
        <w:t>(b)</w:t>
      </w:r>
      <w:r>
        <w:rPr>
          <w:rFonts w:asciiTheme="minorHAnsi" w:eastAsia="Times New Roman" w:hAnsiTheme="minorHAnsi" w:cs="Arial"/>
          <w:lang w:eastAsia="en-AU"/>
        </w:rPr>
        <w:tab/>
      </w:r>
      <w:r w:rsidR="00A65642" w:rsidRPr="0090173D">
        <w:rPr>
          <w:rFonts w:asciiTheme="minorHAnsi" w:eastAsia="Times New Roman" w:hAnsiTheme="minorHAnsi" w:cs="Arial"/>
          <w:lang w:eastAsia="en-AU"/>
        </w:rPr>
        <w:t xml:space="preserve">a risk of property damage;  </w:t>
      </w:r>
    </w:p>
    <w:p w14:paraId="448DBB63" w14:textId="73E8A5BD" w:rsidR="00A65642" w:rsidRPr="0090173D" w:rsidRDefault="00A65642" w:rsidP="0090173D">
      <w:pPr>
        <w:shd w:val="clear" w:color="auto" w:fill="FFFFFF"/>
        <w:spacing w:after="120"/>
        <w:ind w:left="1134" w:hanging="567"/>
        <w:rPr>
          <w:rFonts w:asciiTheme="minorHAnsi" w:eastAsia="Times New Roman" w:hAnsiTheme="minorHAnsi" w:cs="Arial"/>
          <w:lang w:eastAsia="en-AU"/>
        </w:rPr>
      </w:pPr>
      <w:r w:rsidRPr="0090173D">
        <w:rPr>
          <w:rFonts w:asciiTheme="minorHAnsi" w:eastAsia="Times New Roman" w:hAnsiTheme="minorHAnsi" w:cs="Arial"/>
          <w:lang w:eastAsia="en-AU"/>
        </w:rPr>
        <w:t>(c)</w:t>
      </w:r>
      <w:r w:rsidR="0090173D">
        <w:rPr>
          <w:rFonts w:asciiTheme="minorHAnsi" w:eastAsia="Times New Roman" w:hAnsiTheme="minorHAnsi" w:cs="Arial"/>
          <w:lang w:eastAsia="en-AU"/>
        </w:rPr>
        <w:tab/>
      </w:r>
      <w:r w:rsidRPr="0090173D">
        <w:rPr>
          <w:rFonts w:asciiTheme="minorHAnsi" w:eastAsia="Times New Roman" w:hAnsiTheme="minorHAnsi" w:cs="Arial"/>
          <w:lang w:eastAsia="en-AU"/>
        </w:rPr>
        <w:t xml:space="preserve">a risk of harassment; </w:t>
      </w:r>
    </w:p>
    <w:p w14:paraId="1FAABB3A" w14:textId="1BB38397" w:rsidR="00A65642" w:rsidRPr="0090173D" w:rsidRDefault="00A65642" w:rsidP="0090173D">
      <w:pPr>
        <w:shd w:val="clear" w:color="auto" w:fill="FFFFFF"/>
        <w:ind w:left="1134" w:hanging="567"/>
        <w:rPr>
          <w:rFonts w:asciiTheme="minorHAnsi" w:eastAsia="Times New Roman" w:hAnsiTheme="minorHAnsi" w:cs="Arial"/>
          <w:lang w:eastAsia="en-AU"/>
        </w:rPr>
      </w:pPr>
      <w:r w:rsidRPr="0090173D">
        <w:rPr>
          <w:rFonts w:asciiTheme="minorHAnsi" w:eastAsia="Times New Roman" w:hAnsiTheme="minorHAnsi" w:cs="Arial"/>
          <w:lang w:eastAsia="en-AU"/>
        </w:rPr>
        <w:t>(</w:t>
      </w:r>
      <w:r w:rsidR="0090173D">
        <w:rPr>
          <w:rFonts w:asciiTheme="minorHAnsi" w:eastAsia="Times New Roman" w:hAnsiTheme="minorHAnsi" w:cs="Arial"/>
          <w:lang w:eastAsia="en-AU"/>
        </w:rPr>
        <w:t>d)</w:t>
      </w:r>
      <w:r w:rsidR="0090173D">
        <w:rPr>
          <w:rFonts w:asciiTheme="minorHAnsi" w:eastAsia="Times New Roman" w:hAnsiTheme="minorHAnsi" w:cs="Arial"/>
          <w:lang w:eastAsia="en-AU"/>
        </w:rPr>
        <w:tab/>
      </w:r>
      <w:r w:rsidRPr="0090173D">
        <w:rPr>
          <w:rFonts w:asciiTheme="minorHAnsi" w:eastAsia="Times New Roman" w:hAnsiTheme="minorHAnsi" w:cs="Arial"/>
          <w:lang w:eastAsia="en-AU"/>
        </w:rPr>
        <w:t>any other risk to safety or welfare</w:t>
      </w:r>
      <w:r w:rsidR="0090173D">
        <w:rPr>
          <w:rFonts w:asciiTheme="minorHAnsi" w:eastAsia="Times New Roman" w:hAnsiTheme="minorHAnsi" w:cs="Arial"/>
          <w:lang w:eastAsia="en-AU"/>
        </w:rPr>
        <w:t>.</w:t>
      </w:r>
    </w:p>
    <w:p w14:paraId="61D43F9C" w14:textId="5C659C19" w:rsidR="00FA4FCF" w:rsidRDefault="00F54033" w:rsidP="00FA4FCF">
      <w:pPr>
        <w:spacing w:line="276" w:lineRule="auto"/>
      </w:pPr>
      <w:r>
        <w:t>T</w:t>
      </w:r>
      <w:r w:rsidR="00FA4FCF" w:rsidRPr="00386B4D">
        <w:t xml:space="preserve">here is no explicit requirement to consider the risk of domestic violence if the accused is released on bail or to tailor bail </w:t>
      </w:r>
      <w:r>
        <w:t>conditions</w:t>
      </w:r>
      <w:r w:rsidR="00FA4FCF" w:rsidRPr="00386B4D">
        <w:t xml:space="preserve"> or make </w:t>
      </w:r>
      <w:r w:rsidR="00FA4FCF">
        <w:t xml:space="preserve">a </w:t>
      </w:r>
      <w:r w:rsidR="00FA4FCF" w:rsidRPr="00386B4D">
        <w:t>DVO to mitigate that risk.</w:t>
      </w:r>
      <w:r>
        <w:t xml:space="preserve">  </w:t>
      </w:r>
      <w:r w:rsidR="00FA4FCF">
        <w:t>Domestic violence services report that the risk of</w:t>
      </w:r>
      <w:r w:rsidR="0017582C">
        <w:t xml:space="preserve"> DFV is oftentimes </w:t>
      </w:r>
      <w:r w:rsidR="00FA4FCF">
        <w:t>not given sufficient weight by bail decisi</w:t>
      </w:r>
      <w:r w:rsidR="00A65642">
        <w:t>on-m</w:t>
      </w:r>
      <w:r w:rsidR="0017582C">
        <w:t>akers, notwithstanding the</w:t>
      </w:r>
      <w:r w:rsidR="00DC4646">
        <w:t xml:space="preserve"> </w:t>
      </w:r>
      <w:r w:rsidR="00A65642">
        <w:t>requirements</w:t>
      </w:r>
      <w:r w:rsidR="00DC4646">
        <w:t xml:space="preserve"> to assess risk set out in section 24</w:t>
      </w:r>
      <w:r w:rsidR="00FA4FCF">
        <w:t>.</w:t>
      </w:r>
    </w:p>
    <w:p w14:paraId="3D81E140" w14:textId="10DA1523" w:rsidR="00A65642" w:rsidRDefault="00DC3AB1" w:rsidP="00FA4FCF">
      <w:pPr>
        <w:spacing w:line="276" w:lineRule="auto"/>
      </w:pPr>
      <w:r>
        <w:t xml:space="preserve">The </w:t>
      </w:r>
      <w:r w:rsidR="00A65642" w:rsidRPr="00386B4D">
        <w:t>safety</w:t>
      </w:r>
      <w:r w:rsidR="00A65642">
        <w:t xml:space="preserve"> </w:t>
      </w:r>
      <w:r>
        <w:t>of alleged victim-survivor of DFV may be improved</w:t>
      </w:r>
      <w:r w:rsidR="000528DE">
        <w:t xml:space="preserve"> </w:t>
      </w:r>
      <w:r w:rsidR="00A65642">
        <w:t>by requiring bail decision makers t</w:t>
      </w:r>
      <w:r w:rsidR="0092606A">
        <w:t>o consider the risk of DFV</w:t>
      </w:r>
      <w:r w:rsidR="00A65642" w:rsidRPr="00386B4D">
        <w:t xml:space="preserve">.  </w:t>
      </w:r>
      <w:r w:rsidR="00A65642">
        <w:t>This gives legislative expression to the right in the NT Charter of Victims’ Rights that victims are entitled to have their personal protection and welfare considered by the police and courts when deciding applications for bail</w:t>
      </w:r>
      <w:r w:rsidR="0017582C">
        <w:t>.</w:t>
      </w:r>
    </w:p>
    <w:p w14:paraId="2699309F" w14:textId="7019F3C9" w:rsidR="00807B99" w:rsidRDefault="00CA0C57" w:rsidP="00BD729A">
      <w:pPr>
        <w:pStyle w:val="Heading4"/>
        <w:keepNext/>
        <w:numPr>
          <w:ilvl w:val="0"/>
          <w:numId w:val="0"/>
        </w:numPr>
        <w:spacing w:after="0" w:line="259" w:lineRule="auto"/>
        <w:ind w:left="864" w:hanging="864"/>
      </w:pPr>
      <w:r>
        <w:t>PROPOSAL LR 43</w:t>
      </w:r>
    </w:p>
    <w:p w14:paraId="5DEAFB48" w14:textId="3A899D00" w:rsidR="00FA4FCF" w:rsidRPr="00CA0C57" w:rsidRDefault="00FA4FCF" w:rsidP="00BD729A">
      <w:pPr>
        <w:keepNext/>
        <w:spacing w:after="0" w:line="259" w:lineRule="auto"/>
        <w:rPr>
          <w:b/>
        </w:rPr>
      </w:pPr>
      <w:r w:rsidRPr="00CA0C57">
        <w:rPr>
          <w:b/>
        </w:rPr>
        <w:t xml:space="preserve">It is proposed to amend the </w:t>
      </w:r>
      <w:r w:rsidRPr="00CA0C57">
        <w:rPr>
          <w:b/>
          <w:i/>
        </w:rPr>
        <w:t>Bail Act 1982</w:t>
      </w:r>
      <w:r w:rsidRPr="00CA0C57">
        <w:rPr>
          <w:b/>
        </w:rPr>
        <w:t xml:space="preserve"> </w:t>
      </w:r>
      <w:r w:rsidR="00CA0C57" w:rsidRPr="00CA0C57">
        <w:rPr>
          <w:b/>
        </w:rPr>
        <w:t xml:space="preserve">along the lines of section 5AAAA of the </w:t>
      </w:r>
      <w:r w:rsidR="00CA0C57" w:rsidRPr="00CA0C57">
        <w:rPr>
          <w:b/>
          <w:i/>
        </w:rPr>
        <w:t>Bail Act 1997</w:t>
      </w:r>
      <w:r w:rsidR="00CA0C57">
        <w:rPr>
          <w:b/>
        </w:rPr>
        <w:t xml:space="preserve"> (Vic) </w:t>
      </w:r>
      <w:r w:rsidRPr="00CA0C57">
        <w:rPr>
          <w:b/>
        </w:rPr>
        <w:t>to explicitly require bail decision makers to:</w:t>
      </w:r>
    </w:p>
    <w:p w14:paraId="1AB6E9DA" w14:textId="6729FEA1" w:rsidR="00FA4FCF" w:rsidRPr="00CA0C57" w:rsidRDefault="00FA4FCF" w:rsidP="00BD729A">
      <w:pPr>
        <w:pStyle w:val="ListParagraph"/>
        <w:numPr>
          <w:ilvl w:val="0"/>
          <w:numId w:val="13"/>
        </w:numPr>
        <w:spacing w:after="0" w:line="259" w:lineRule="auto"/>
        <w:ind w:left="567" w:hanging="567"/>
        <w:rPr>
          <w:b/>
        </w:rPr>
      </w:pPr>
      <w:r w:rsidRPr="00CA0C57">
        <w:rPr>
          <w:b/>
        </w:rPr>
        <w:t xml:space="preserve">make inquiries of the prosecutor about </w:t>
      </w:r>
      <w:r w:rsidR="00BD729A">
        <w:rPr>
          <w:b/>
        </w:rPr>
        <w:t>whether there is a DVO in force;</w:t>
      </w:r>
    </w:p>
    <w:p w14:paraId="76360ADC" w14:textId="39389355" w:rsidR="00C0250A" w:rsidRPr="00CA0C57" w:rsidRDefault="00FA4FCF" w:rsidP="00BD729A">
      <w:pPr>
        <w:pStyle w:val="ListParagraph"/>
        <w:numPr>
          <w:ilvl w:val="0"/>
          <w:numId w:val="13"/>
        </w:numPr>
        <w:spacing w:after="0" w:line="259" w:lineRule="auto"/>
        <w:ind w:left="567" w:hanging="567"/>
        <w:rPr>
          <w:b/>
        </w:rPr>
      </w:pPr>
      <w:r w:rsidRPr="00CA0C57">
        <w:rPr>
          <w:b/>
        </w:rPr>
        <w:t xml:space="preserve">consider the risk that if the accused is released on bail he/she would commit domestic violence and to consider whether there is a need to mitigate the risk through the making of a bail condition or </w:t>
      </w:r>
      <w:r w:rsidR="00C0250A" w:rsidRPr="00CA0C57">
        <w:rPr>
          <w:b/>
        </w:rPr>
        <w:t xml:space="preserve">a </w:t>
      </w:r>
      <w:r w:rsidRPr="00CA0C57">
        <w:rPr>
          <w:b/>
        </w:rPr>
        <w:t>DVO</w:t>
      </w:r>
      <w:r w:rsidR="00C0250A" w:rsidRPr="00CA0C57">
        <w:rPr>
          <w:b/>
        </w:rPr>
        <w:t xml:space="preserve"> under the DFV</w:t>
      </w:r>
      <w:r w:rsidR="00BD729A">
        <w:rPr>
          <w:b/>
        </w:rPr>
        <w:t> </w:t>
      </w:r>
      <w:r w:rsidR="00C0250A" w:rsidRPr="00CA0C57">
        <w:rPr>
          <w:b/>
        </w:rPr>
        <w:t>A</w:t>
      </w:r>
      <w:r w:rsidR="00BD729A">
        <w:rPr>
          <w:b/>
        </w:rPr>
        <w:t>ct;</w:t>
      </w:r>
    </w:p>
    <w:p w14:paraId="540E8E6C" w14:textId="5F3D8905" w:rsidR="00CA0C57" w:rsidRPr="00CA0C57" w:rsidRDefault="00B94358" w:rsidP="00BD729A">
      <w:pPr>
        <w:pStyle w:val="ListParagraph"/>
        <w:numPr>
          <w:ilvl w:val="0"/>
          <w:numId w:val="13"/>
        </w:numPr>
        <w:spacing w:line="259" w:lineRule="auto"/>
        <w:ind w:left="567" w:hanging="567"/>
        <w:rPr>
          <w:b/>
        </w:rPr>
      </w:pPr>
      <w:r w:rsidRPr="00CA0C57">
        <w:rPr>
          <w:b/>
        </w:rPr>
        <w:t>ensure that any bail conditions or conditions of a DVO are not inconsistent.</w:t>
      </w:r>
      <w:r w:rsidR="00FA4FCF" w:rsidRPr="00CA0C57">
        <w:rPr>
          <w:b/>
        </w:rPr>
        <w:t xml:space="preserve">  </w:t>
      </w:r>
    </w:p>
    <w:p w14:paraId="2407B564" w14:textId="6D8E7856" w:rsidR="00807B99" w:rsidRDefault="00807B99" w:rsidP="00807B99">
      <w:pPr>
        <w:pStyle w:val="Heading3"/>
      </w:pPr>
      <w:bookmarkStart w:id="73" w:name="_Toc112051860"/>
      <w:r>
        <w:t>Allow adjournment to enable the prosecutor to obtain the victim’s view</w:t>
      </w:r>
      <w:bookmarkEnd w:id="73"/>
    </w:p>
    <w:p w14:paraId="56C68D5A" w14:textId="34A59A5F" w:rsidR="00807B99" w:rsidRDefault="00CE6B18" w:rsidP="00FA4FCF">
      <w:pPr>
        <w:spacing w:line="276" w:lineRule="auto"/>
      </w:pPr>
      <w:r>
        <w:t xml:space="preserve">Section 24(4) of the </w:t>
      </w:r>
      <w:r w:rsidRPr="001563F3">
        <w:rPr>
          <w:i/>
        </w:rPr>
        <w:t>Bail Act 1982</w:t>
      </w:r>
      <w:r w:rsidRPr="00173C5D">
        <w:t xml:space="preserve"> </w:t>
      </w:r>
      <w:r w:rsidRPr="00CE6B18">
        <w:t>provides</w:t>
      </w:r>
      <w:r>
        <w:t xml:space="preserve"> that if the alleged victim of an offence is a child, or the alleged offence is a serious sexual offence or a serious violence offence, the safety and welfare of the alleged victim must be considered with particular care.</w:t>
      </w:r>
    </w:p>
    <w:p w14:paraId="1A298F3D" w14:textId="76C8E307" w:rsidR="00CE6B18" w:rsidRDefault="00CE6B18" w:rsidP="00FA4FCF">
      <w:pPr>
        <w:spacing w:line="276" w:lineRule="auto"/>
      </w:pPr>
      <w:r>
        <w:t>Section 24(6) provides that if an alleged victim expressed concern to the prosecutor that the release of the accused person on bail could lead to a risk to the alleged victim’s safety or welfare, the prosecutor must, wherever practicable, inform the authorised member or court about that concern and the reasons for it.</w:t>
      </w:r>
    </w:p>
    <w:p w14:paraId="1A8BBCE1" w14:textId="34C87F0C" w:rsidR="00807B99" w:rsidRDefault="00CE6B18" w:rsidP="00CA0C57">
      <w:pPr>
        <w:spacing w:line="276" w:lineRule="auto"/>
      </w:pPr>
      <w:r>
        <w:lastRenderedPageBreak/>
        <w:t xml:space="preserve">However, </w:t>
      </w:r>
      <w:r w:rsidR="000528DE">
        <w:t xml:space="preserve">bail applications are often listed with short notice. </w:t>
      </w:r>
      <w:r w:rsidR="00BD729A">
        <w:t xml:space="preserve"> </w:t>
      </w:r>
      <w:r w:rsidR="000528DE">
        <w:t>S</w:t>
      </w:r>
      <w:r>
        <w:t xml:space="preserve">ometimes the prosecutor </w:t>
      </w:r>
      <w:r w:rsidR="00631CC3">
        <w:t>has</w:t>
      </w:r>
      <w:r w:rsidR="00BD729A">
        <w:t xml:space="preserve"> </w:t>
      </w:r>
      <w:r w:rsidR="00631CC3">
        <w:t>n</w:t>
      </w:r>
      <w:r w:rsidR="00BD729A">
        <w:t>o</w:t>
      </w:r>
      <w:r w:rsidR="00631CC3">
        <w:t xml:space="preserve">t had prior notice of the bail hearing and </w:t>
      </w:r>
      <w:r>
        <w:t xml:space="preserve">does not know the </w:t>
      </w:r>
      <w:r w:rsidR="00C0250A">
        <w:t xml:space="preserve">alleged victim’s views.  It can be especially important to know the victim’s views in DFV and sexual </w:t>
      </w:r>
      <w:r w:rsidR="00E3055C">
        <w:t>offence matters.  The National Risk Assessment Principles for DFV state that ‘A (victim</w:t>
      </w:r>
      <w:r w:rsidR="00C0250A">
        <w:t>)</w:t>
      </w:r>
      <w:r w:rsidR="00E3055C">
        <w:t xml:space="preserve"> </w:t>
      </w:r>
      <w:r w:rsidR="00C0250A">
        <w:t>survivor’s knowledge of their own risk is central to any risk assessment’ (</w:t>
      </w:r>
      <w:r w:rsidR="00BD729A">
        <w:t xml:space="preserve">principle </w:t>
      </w:r>
      <w:r w:rsidR="00C0250A">
        <w:t>3).</w:t>
      </w:r>
      <w:r w:rsidR="00C0250A" w:rsidRPr="007E2D55">
        <w:rPr>
          <w:vertAlign w:val="superscript"/>
        </w:rPr>
        <w:footnoteReference w:id="185"/>
      </w:r>
      <w:r w:rsidR="00C0250A" w:rsidRPr="007E2D55">
        <w:rPr>
          <w:sz w:val="18"/>
          <w:szCs w:val="18"/>
          <w:vertAlign w:val="superscript"/>
        </w:rPr>
        <w:t xml:space="preserve"> </w:t>
      </w:r>
      <w:r w:rsidR="00BD729A">
        <w:rPr>
          <w:sz w:val="18"/>
          <w:szCs w:val="18"/>
          <w:vertAlign w:val="superscript"/>
        </w:rPr>
        <w:t xml:space="preserve">  </w:t>
      </w:r>
      <w:r w:rsidR="00C0250A">
        <w:t xml:space="preserve">Stakeholders have suggested that the </w:t>
      </w:r>
      <w:r w:rsidR="00C0250A" w:rsidRPr="001563F3">
        <w:rPr>
          <w:i/>
        </w:rPr>
        <w:t xml:space="preserve">Bail Act </w:t>
      </w:r>
      <w:r w:rsidR="00C0250A" w:rsidRPr="00173C5D">
        <w:t>1982</w:t>
      </w:r>
      <w:r w:rsidR="00C0250A">
        <w:t xml:space="preserve"> should allow an adjournment if necessary for the prosecutor to seek the </w:t>
      </w:r>
      <w:r w:rsidR="00E3055C">
        <w:t>alleged victim</w:t>
      </w:r>
      <w:r w:rsidR="00C0250A">
        <w:t xml:space="preserve">’s view so it can be provided to the </w:t>
      </w:r>
      <w:r w:rsidR="00BD729A">
        <w:t>court</w:t>
      </w:r>
      <w:r w:rsidR="00C0250A">
        <w:t>.</w:t>
      </w:r>
    </w:p>
    <w:p w14:paraId="797F0A73" w14:textId="5FDC8C62" w:rsidR="00CA0C57" w:rsidRPr="00BD729A" w:rsidRDefault="00CA0C57" w:rsidP="00BD729A">
      <w:pPr>
        <w:pStyle w:val="Heading4"/>
        <w:keepNext/>
        <w:numPr>
          <w:ilvl w:val="0"/>
          <w:numId w:val="0"/>
        </w:numPr>
        <w:spacing w:after="0" w:line="259" w:lineRule="auto"/>
        <w:ind w:left="864" w:hanging="864"/>
      </w:pPr>
      <w:r w:rsidRPr="00BD729A">
        <w:t>PROPOSAL LR 44</w:t>
      </w:r>
    </w:p>
    <w:p w14:paraId="309ED18C" w14:textId="72AF74A8" w:rsidR="00212E69" w:rsidRPr="00CA0C57" w:rsidRDefault="00807B99" w:rsidP="00BD729A">
      <w:pPr>
        <w:spacing w:after="0" w:line="259" w:lineRule="auto"/>
        <w:rPr>
          <w:b/>
        </w:rPr>
      </w:pPr>
      <w:r w:rsidRPr="00CA0C57">
        <w:rPr>
          <w:b/>
        </w:rPr>
        <w:t xml:space="preserve">It is proposed to amend the </w:t>
      </w:r>
      <w:r w:rsidRPr="00CA0C57">
        <w:rPr>
          <w:b/>
          <w:i/>
        </w:rPr>
        <w:t>Bail Act 1982</w:t>
      </w:r>
      <w:r w:rsidRPr="00CA0C57">
        <w:rPr>
          <w:b/>
        </w:rPr>
        <w:t xml:space="preserve"> </w:t>
      </w:r>
      <w:r w:rsidR="002031C0" w:rsidRPr="00CA0C57">
        <w:rPr>
          <w:b/>
        </w:rPr>
        <w:t>so that in cases of DFV or sexual offences</w:t>
      </w:r>
      <w:r w:rsidR="00212E69" w:rsidRPr="00CA0C57">
        <w:rPr>
          <w:b/>
        </w:rPr>
        <w:t>:</w:t>
      </w:r>
    </w:p>
    <w:p w14:paraId="7DD9D076" w14:textId="3B497686" w:rsidR="00807B99" w:rsidRPr="00CA0C57" w:rsidRDefault="00807B99" w:rsidP="0067521E">
      <w:pPr>
        <w:pStyle w:val="ListParagraph"/>
        <w:numPr>
          <w:ilvl w:val="0"/>
          <w:numId w:val="156"/>
        </w:numPr>
        <w:spacing w:after="0" w:line="259" w:lineRule="auto"/>
        <w:ind w:left="567" w:hanging="567"/>
        <w:rPr>
          <w:b/>
        </w:rPr>
      </w:pPr>
      <w:r w:rsidRPr="00CA0C57">
        <w:rPr>
          <w:b/>
        </w:rPr>
        <w:t xml:space="preserve">the </w:t>
      </w:r>
      <w:r w:rsidR="00BD729A" w:rsidRPr="00CA0C57">
        <w:rPr>
          <w:b/>
        </w:rPr>
        <w:t xml:space="preserve">court </w:t>
      </w:r>
      <w:r w:rsidR="002031C0" w:rsidRPr="00CA0C57">
        <w:rPr>
          <w:b/>
        </w:rPr>
        <w:t>may</w:t>
      </w:r>
      <w:r w:rsidRPr="00CA0C57">
        <w:rPr>
          <w:b/>
        </w:rPr>
        <w:t xml:space="preserve"> adjourn the matter to enable the </w:t>
      </w:r>
      <w:r w:rsidR="002031C0" w:rsidRPr="00CA0C57">
        <w:rPr>
          <w:b/>
        </w:rPr>
        <w:t>prosecutor</w:t>
      </w:r>
      <w:r w:rsidRPr="00CA0C57">
        <w:rPr>
          <w:b/>
        </w:rPr>
        <w:t xml:space="preserve"> to obtain the alleged victim’s view about whether the release of the accused person on bail could lead to a risk to the alleged victim’s </w:t>
      </w:r>
      <w:r w:rsidR="00E3055C" w:rsidRPr="00CA0C57">
        <w:rPr>
          <w:b/>
        </w:rPr>
        <w:t>safety or welfare, and</w:t>
      </w:r>
    </w:p>
    <w:p w14:paraId="0A0F4C7A" w14:textId="4E34A4A3" w:rsidR="00212E69" w:rsidRPr="00386B4D" w:rsidRDefault="00212E69" w:rsidP="0067521E">
      <w:pPr>
        <w:pStyle w:val="ListParagraph"/>
        <w:numPr>
          <w:ilvl w:val="0"/>
          <w:numId w:val="156"/>
        </w:numPr>
        <w:spacing w:line="259" w:lineRule="auto"/>
        <w:ind w:left="567" w:hanging="567"/>
      </w:pPr>
      <w:r w:rsidRPr="00CA0C57">
        <w:rPr>
          <w:b/>
        </w:rPr>
        <w:t>provide that, if the prosecutor has</w:t>
      </w:r>
      <w:r w:rsidR="00BD729A">
        <w:rPr>
          <w:b/>
        </w:rPr>
        <w:t xml:space="preserve"> no</w:t>
      </w:r>
      <w:r w:rsidRPr="00CA0C57">
        <w:rPr>
          <w:b/>
        </w:rPr>
        <w:t xml:space="preserve">t had prior notice of the bail application, the </w:t>
      </w:r>
      <w:r w:rsidR="00BD729A" w:rsidRPr="00CA0C57">
        <w:rPr>
          <w:b/>
        </w:rPr>
        <w:t xml:space="preserve">court </w:t>
      </w:r>
      <w:r w:rsidRPr="00CA0C57">
        <w:rPr>
          <w:b/>
        </w:rPr>
        <w:t xml:space="preserve">must adjourn the matter </w:t>
      </w:r>
      <w:r w:rsidR="00E3055C" w:rsidRPr="00CA0C57">
        <w:rPr>
          <w:b/>
        </w:rPr>
        <w:t xml:space="preserve">if requested by the prosecutor </w:t>
      </w:r>
      <w:r w:rsidRPr="00CA0C57">
        <w:rPr>
          <w:b/>
        </w:rPr>
        <w:t xml:space="preserve">to enable the prosecutor to seek the </w:t>
      </w:r>
      <w:r w:rsidR="007E2D55">
        <w:rPr>
          <w:b/>
        </w:rPr>
        <w:t xml:space="preserve">alleged </w:t>
      </w:r>
      <w:r w:rsidRPr="00CA0C57">
        <w:rPr>
          <w:b/>
        </w:rPr>
        <w:t>victim’s view.</w:t>
      </w:r>
      <w:r>
        <w:t xml:space="preserve"> </w:t>
      </w:r>
    </w:p>
    <w:p w14:paraId="281F3F12" w14:textId="77767376" w:rsidR="00FA4FCF" w:rsidRDefault="00FA4FCF" w:rsidP="00025605">
      <w:pPr>
        <w:pStyle w:val="Heading3"/>
      </w:pPr>
      <w:bookmarkStart w:id="74" w:name="_Toc112051861"/>
      <w:r>
        <w:t xml:space="preserve">DFV complainants </w:t>
      </w:r>
      <w:r w:rsidR="00E67F0B">
        <w:t xml:space="preserve">to be notified </w:t>
      </w:r>
      <w:r>
        <w:t>of bail decisions and conditions</w:t>
      </w:r>
      <w:bookmarkEnd w:id="74"/>
      <w:r>
        <w:t xml:space="preserve"> </w:t>
      </w:r>
    </w:p>
    <w:p w14:paraId="51C36749" w14:textId="1C1636BB" w:rsidR="00FA4FCF" w:rsidRDefault="00FA4FCF" w:rsidP="005C2960">
      <w:pPr>
        <w:spacing w:line="276" w:lineRule="auto"/>
      </w:pPr>
      <w:r>
        <w:t>The NT Charter of Victims’ Rights 2019</w:t>
      </w:r>
      <w:r w:rsidR="007E2D55">
        <w:t xml:space="preserve"> </w:t>
      </w:r>
      <w:r w:rsidR="001546F6" w:rsidRPr="007E2D55">
        <w:rPr>
          <w:vertAlign w:val="superscript"/>
        </w:rPr>
        <w:footnoteReference w:id="186"/>
      </w:r>
      <w:r>
        <w:t xml:space="preserve"> outlines the rights of victims of crime in the NT, including the right for victims to receive information in a timely manner about the prosecution of the accused person</w:t>
      </w:r>
      <w:r w:rsidR="005C2960">
        <w:t xml:space="preserve">. </w:t>
      </w:r>
      <w:r w:rsidR="00BD729A">
        <w:t xml:space="preserve"> </w:t>
      </w:r>
      <w:r w:rsidR="005C2960">
        <w:t xml:space="preserve">This includes the outcome of any application for bail by the accused, and any bail </w:t>
      </w:r>
      <w:r>
        <w:t>conditions</w:t>
      </w:r>
      <w:r w:rsidR="005C2960">
        <w:t xml:space="preserve"> imposed to protect the victim and their family members from the accused</w:t>
      </w:r>
      <w:r>
        <w:t xml:space="preserve">. </w:t>
      </w:r>
    </w:p>
    <w:p w14:paraId="505E3BE0" w14:textId="00297657" w:rsidR="00FA4FCF" w:rsidRDefault="00A86656" w:rsidP="00FA4FCF">
      <w:pPr>
        <w:spacing w:line="276" w:lineRule="auto"/>
      </w:pPr>
      <w:r>
        <w:t xml:space="preserve">However, DFV </w:t>
      </w:r>
      <w:r w:rsidR="00FA4FCF">
        <w:t>services report that complainants in DFV matters often are</w:t>
      </w:r>
      <w:r w:rsidR="00BD729A">
        <w:t xml:space="preserve"> </w:t>
      </w:r>
      <w:r w:rsidR="00FA4FCF">
        <w:t>n</w:t>
      </w:r>
      <w:r w:rsidR="00BD729A">
        <w:t>o</w:t>
      </w:r>
      <w:r w:rsidR="00FA4FCF">
        <w:t>t informed about whether or not bail has been granted to an accused and the nature of any bail conditions that might be relevant to their safety.</w:t>
      </w:r>
    </w:p>
    <w:p w14:paraId="4A2BF0D8" w14:textId="62300743" w:rsidR="00FA4FCF" w:rsidRDefault="00FA4FCF" w:rsidP="00FA4FCF">
      <w:pPr>
        <w:spacing w:line="276" w:lineRule="auto"/>
      </w:pPr>
      <w:r>
        <w:t>The Guidelines of the Director of Public Prosecutions (DPP) provide a clear in</w:t>
      </w:r>
      <w:r w:rsidR="00BD729A">
        <w:t>dication at paragraph </w:t>
      </w:r>
      <w:r>
        <w:t xml:space="preserve">11.6 that victims of crime should be informed in a timely manner about whether or not bail has been granted and any bail conditions relating to protecting witnesses from the offender.  This is easier to implement in Supreme Court matters where the DPP’s Witness Assistance Service is involved.  It is more challenging in Local Court matters where there are a high volume of prosecutions occurring </w:t>
      </w:r>
      <w:r w:rsidR="007E2D55">
        <w:t>largely</w:t>
      </w:r>
      <w:r>
        <w:t xml:space="preserve"> without the assistance of the Witness Assistance Service.</w:t>
      </w:r>
    </w:p>
    <w:p w14:paraId="12C35A99" w14:textId="021C90AA" w:rsidR="00FA4FCF" w:rsidRDefault="00FA4FCF" w:rsidP="00FA4FCF">
      <w:pPr>
        <w:spacing w:line="276" w:lineRule="auto"/>
      </w:pPr>
      <w:r>
        <w:t xml:space="preserve">The Victims’ Register is a database that enables the Crime Victims Services Unit to provide registered victims and concerned persons with certain information about offenders, including the outcome for any application for bail by the accused and the any bail conditions </w:t>
      </w:r>
      <w:r w:rsidR="00256930">
        <w:t xml:space="preserve">to protect the victim </w:t>
      </w:r>
      <w:r>
        <w:t>from the accused.  However, it only applies to victims registered under the scheme and many victims do not register.</w:t>
      </w:r>
    </w:p>
    <w:p w14:paraId="6B776809" w14:textId="53F41A43" w:rsidR="00FA4FCF" w:rsidRDefault="00447219" w:rsidP="00BD729A">
      <w:pPr>
        <w:keepLines/>
        <w:spacing w:line="276" w:lineRule="auto"/>
      </w:pPr>
      <w:r>
        <w:lastRenderedPageBreak/>
        <w:t>In the Australian Capital Territory</w:t>
      </w:r>
      <w:r w:rsidR="00BD729A">
        <w:t>,</w:t>
      </w:r>
      <w:r>
        <w:t xml:space="preserve"> </w:t>
      </w:r>
      <w:r w:rsidR="00FA4FCF">
        <w:t xml:space="preserve">section 16 of the </w:t>
      </w:r>
      <w:r w:rsidR="00FA4FCF" w:rsidRPr="00BD729A">
        <w:rPr>
          <w:i/>
        </w:rPr>
        <w:t>Bail Act 1992</w:t>
      </w:r>
      <w:r w:rsidR="00FA4FCF">
        <w:t xml:space="preserve"> (ACT) requires bail decision makers in family violence matters to take reasonable ste</w:t>
      </w:r>
      <w:r w:rsidR="0019398C">
        <w:t>ps to tell each complainant</w:t>
      </w:r>
      <w:r w:rsidR="00FA4FCF">
        <w:t>, as soon as practicable, about the decision to grant or refu</w:t>
      </w:r>
      <w:r w:rsidR="007E4CB4">
        <w:t xml:space="preserve">se bail and any bail conditions.  This operates irrespective of registration under </w:t>
      </w:r>
      <w:r w:rsidR="00084FD9">
        <w:t xml:space="preserve">a Victims’ Register or similar </w:t>
      </w:r>
      <w:r w:rsidR="007E4CB4">
        <w:t>scheme.</w:t>
      </w:r>
    </w:p>
    <w:p w14:paraId="7EF44DD5" w14:textId="3E1CC989" w:rsidR="001546F6" w:rsidRDefault="001546F6" w:rsidP="00FA4FCF">
      <w:pPr>
        <w:spacing w:line="276" w:lineRule="auto"/>
      </w:pPr>
      <w:r>
        <w:t xml:space="preserve">Although it can be difficult for police to make contact with </w:t>
      </w:r>
      <w:r w:rsidR="00E1093A">
        <w:t xml:space="preserve">alleged </w:t>
      </w:r>
      <w:r>
        <w:t>victim-survivors in some circumstances, it is important that th</w:t>
      </w:r>
      <w:r w:rsidR="00084FD9">
        <w:t xml:space="preserve">ey have an obligation </w:t>
      </w:r>
      <w:r w:rsidR="007E2D55">
        <w:t xml:space="preserve">to </w:t>
      </w:r>
      <w:r w:rsidR="00E1093A">
        <w:t xml:space="preserve">try </w:t>
      </w:r>
      <w:r w:rsidR="00084FD9">
        <w:t>to inform</w:t>
      </w:r>
      <w:r>
        <w:t xml:space="preserve"> victim</w:t>
      </w:r>
      <w:r w:rsidR="00E1093A">
        <w:t xml:space="preserve">-survivors </w:t>
      </w:r>
      <w:r>
        <w:t>about relevant bail considerations</w:t>
      </w:r>
      <w:r w:rsidR="00E1093A">
        <w:t xml:space="preserve"> as it can significantly impact on their safety</w:t>
      </w:r>
      <w:r>
        <w:t xml:space="preserve">. </w:t>
      </w:r>
      <w:r w:rsidR="00E1093A">
        <w:t xml:space="preserve"> Victim-survivors need an opportunity to</w:t>
      </w:r>
      <w:r>
        <w:t xml:space="preserve"> </w:t>
      </w:r>
      <w:r w:rsidR="00E1093A">
        <w:t>develop or amend their safety plan, and take other steps to protect their safety if an alleged offender is released.</w:t>
      </w:r>
      <w:r>
        <w:t xml:space="preserve"> </w:t>
      </w:r>
      <w:r w:rsidR="00BD729A">
        <w:t xml:space="preserve"> </w:t>
      </w:r>
      <w:r w:rsidR="00E1093A">
        <w:t xml:space="preserve">This proposal </w:t>
      </w:r>
      <w:r>
        <w:t>gives legislative effect to the rights contained in the NT Charter of Victims’ Rights</w:t>
      </w:r>
      <w:r w:rsidR="00084FD9">
        <w:t xml:space="preserve"> 2019</w:t>
      </w:r>
      <w:r>
        <w:t xml:space="preserve">. </w:t>
      </w:r>
    </w:p>
    <w:p w14:paraId="5EDF13E9" w14:textId="3AFA90FB" w:rsidR="00FA4FCF" w:rsidRPr="008775FA" w:rsidRDefault="00CA0C57" w:rsidP="00BD729A">
      <w:pPr>
        <w:pStyle w:val="Heading4"/>
        <w:keepNext/>
        <w:numPr>
          <w:ilvl w:val="0"/>
          <w:numId w:val="0"/>
        </w:numPr>
        <w:spacing w:after="0" w:line="259" w:lineRule="auto"/>
        <w:ind w:left="862" w:hanging="862"/>
      </w:pPr>
      <w:r>
        <w:t xml:space="preserve">PROPOSAL </w:t>
      </w:r>
      <w:r w:rsidR="0097285D">
        <w:t>LR 4</w:t>
      </w:r>
      <w:r>
        <w:t>5</w:t>
      </w:r>
    </w:p>
    <w:p w14:paraId="7576AC2C" w14:textId="2300B286" w:rsidR="00FA4FCF" w:rsidRPr="00CA0C57" w:rsidRDefault="00FA4FCF" w:rsidP="00BD729A">
      <w:pPr>
        <w:spacing w:after="0" w:line="259" w:lineRule="auto"/>
        <w:rPr>
          <w:b/>
        </w:rPr>
      </w:pPr>
      <w:r w:rsidRPr="00CA0C57">
        <w:rPr>
          <w:b/>
        </w:rPr>
        <w:t>It is propos</w:t>
      </w:r>
      <w:r w:rsidR="0019398C" w:rsidRPr="00CA0C57">
        <w:rPr>
          <w:b/>
        </w:rPr>
        <w:t xml:space="preserve">ed to require police </w:t>
      </w:r>
      <w:r w:rsidRPr="00CA0C57">
        <w:rPr>
          <w:b/>
        </w:rPr>
        <w:t xml:space="preserve">to take reasonable steps to inform complainants in </w:t>
      </w:r>
      <w:r w:rsidR="00510404">
        <w:rPr>
          <w:b/>
        </w:rPr>
        <w:t>DFV</w:t>
      </w:r>
      <w:r w:rsidR="00BD729A">
        <w:rPr>
          <w:b/>
        </w:rPr>
        <w:noBreakHyphen/>
      </w:r>
      <w:r w:rsidRPr="00CA0C57">
        <w:rPr>
          <w:b/>
        </w:rPr>
        <w:t xml:space="preserve">related criminal proceedings as soon as practicable of decisions to grant or refuse bail and, if bail is granted, the conditions of release that are relevant to the safety of the complainant. </w:t>
      </w:r>
    </w:p>
    <w:p w14:paraId="64B80E91" w14:textId="77777777" w:rsidR="00A040C9" w:rsidRDefault="00A040C9" w:rsidP="00BD729A">
      <w:pPr>
        <w:pStyle w:val="Heading2"/>
        <w:ind w:left="1134" w:hanging="567"/>
        <w:rPr>
          <w:lang w:eastAsia="en-AU"/>
        </w:rPr>
      </w:pPr>
      <w:bookmarkStart w:id="75" w:name="_Toc112051862"/>
      <w:r>
        <w:rPr>
          <w:lang w:eastAsia="en-AU"/>
        </w:rPr>
        <w:t xml:space="preserve">Proposed amendments to the </w:t>
      </w:r>
      <w:r w:rsidRPr="00FA4385">
        <w:rPr>
          <w:i/>
          <w:lang w:eastAsia="en-AU"/>
        </w:rPr>
        <w:t>Sentencing Act 1995</w:t>
      </w:r>
      <w:bookmarkEnd w:id="75"/>
    </w:p>
    <w:p w14:paraId="5EE2765A" w14:textId="07A1031F" w:rsidR="007548D0" w:rsidRDefault="007548D0" w:rsidP="00025605">
      <w:pPr>
        <w:pStyle w:val="Heading3"/>
        <w:rPr>
          <w:lang w:eastAsia="en-AU"/>
        </w:rPr>
      </w:pPr>
      <w:bookmarkStart w:id="76" w:name="_Toc112051863"/>
      <w:r>
        <w:rPr>
          <w:lang w:eastAsia="en-AU"/>
        </w:rPr>
        <w:t>The purposes of sentencing</w:t>
      </w:r>
      <w:bookmarkEnd w:id="76"/>
    </w:p>
    <w:p w14:paraId="3E33C4F3" w14:textId="77777777" w:rsidR="007548D0" w:rsidRPr="008C0C9D" w:rsidRDefault="007548D0" w:rsidP="00BD729A">
      <w:pPr>
        <w:spacing w:after="120"/>
        <w:rPr>
          <w:lang w:eastAsia="en-AU"/>
        </w:rPr>
      </w:pPr>
      <w:r>
        <w:rPr>
          <w:lang w:eastAsia="en-AU"/>
        </w:rPr>
        <w:t xml:space="preserve">Sentencing guidelines are set out in section 5 of the </w:t>
      </w:r>
      <w:r w:rsidRPr="008C0C9D">
        <w:rPr>
          <w:i/>
          <w:lang w:eastAsia="en-AU"/>
        </w:rPr>
        <w:t>Sentencing Act 1995</w:t>
      </w:r>
      <w:r>
        <w:rPr>
          <w:lang w:eastAsia="en-AU"/>
        </w:rPr>
        <w:t xml:space="preserve"> as follows:</w:t>
      </w:r>
    </w:p>
    <w:p w14:paraId="63177CD6" w14:textId="63778CFA" w:rsidR="007548D0" w:rsidRPr="00BD729A" w:rsidRDefault="007548D0" w:rsidP="00BD729A">
      <w:pPr>
        <w:pStyle w:val="Subsection"/>
        <w:keepNext/>
        <w:tabs>
          <w:tab w:val="clear" w:pos="902"/>
        </w:tabs>
        <w:spacing w:after="120"/>
        <w:ind w:left="567" w:hanging="567"/>
        <w:rPr>
          <w:rFonts w:asciiTheme="minorHAnsi" w:hAnsiTheme="minorHAnsi"/>
          <w:sz w:val="22"/>
          <w:szCs w:val="22"/>
        </w:rPr>
      </w:pPr>
      <w:r w:rsidRPr="00BD729A">
        <w:rPr>
          <w:rFonts w:asciiTheme="minorHAnsi" w:hAnsiTheme="minorHAnsi"/>
          <w:sz w:val="22"/>
          <w:szCs w:val="22"/>
        </w:rPr>
        <w:t>(1)</w:t>
      </w:r>
      <w:r w:rsidRPr="00BD729A">
        <w:rPr>
          <w:rFonts w:asciiTheme="minorHAnsi" w:hAnsiTheme="minorHAnsi"/>
          <w:sz w:val="22"/>
          <w:szCs w:val="22"/>
        </w:rPr>
        <w:tab/>
        <w:t>The only purposes for which sentences may be imposed on an offender are the following:</w:t>
      </w:r>
    </w:p>
    <w:p w14:paraId="171D006D" w14:textId="77777777" w:rsidR="007548D0" w:rsidRPr="00BD729A" w:rsidRDefault="007548D0" w:rsidP="00BD729A">
      <w:pPr>
        <w:pStyle w:val="Paragraph"/>
        <w:spacing w:after="120"/>
        <w:ind w:left="1134"/>
        <w:rPr>
          <w:rFonts w:asciiTheme="minorHAnsi" w:hAnsiTheme="minorHAnsi"/>
          <w:sz w:val="22"/>
          <w:szCs w:val="22"/>
        </w:rPr>
      </w:pPr>
      <w:r w:rsidRPr="00BD729A">
        <w:rPr>
          <w:rFonts w:asciiTheme="minorHAnsi" w:hAnsiTheme="minorHAnsi"/>
          <w:sz w:val="22"/>
          <w:szCs w:val="22"/>
        </w:rPr>
        <w:t>(a)</w:t>
      </w:r>
      <w:r w:rsidRPr="00BD729A">
        <w:rPr>
          <w:rFonts w:asciiTheme="minorHAnsi" w:hAnsiTheme="minorHAnsi"/>
          <w:sz w:val="22"/>
          <w:szCs w:val="22"/>
        </w:rPr>
        <w:tab/>
        <w:t>to punish the offender to an extent or in a way that is just in all the circumstances;</w:t>
      </w:r>
    </w:p>
    <w:p w14:paraId="4EA6118A" w14:textId="77777777" w:rsidR="007548D0" w:rsidRPr="00BD729A" w:rsidRDefault="007548D0" w:rsidP="00BD729A">
      <w:pPr>
        <w:pStyle w:val="Paragraph"/>
        <w:spacing w:after="120"/>
        <w:ind w:left="1134"/>
        <w:rPr>
          <w:rFonts w:asciiTheme="minorHAnsi" w:hAnsiTheme="minorHAnsi"/>
          <w:sz w:val="22"/>
          <w:szCs w:val="22"/>
        </w:rPr>
      </w:pPr>
      <w:r w:rsidRPr="00BD729A">
        <w:rPr>
          <w:rFonts w:asciiTheme="minorHAnsi" w:hAnsiTheme="minorHAnsi"/>
          <w:sz w:val="22"/>
          <w:szCs w:val="22"/>
        </w:rPr>
        <w:t>(b)</w:t>
      </w:r>
      <w:r w:rsidRPr="00BD729A">
        <w:rPr>
          <w:rFonts w:asciiTheme="minorHAnsi" w:hAnsiTheme="minorHAnsi"/>
          <w:sz w:val="22"/>
          <w:szCs w:val="22"/>
        </w:rPr>
        <w:tab/>
        <w:t>to provide conditions in the court's order that will help the offender to be rehabilitated;</w:t>
      </w:r>
    </w:p>
    <w:p w14:paraId="53FBC0F6" w14:textId="77777777" w:rsidR="007548D0" w:rsidRPr="00BD729A" w:rsidRDefault="007548D0" w:rsidP="00BD729A">
      <w:pPr>
        <w:pStyle w:val="Paragraph"/>
        <w:spacing w:after="120"/>
        <w:ind w:left="1134"/>
        <w:rPr>
          <w:rFonts w:asciiTheme="minorHAnsi" w:hAnsiTheme="minorHAnsi"/>
          <w:sz w:val="22"/>
          <w:szCs w:val="22"/>
        </w:rPr>
      </w:pPr>
      <w:r w:rsidRPr="00BD729A">
        <w:rPr>
          <w:rFonts w:asciiTheme="minorHAnsi" w:hAnsiTheme="minorHAnsi"/>
          <w:sz w:val="22"/>
          <w:szCs w:val="22"/>
        </w:rPr>
        <w:t>(c)</w:t>
      </w:r>
      <w:r w:rsidRPr="00BD729A">
        <w:rPr>
          <w:rFonts w:asciiTheme="minorHAnsi" w:hAnsiTheme="minorHAnsi"/>
          <w:sz w:val="22"/>
          <w:szCs w:val="22"/>
        </w:rPr>
        <w:tab/>
        <w:t>to discourage the offender or other persons from committing the same or a similar offence;</w:t>
      </w:r>
    </w:p>
    <w:p w14:paraId="7C26716F" w14:textId="77777777" w:rsidR="007548D0" w:rsidRPr="00BD729A" w:rsidRDefault="007548D0" w:rsidP="00BD729A">
      <w:pPr>
        <w:pStyle w:val="Paragraph"/>
        <w:spacing w:after="120"/>
        <w:ind w:left="1134"/>
        <w:rPr>
          <w:rFonts w:asciiTheme="minorHAnsi" w:hAnsiTheme="minorHAnsi"/>
          <w:sz w:val="22"/>
          <w:szCs w:val="22"/>
        </w:rPr>
      </w:pPr>
      <w:r w:rsidRPr="00BD729A">
        <w:rPr>
          <w:rFonts w:asciiTheme="minorHAnsi" w:hAnsiTheme="minorHAnsi"/>
          <w:sz w:val="22"/>
          <w:szCs w:val="22"/>
        </w:rPr>
        <w:t>(d)</w:t>
      </w:r>
      <w:r w:rsidRPr="00BD729A">
        <w:rPr>
          <w:rFonts w:asciiTheme="minorHAnsi" w:hAnsiTheme="minorHAnsi"/>
          <w:sz w:val="22"/>
          <w:szCs w:val="22"/>
        </w:rPr>
        <w:tab/>
        <w:t>to make it clear that the community, acting through the court, does not approve of the sort of conduct in which the offender was involved;</w:t>
      </w:r>
    </w:p>
    <w:p w14:paraId="69DAA7E2" w14:textId="77777777" w:rsidR="007548D0" w:rsidRPr="00BD729A" w:rsidRDefault="007548D0" w:rsidP="00BD729A">
      <w:pPr>
        <w:pStyle w:val="Paragraph"/>
        <w:spacing w:after="120"/>
        <w:ind w:left="1134"/>
        <w:rPr>
          <w:rFonts w:asciiTheme="minorHAnsi" w:hAnsiTheme="minorHAnsi"/>
          <w:sz w:val="22"/>
          <w:szCs w:val="22"/>
        </w:rPr>
      </w:pPr>
      <w:r w:rsidRPr="00BD729A">
        <w:rPr>
          <w:rFonts w:asciiTheme="minorHAnsi" w:hAnsiTheme="minorHAnsi"/>
          <w:sz w:val="22"/>
          <w:szCs w:val="22"/>
        </w:rPr>
        <w:t>(e)</w:t>
      </w:r>
      <w:r w:rsidRPr="00BD729A">
        <w:rPr>
          <w:rFonts w:asciiTheme="minorHAnsi" w:hAnsiTheme="minorHAnsi"/>
          <w:sz w:val="22"/>
          <w:szCs w:val="22"/>
        </w:rPr>
        <w:tab/>
        <w:t xml:space="preserve">to protect the Territory community from the offender; </w:t>
      </w:r>
    </w:p>
    <w:p w14:paraId="04676CFC" w14:textId="20902ADB" w:rsidR="007548D0" w:rsidRPr="00BD729A" w:rsidRDefault="007548D0" w:rsidP="00BD729A">
      <w:pPr>
        <w:pStyle w:val="Paragraph"/>
        <w:spacing w:after="200"/>
        <w:ind w:left="1134"/>
        <w:rPr>
          <w:rFonts w:asciiTheme="minorHAnsi" w:hAnsiTheme="minorHAnsi"/>
          <w:sz w:val="22"/>
          <w:szCs w:val="22"/>
        </w:rPr>
      </w:pPr>
      <w:r w:rsidRPr="00BD729A">
        <w:rPr>
          <w:rFonts w:asciiTheme="minorHAnsi" w:hAnsiTheme="minorHAnsi"/>
          <w:sz w:val="22"/>
          <w:szCs w:val="22"/>
        </w:rPr>
        <w:t>(f)</w:t>
      </w:r>
      <w:r w:rsidRPr="00BD729A">
        <w:rPr>
          <w:rFonts w:asciiTheme="minorHAnsi" w:hAnsiTheme="minorHAnsi"/>
          <w:sz w:val="22"/>
          <w:szCs w:val="22"/>
        </w:rPr>
        <w:tab/>
        <w:t xml:space="preserve">a combination of </w:t>
      </w:r>
      <w:r w:rsidR="00BD729A">
        <w:rPr>
          <w:rFonts w:asciiTheme="minorHAnsi" w:hAnsiTheme="minorHAnsi"/>
          <w:sz w:val="22"/>
          <w:szCs w:val="22"/>
        </w:rPr>
        <w:t>two</w:t>
      </w:r>
      <w:r w:rsidRPr="00BD729A">
        <w:rPr>
          <w:rFonts w:asciiTheme="minorHAnsi" w:hAnsiTheme="minorHAnsi"/>
          <w:sz w:val="22"/>
          <w:szCs w:val="22"/>
        </w:rPr>
        <w:t xml:space="preserve"> or more of the purposes referred to in this subsection.</w:t>
      </w:r>
    </w:p>
    <w:p w14:paraId="5EB79672" w14:textId="674EADA0" w:rsidR="007548D0" w:rsidRDefault="007548D0" w:rsidP="00173C5D">
      <w:pPr>
        <w:spacing w:line="276" w:lineRule="auto"/>
      </w:pPr>
      <w:r>
        <w:t>Some stakeholders have expressed concerns about the light sentences provided for DFV-related offending and suggest that the protection of the offender’s family</w:t>
      </w:r>
      <w:r w:rsidR="00922819">
        <w:t>, partner or ex-partner</w:t>
      </w:r>
      <w:r>
        <w:t xml:space="preserve"> is not given sufficient weight in sentencing decisions, despite section </w:t>
      </w:r>
      <w:r w:rsidR="00BD729A">
        <w:t>5(</w:t>
      </w:r>
      <w:r>
        <w:t>1</w:t>
      </w:r>
      <w:r w:rsidR="00BD729A">
        <w:t>)</w:t>
      </w:r>
      <w:r>
        <w:t xml:space="preserve">(e) which provides that it is a purpose of sentencing ‘to protect the Territory community from the offender.’  This may reflect the historical privileging of crimes which occur </w:t>
      </w:r>
      <w:r w:rsidR="00C60FB8">
        <w:t>‘</w:t>
      </w:r>
      <w:r>
        <w:t xml:space="preserve">out in </w:t>
      </w:r>
      <w:r w:rsidR="00C60FB8">
        <w:t xml:space="preserve">the community between strangers’ </w:t>
      </w:r>
      <w:r>
        <w:t xml:space="preserve">versus crimes that occur </w:t>
      </w:r>
      <w:r w:rsidR="00C60FB8">
        <w:t>‘</w:t>
      </w:r>
      <w:r>
        <w:t xml:space="preserve">in a private home </w:t>
      </w:r>
      <w:r w:rsidR="00C60FB8">
        <w:t>against</w:t>
      </w:r>
      <w:r>
        <w:t xml:space="preserve"> family members</w:t>
      </w:r>
      <w:r w:rsidR="00C60FB8">
        <w:t>.’</w:t>
      </w:r>
    </w:p>
    <w:p w14:paraId="3B8EB1A1" w14:textId="761141DB" w:rsidR="007548D0" w:rsidRDefault="007548D0" w:rsidP="00173C5D">
      <w:pPr>
        <w:spacing w:line="276" w:lineRule="auto"/>
      </w:pPr>
      <w:r>
        <w:t xml:space="preserve">It is proposed to include a note to avoid </w:t>
      </w:r>
      <w:r w:rsidR="00030DA6">
        <w:t>any doubt that the phrase ‘to protect</w:t>
      </w:r>
      <w:r>
        <w:t xml:space="preserve"> the </w:t>
      </w:r>
      <w:r w:rsidR="00030DA6">
        <w:t xml:space="preserve">Territory </w:t>
      </w:r>
      <w:r>
        <w:t>community</w:t>
      </w:r>
      <w:r w:rsidR="00030DA6">
        <w:t xml:space="preserve"> from the offender’ </w:t>
      </w:r>
      <w:r>
        <w:t>in section 5(1)(e) includes the protection of the offender</w:t>
      </w:r>
      <w:r w:rsidR="00030DA6">
        <w:t>’</w:t>
      </w:r>
      <w:r>
        <w:t>s family members</w:t>
      </w:r>
      <w:r w:rsidR="00C60FB8">
        <w:t>, partner and ex-partner</w:t>
      </w:r>
      <w:r>
        <w:t>.</w:t>
      </w:r>
    </w:p>
    <w:p w14:paraId="5072D111" w14:textId="291BA201" w:rsidR="007548D0" w:rsidRDefault="0097285D" w:rsidP="00BD729A">
      <w:pPr>
        <w:pStyle w:val="Heading4"/>
        <w:keepNext/>
        <w:numPr>
          <w:ilvl w:val="0"/>
          <w:numId w:val="0"/>
        </w:numPr>
        <w:spacing w:after="0"/>
        <w:ind w:left="864" w:hanging="864"/>
      </w:pPr>
      <w:r>
        <w:t>PROPOSAL LR 4</w:t>
      </w:r>
      <w:r w:rsidR="00D266D3">
        <w:t>6</w:t>
      </w:r>
    </w:p>
    <w:p w14:paraId="44136D7A" w14:textId="204FDACC" w:rsidR="007548D0" w:rsidRPr="00BD729A" w:rsidRDefault="007548D0" w:rsidP="00BD729A">
      <w:pPr>
        <w:spacing w:after="0" w:line="259" w:lineRule="auto"/>
        <w:rPr>
          <w:b/>
        </w:rPr>
      </w:pPr>
      <w:r w:rsidRPr="00D266D3">
        <w:rPr>
          <w:b/>
        </w:rPr>
        <w:t>It is proposed to amend section 5 to add a note after section 5(1)(e) ‘to protect the Territory community from the offender’, along the lines</w:t>
      </w:r>
      <w:r w:rsidR="00BD729A">
        <w:rPr>
          <w:b/>
        </w:rPr>
        <w:t>:</w:t>
      </w:r>
    </w:p>
    <w:p w14:paraId="7BFE1C4F" w14:textId="2154C819" w:rsidR="009114D5" w:rsidRPr="00D266D3" w:rsidRDefault="007548D0" w:rsidP="00BD729A">
      <w:pPr>
        <w:spacing w:after="0" w:line="259" w:lineRule="auto"/>
        <w:rPr>
          <w:b/>
        </w:rPr>
      </w:pPr>
      <w:r w:rsidRPr="00D266D3">
        <w:rPr>
          <w:b/>
        </w:rPr>
        <w:t>Note</w:t>
      </w:r>
      <w:r w:rsidR="00BD729A">
        <w:rPr>
          <w:b/>
        </w:rPr>
        <w:t xml:space="preserve">:  </w:t>
      </w:r>
      <w:r w:rsidRPr="00D266D3">
        <w:rPr>
          <w:b/>
        </w:rPr>
        <w:t>To avoid any doubt section 5</w:t>
      </w:r>
      <w:r w:rsidR="00BD729A">
        <w:rPr>
          <w:b/>
        </w:rPr>
        <w:t>(1)</w:t>
      </w:r>
      <w:r w:rsidRPr="00D266D3">
        <w:rPr>
          <w:b/>
        </w:rPr>
        <w:t xml:space="preserve">(e) includes the protection of persons in a domestic relationship with the offender, as defined in the </w:t>
      </w:r>
      <w:r w:rsidRPr="00BD729A">
        <w:rPr>
          <w:b/>
        </w:rPr>
        <w:t>D</w:t>
      </w:r>
      <w:r w:rsidR="00BD729A">
        <w:rPr>
          <w:b/>
        </w:rPr>
        <w:t>FV Act</w:t>
      </w:r>
      <w:r w:rsidRPr="00D266D3">
        <w:rPr>
          <w:b/>
        </w:rPr>
        <w:t xml:space="preserve">. </w:t>
      </w:r>
    </w:p>
    <w:p w14:paraId="20DCFCF4" w14:textId="491BAB2C" w:rsidR="008C0C9D" w:rsidRDefault="004206AD" w:rsidP="00BD729A">
      <w:pPr>
        <w:pStyle w:val="Heading3"/>
        <w:keepNext/>
        <w:rPr>
          <w:lang w:eastAsia="en-AU"/>
        </w:rPr>
      </w:pPr>
      <w:bookmarkStart w:id="77" w:name="_Toc112051864"/>
      <w:r>
        <w:rPr>
          <w:lang w:eastAsia="en-AU"/>
        </w:rPr>
        <w:lastRenderedPageBreak/>
        <w:t>Aggravating factor</w:t>
      </w:r>
      <w:bookmarkEnd w:id="77"/>
    </w:p>
    <w:p w14:paraId="09BFA155" w14:textId="6B9878B3" w:rsidR="00664084" w:rsidRDefault="00664084" w:rsidP="00173C5D">
      <w:pPr>
        <w:spacing w:line="276" w:lineRule="auto"/>
      </w:pPr>
      <w:r>
        <w:t>In sentencing an offender</w:t>
      </w:r>
      <w:r w:rsidR="00BD729A">
        <w:t>,</w:t>
      </w:r>
      <w:r>
        <w:t xml:space="preserve"> the </w:t>
      </w:r>
      <w:r w:rsidR="00BD729A">
        <w:t xml:space="preserve">court </w:t>
      </w:r>
      <w:r>
        <w:t xml:space="preserve">must have regard to the factors in section 5(2). </w:t>
      </w:r>
    </w:p>
    <w:p w14:paraId="179D0137" w14:textId="6B8674F9" w:rsidR="00664084" w:rsidRDefault="00664084" w:rsidP="00173C5D">
      <w:pPr>
        <w:spacing w:line="276" w:lineRule="auto"/>
      </w:pPr>
      <w:r>
        <w:t>Section</w:t>
      </w:r>
      <w:r w:rsidR="00E70E16">
        <w:t xml:space="preserve"> 5(2)(f) requires the </w:t>
      </w:r>
      <w:r w:rsidR="00BD729A">
        <w:t xml:space="preserve">court </w:t>
      </w:r>
      <w:r w:rsidR="00E70E16">
        <w:t xml:space="preserve">to have regard to the presence of any aggravating or mitigating circumstances. </w:t>
      </w:r>
    </w:p>
    <w:p w14:paraId="7D446273" w14:textId="77777777" w:rsidR="004206AD" w:rsidRDefault="00D37A11" w:rsidP="00173C5D">
      <w:pPr>
        <w:spacing w:line="276" w:lineRule="auto"/>
      </w:pPr>
      <w:r>
        <w:t>Section 6A of</w:t>
      </w:r>
      <w:r w:rsidR="00664084">
        <w:t xml:space="preserve"> </w:t>
      </w:r>
      <w:r w:rsidR="00664084" w:rsidRPr="00173C5D">
        <w:rPr>
          <w:i/>
        </w:rPr>
        <w:t xml:space="preserve">Sentencing Act </w:t>
      </w:r>
      <w:r w:rsidR="00664084" w:rsidRPr="00173C5D">
        <w:t>1995</w:t>
      </w:r>
      <w:r w:rsidR="00664084">
        <w:t xml:space="preserve"> sets out the circumstances in relation to the commission of an offence that may be regarded a</w:t>
      </w:r>
      <w:r w:rsidR="00E70E16">
        <w:t>s an aggravating factor for the purposes of</w:t>
      </w:r>
      <w:r w:rsidR="00664084">
        <w:t xml:space="preserve"> section</w:t>
      </w:r>
      <w:r w:rsidR="00E70E16">
        <w:t xml:space="preserve"> 5(2)(f)</w:t>
      </w:r>
      <w:r w:rsidR="00664084">
        <w:t>.</w:t>
      </w:r>
    </w:p>
    <w:p w14:paraId="4381D1AC" w14:textId="2DCB2D76" w:rsidR="00C95795" w:rsidRDefault="00C95795" w:rsidP="00173C5D">
      <w:pPr>
        <w:spacing w:line="276" w:lineRule="auto"/>
      </w:pPr>
      <w:r>
        <w:t>The NSW Parliament</w:t>
      </w:r>
      <w:r w:rsidR="00D6167C">
        <w:t>ary Inquiry on Coercive Control</w:t>
      </w:r>
      <w:r w:rsidR="003D043E">
        <w:rPr>
          <w:rStyle w:val="FootnoteReference"/>
        </w:rPr>
        <w:footnoteReference w:id="187"/>
      </w:r>
      <w:r w:rsidR="00D6167C">
        <w:t xml:space="preserve"> recommended that the NSW Government should amend section 21A of the </w:t>
      </w:r>
      <w:r w:rsidR="00D6167C" w:rsidRPr="00173C5D">
        <w:rPr>
          <w:i/>
        </w:rPr>
        <w:t>Crimes (Sentencing Procedure) Act</w:t>
      </w:r>
      <w:r w:rsidR="00D6167C" w:rsidRPr="00173C5D">
        <w:t xml:space="preserve"> 1995 (NSW)</w:t>
      </w:r>
      <w:r w:rsidR="00D6167C" w:rsidRPr="00D6167C">
        <w:t xml:space="preserve"> to include</w:t>
      </w:r>
      <w:r w:rsidR="00D6167C">
        <w:t xml:space="preserve"> as an aggravating factor in sentencing, that the offender was in an intimate personal relationship with the victim, and the offender was previously engaged in coercive and controlling behaviour towards the victim (</w:t>
      </w:r>
      <w:r w:rsidR="00F377BA">
        <w:t xml:space="preserve">recommendation </w:t>
      </w:r>
      <w:r w:rsidR="00D6167C">
        <w:t>5).</w:t>
      </w:r>
    </w:p>
    <w:p w14:paraId="66558754" w14:textId="5FBD06BB" w:rsidR="00D812B6" w:rsidRDefault="00D812B6" w:rsidP="00F377BA">
      <w:pPr>
        <w:spacing w:after="120" w:line="276" w:lineRule="auto"/>
      </w:pPr>
      <w:r>
        <w:t>The Queensland Women’s Safety and Justice Taskforce</w:t>
      </w:r>
      <w:r w:rsidR="003D043E">
        <w:rPr>
          <w:rStyle w:val="FootnoteReference"/>
        </w:rPr>
        <w:footnoteReference w:id="188"/>
      </w:r>
      <w:r w:rsidR="00D6167C">
        <w:t xml:space="preserve"> noted that</w:t>
      </w:r>
      <w:r w:rsidR="007770E1">
        <w:t xml:space="preserve"> the</w:t>
      </w:r>
      <w:r w:rsidR="00D6167C">
        <w:t xml:space="preserve"> </w:t>
      </w:r>
      <w:r w:rsidR="00C95795" w:rsidRPr="00173C5D">
        <w:rPr>
          <w:i/>
        </w:rPr>
        <w:t xml:space="preserve">Penalties and Sentences Act </w:t>
      </w:r>
      <w:r w:rsidR="00C95795" w:rsidRPr="00173C5D">
        <w:t>1992</w:t>
      </w:r>
      <w:r w:rsidR="00C95795" w:rsidRPr="00C95795">
        <w:t xml:space="preserve"> </w:t>
      </w:r>
      <w:r w:rsidR="00D6167C" w:rsidRPr="00173C5D">
        <w:t>(Qld)</w:t>
      </w:r>
      <w:r w:rsidR="00D6167C">
        <w:t xml:space="preserve"> </w:t>
      </w:r>
      <w:r w:rsidR="00C95795" w:rsidRPr="00C95795">
        <w:t>already</w:t>
      </w:r>
      <w:r w:rsidR="00C95795">
        <w:t xml:space="preserve"> provides for domestic violence as an aggravating factor. Section 9 (10A) provides:</w:t>
      </w:r>
    </w:p>
    <w:p w14:paraId="7A35852B" w14:textId="77777777" w:rsidR="00D812B6" w:rsidRPr="00F377BA" w:rsidRDefault="00D812B6" w:rsidP="00F377BA">
      <w:pPr>
        <w:spacing w:after="120"/>
        <w:ind w:left="567"/>
        <w:rPr>
          <w:lang w:eastAsia="en-AU"/>
        </w:rPr>
      </w:pPr>
      <w:r w:rsidRPr="00F377BA">
        <w:rPr>
          <w:lang w:eastAsia="en-AU"/>
        </w:rPr>
        <w:t>In determining the appropriate sentence for an offender convicted of a domestic violence offence, the court must treat the fact that it is a domestic violence offence as an aggravating factor, unless the court considers it is not reasonable because of the exceptional circumstances of the case.</w:t>
      </w:r>
    </w:p>
    <w:p w14:paraId="7242B2C9" w14:textId="77777777" w:rsidR="00D812B6" w:rsidRPr="00F377BA" w:rsidRDefault="00D812B6" w:rsidP="00F377BA">
      <w:pPr>
        <w:spacing w:after="120"/>
        <w:ind w:left="567"/>
        <w:rPr>
          <w:lang w:eastAsia="en-AU"/>
        </w:rPr>
      </w:pPr>
      <w:r w:rsidRPr="00F377BA">
        <w:rPr>
          <w:lang w:eastAsia="en-AU"/>
        </w:rPr>
        <w:t>Examples of exceptional circumstances—</w:t>
      </w:r>
    </w:p>
    <w:p w14:paraId="03D1C614" w14:textId="36CACB20" w:rsidR="00D812B6" w:rsidRPr="00F377BA" w:rsidRDefault="00D812B6" w:rsidP="00866493">
      <w:pPr>
        <w:ind w:left="993" w:hanging="426"/>
        <w:rPr>
          <w:lang w:eastAsia="en-AU"/>
        </w:rPr>
      </w:pPr>
      <w:r w:rsidRPr="00F377BA">
        <w:rPr>
          <w:lang w:eastAsia="en-AU"/>
        </w:rPr>
        <w:t>1</w:t>
      </w:r>
      <w:r w:rsidR="00F377BA">
        <w:rPr>
          <w:lang w:eastAsia="en-AU"/>
        </w:rPr>
        <w:t>.</w:t>
      </w:r>
      <w:r w:rsidR="00866493">
        <w:rPr>
          <w:lang w:eastAsia="en-AU"/>
        </w:rPr>
        <w:tab/>
      </w:r>
      <w:r w:rsidRPr="00F377BA">
        <w:rPr>
          <w:lang w:eastAsia="en-AU"/>
        </w:rPr>
        <w:t>the victim of the offence has previously committed an act of serious domestic violence, or several acts of domestic violence, against the offender</w:t>
      </w:r>
    </w:p>
    <w:p w14:paraId="21A8A6E3" w14:textId="778CB4DF" w:rsidR="00801C93" w:rsidRPr="00F377BA" w:rsidRDefault="00D812B6" w:rsidP="00866493">
      <w:pPr>
        <w:ind w:left="993" w:hanging="426"/>
        <w:rPr>
          <w:lang w:eastAsia="en-AU"/>
        </w:rPr>
      </w:pPr>
      <w:r w:rsidRPr="00F377BA">
        <w:rPr>
          <w:lang w:eastAsia="en-AU"/>
        </w:rPr>
        <w:t>2</w:t>
      </w:r>
      <w:r w:rsidR="00F377BA">
        <w:rPr>
          <w:lang w:eastAsia="en-AU"/>
        </w:rPr>
        <w:t>.</w:t>
      </w:r>
      <w:r w:rsidR="00866493">
        <w:rPr>
          <w:lang w:eastAsia="en-AU"/>
        </w:rPr>
        <w:tab/>
      </w:r>
      <w:r w:rsidRPr="00F377BA">
        <w:rPr>
          <w:lang w:eastAsia="en-AU"/>
        </w:rPr>
        <w:t>the offence is manslaughter under the Criminal Code, section 304B</w:t>
      </w:r>
    </w:p>
    <w:p w14:paraId="5E172017" w14:textId="695C731D" w:rsidR="00D6167C" w:rsidRDefault="00D6167C" w:rsidP="00173C5D">
      <w:pPr>
        <w:spacing w:line="276" w:lineRule="auto"/>
      </w:pPr>
      <w:r>
        <w:t>Stakeholders have suggested that consideration should be given to ensuring that domestic violence</w:t>
      </w:r>
      <w:r w:rsidR="007770E1">
        <w:t>, including</w:t>
      </w:r>
      <w:r>
        <w:t xml:space="preserve"> coercive control</w:t>
      </w:r>
      <w:r w:rsidR="007770E1">
        <w:t>,</w:t>
      </w:r>
      <w:r>
        <w:t xml:space="preserve"> is an aggravating factor for the purposes of sentencing.</w:t>
      </w:r>
    </w:p>
    <w:p w14:paraId="3836F317" w14:textId="29DAF941" w:rsidR="00006CF0" w:rsidRDefault="00447219" w:rsidP="00F377BA">
      <w:pPr>
        <w:spacing w:after="120" w:line="276" w:lineRule="auto"/>
      </w:pPr>
      <w:r>
        <w:t xml:space="preserve">The submission of </w:t>
      </w:r>
      <w:r w:rsidR="00006CF0">
        <w:t>His Honour Justice Southwood,</w:t>
      </w:r>
      <w:r w:rsidR="003426B0">
        <w:t xml:space="preserve"> </w:t>
      </w:r>
      <w:r w:rsidR="00A676D4">
        <w:t xml:space="preserve">then </w:t>
      </w:r>
      <w:r w:rsidR="00945D6F">
        <w:t>Chair</w:t>
      </w:r>
      <w:r w:rsidR="003426B0">
        <w:t xml:space="preserve"> </w:t>
      </w:r>
      <w:r>
        <w:t>of the Parole Board,</w:t>
      </w:r>
      <w:r w:rsidR="003426B0">
        <w:t xml:space="preserve"> was quoted at length in the </w:t>
      </w:r>
      <w:r w:rsidR="00CC73D2">
        <w:t>2016 Consultation Report</w:t>
      </w:r>
      <w:r w:rsidR="00DD15E2">
        <w:t xml:space="preserve"> on this issue which is worth repeating here:</w:t>
      </w:r>
      <w:r w:rsidR="003426B0">
        <w:rPr>
          <w:rStyle w:val="FootnoteReference"/>
        </w:rPr>
        <w:footnoteReference w:id="189"/>
      </w:r>
    </w:p>
    <w:p w14:paraId="2F187FF0" w14:textId="77777777" w:rsidR="003426B0" w:rsidRPr="00F377BA" w:rsidRDefault="003426B0" w:rsidP="00F377BA">
      <w:pPr>
        <w:spacing w:after="120"/>
        <w:ind w:left="567"/>
        <w:jc w:val="both"/>
        <w:rPr>
          <w:rFonts w:cs="Arial"/>
        </w:rPr>
      </w:pPr>
      <w:r w:rsidRPr="00F377BA">
        <w:rPr>
          <w:rFonts w:cs="Arial"/>
        </w:rPr>
        <w:t>“As the gravamen of the more serious cases of domestic violence involves a deliberate strategy to engage in and the perpetration of a pattern of violent behaviour over an extended period of time for their advantage, it may be that the applicability of a number of important sentencing principles needs to be reconsidered when sentencing offenders for these kinds of crimes. Those principles include:</w:t>
      </w:r>
    </w:p>
    <w:p w14:paraId="59F0F812" w14:textId="77777777" w:rsidR="003426B0" w:rsidRPr="00F377BA" w:rsidRDefault="003426B0" w:rsidP="0067521E">
      <w:pPr>
        <w:pStyle w:val="ListParagraph"/>
        <w:numPr>
          <w:ilvl w:val="4"/>
          <w:numId w:val="96"/>
        </w:numPr>
        <w:ind w:left="993" w:hanging="425"/>
        <w:jc w:val="both"/>
        <w:rPr>
          <w:rFonts w:cs="Arial"/>
        </w:rPr>
      </w:pPr>
      <w:r w:rsidRPr="00F377BA">
        <w:rPr>
          <w:rFonts w:cs="Arial"/>
        </w:rPr>
        <w:t>The objective circumstances of the offence do not include the antecedent criminal history of the offender except where legislation prescribes prior criminality as an aggravating component of the offence. Proportionate sentencing prohibits enlarging the punishment of the current offence beyond what its gravity requires because of previous convictions.</w:t>
      </w:r>
      <w:r w:rsidRPr="00F377BA">
        <w:rPr>
          <w:rFonts w:cs="Arial"/>
          <w:vertAlign w:val="superscript"/>
        </w:rPr>
        <w:t>192</w:t>
      </w:r>
    </w:p>
    <w:p w14:paraId="0C69BB3C" w14:textId="77777777" w:rsidR="003426B0" w:rsidRPr="00F377BA" w:rsidRDefault="003426B0" w:rsidP="0067521E">
      <w:pPr>
        <w:pStyle w:val="ListParagraph"/>
        <w:numPr>
          <w:ilvl w:val="4"/>
          <w:numId w:val="96"/>
        </w:numPr>
        <w:ind w:left="992" w:hanging="425"/>
        <w:jc w:val="both"/>
        <w:rPr>
          <w:rFonts w:cs="Arial"/>
        </w:rPr>
      </w:pPr>
      <w:r w:rsidRPr="00F377BA">
        <w:rPr>
          <w:rFonts w:cs="Arial"/>
        </w:rPr>
        <w:t xml:space="preserve">The principle of loss of entitlement to leniency does not resolve the issue because the loss of entitlement occurs within the outer limits of the objective seriousness of a single episode </w:t>
      </w:r>
      <w:r w:rsidRPr="00F377BA">
        <w:rPr>
          <w:rFonts w:cs="Arial"/>
        </w:rPr>
        <w:lastRenderedPageBreak/>
        <w:t>of the offending, not the objective seriousness of the course of conduct which occurs over a number of years.</w:t>
      </w:r>
    </w:p>
    <w:p w14:paraId="4F40A777" w14:textId="77777777" w:rsidR="003426B0" w:rsidRPr="00F377BA" w:rsidRDefault="003426B0" w:rsidP="0067521E">
      <w:pPr>
        <w:pStyle w:val="ListParagraph"/>
        <w:numPr>
          <w:ilvl w:val="4"/>
          <w:numId w:val="96"/>
        </w:numPr>
        <w:ind w:left="992" w:hanging="425"/>
        <w:jc w:val="both"/>
        <w:rPr>
          <w:rFonts w:cs="Arial"/>
        </w:rPr>
      </w:pPr>
      <w:r w:rsidRPr="00F377BA">
        <w:rPr>
          <w:rFonts w:cs="Arial"/>
        </w:rPr>
        <w:t>The weight given to the principle of community protection or protection of the victim cannot be such as to result in the imposition of a sentence which exceeds the outer limits of the objective seriousness of the single episode of offending which is before the court.</w:t>
      </w:r>
    </w:p>
    <w:p w14:paraId="7E6562AF" w14:textId="77777777" w:rsidR="003426B0" w:rsidRPr="00F377BA" w:rsidRDefault="003426B0" w:rsidP="0067521E">
      <w:pPr>
        <w:pStyle w:val="ListParagraph"/>
        <w:numPr>
          <w:ilvl w:val="4"/>
          <w:numId w:val="96"/>
        </w:numPr>
        <w:ind w:left="992" w:hanging="425"/>
        <w:jc w:val="both"/>
        <w:rPr>
          <w:rFonts w:cs="Arial"/>
        </w:rPr>
      </w:pPr>
      <w:r w:rsidRPr="00F377BA">
        <w:rPr>
          <w:rFonts w:cs="Arial"/>
        </w:rPr>
        <w:t>Deterrence must give way to proportion in respect of the single episode of offending which is before the Court.</w:t>
      </w:r>
    </w:p>
    <w:p w14:paraId="1287C757" w14:textId="77777777" w:rsidR="003426B0" w:rsidRPr="00F377BA" w:rsidRDefault="003426B0" w:rsidP="0067521E">
      <w:pPr>
        <w:pStyle w:val="ListParagraph"/>
        <w:numPr>
          <w:ilvl w:val="4"/>
          <w:numId w:val="96"/>
        </w:numPr>
        <w:ind w:left="993" w:hanging="425"/>
        <w:jc w:val="both"/>
        <w:rPr>
          <w:rFonts w:cs="Arial"/>
        </w:rPr>
      </w:pPr>
      <w:r w:rsidRPr="00F377BA">
        <w:rPr>
          <w:rFonts w:cs="Arial"/>
        </w:rPr>
        <w:t>While specific deterrence may operate to reduce the effect of factors which would otherwise lead to greater leniency, the sentence imposed cannot exceed the objective seriousness of the single episode of offending which is before the court. There is also a limit to how far a court can negative legitimate mitigating factors by reference to the need to achieve a deterrent effect.</w:t>
      </w:r>
      <w:r w:rsidRPr="00F377BA">
        <w:rPr>
          <w:rFonts w:cs="Arial"/>
          <w:vertAlign w:val="superscript"/>
        </w:rPr>
        <w:t>’</w:t>
      </w:r>
    </w:p>
    <w:p w14:paraId="7DF72081" w14:textId="77777777" w:rsidR="00006CF0" w:rsidRPr="00F377BA" w:rsidRDefault="00006CF0" w:rsidP="003426B0">
      <w:pPr>
        <w:ind w:left="568"/>
        <w:contextualSpacing/>
        <w:jc w:val="both"/>
        <w:rPr>
          <w:rFonts w:cs="Arial"/>
        </w:rPr>
      </w:pPr>
      <w:r w:rsidRPr="00F377BA">
        <w:rPr>
          <w:rFonts w:cs="Arial"/>
        </w:rPr>
        <w:t>Strictly applied, these sentencing principles may preclude some perpetrators of domestic violence from being sentenced for their true crime (engaging in a persistent and deliberate pattern of violent behaviour over an extended period of time for the purpose of totally controlling the victim’s life).”</w:t>
      </w:r>
    </w:p>
    <w:p w14:paraId="7C173EB7" w14:textId="2A870A4F" w:rsidR="004206AD" w:rsidRDefault="0097285D" w:rsidP="00F377BA">
      <w:pPr>
        <w:pStyle w:val="Heading4"/>
        <w:keepNext/>
        <w:numPr>
          <w:ilvl w:val="0"/>
          <w:numId w:val="0"/>
        </w:numPr>
        <w:spacing w:after="0" w:line="259" w:lineRule="auto"/>
        <w:ind w:left="862" w:hanging="862"/>
        <w:rPr>
          <w:lang w:eastAsia="en-AU"/>
        </w:rPr>
      </w:pPr>
      <w:r>
        <w:rPr>
          <w:lang w:eastAsia="en-AU"/>
        </w:rPr>
        <w:t>PROPOSAL LR 4</w:t>
      </w:r>
      <w:r w:rsidR="00D266D3">
        <w:rPr>
          <w:lang w:eastAsia="en-AU"/>
        </w:rPr>
        <w:t>7</w:t>
      </w:r>
    </w:p>
    <w:p w14:paraId="22CDEE1D" w14:textId="77777777" w:rsidR="004206AD" w:rsidRPr="00D266D3" w:rsidRDefault="00664084" w:rsidP="00F377BA">
      <w:pPr>
        <w:spacing w:after="0" w:line="259" w:lineRule="auto"/>
        <w:jc w:val="both"/>
        <w:rPr>
          <w:rFonts w:cs="Arial"/>
          <w:b/>
        </w:rPr>
      </w:pPr>
      <w:r w:rsidRPr="00D266D3">
        <w:rPr>
          <w:rFonts w:cs="Arial"/>
          <w:b/>
        </w:rPr>
        <w:t xml:space="preserve">It is proposed to </w:t>
      </w:r>
      <w:r w:rsidR="00A676D4" w:rsidRPr="00D266D3">
        <w:rPr>
          <w:rFonts w:cs="Arial"/>
          <w:b/>
        </w:rPr>
        <w:t>a</w:t>
      </w:r>
      <w:r w:rsidR="004206AD" w:rsidRPr="00D266D3">
        <w:rPr>
          <w:rFonts w:cs="Arial"/>
          <w:b/>
        </w:rPr>
        <w:t xml:space="preserve">mend section 6A of the </w:t>
      </w:r>
      <w:r w:rsidR="004206AD" w:rsidRPr="00D266D3">
        <w:rPr>
          <w:rFonts w:cs="Arial"/>
          <w:b/>
          <w:i/>
        </w:rPr>
        <w:t xml:space="preserve">Sentencing Act 1995 </w:t>
      </w:r>
      <w:r w:rsidR="004206AD" w:rsidRPr="00D266D3">
        <w:rPr>
          <w:rFonts w:cs="Arial"/>
          <w:b/>
        </w:rPr>
        <w:t>to add the following aggravating factors to which a court must have regard in sentencing an offender:</w:t>
      </w:r>
    </w:p>
    <w:p w14:paraId="51349D49" w14:textId="77777777" w:rsidR="004206AD" w:rsidRPr="00D266D3" w:rsidRDefault="004206AD" w:rsidP="00F377BA">
      <w:pPr>
        <w:spacing w:after="0" w:line="259" w:lineRule="auto"/>
        <w:ind w:left="567"/>
        <w:rPr>
          <w:b/>
          <w:lang w:eastAsia="en-AU"/>
        </w:rPr>
      </w:pPr>
      <w:r w:rsidRPr="00D266D3">
        <w:rPr>
          <w:b/>
          <w:lang w:eastAsia="en-AU"/>
        </w:rPr>
        <w:t xml:space="preserve">The offender and the victim are in a domestic relationship, and </w:t>
      </w:r>
    </w:p>
    <w:p w14:paraId="6A82CFAF" w14:textId="43552EA5" w:rsidR="004206AD" w:rsidRPr="00D266D3" w:rsidRDefault="004206AD" w:rsidP="0067521E">
      <w:pPr>
        <w:numPr>
          <w:ilvl w:val="1"/>
          <w:numId w:val="77"/>
        </w:numPr>
        <w:spacing w:after="0" w:line="259" w:lineRule="auto"/>
        <w:ind w:left="993" w:hanging="426"/>
        <w:rPr>
          <w:b/>
          <w:lang w:eastAsia="en-AU"/>
        </w:rPr>
      </w:pPr>
      <w:r w:rsidRPr="00D266D3">
        <w:rPr>
          <w:b/>
          <w:lang w:eastAsia="en-AU"/>
        </w:rPr>
        <w:t>t</w:t>
      </w:r>
      <w:r w:rsidR="00DD15E2" w:rsidRPr="00D266D3">
        <w:rPr>
          <w:b/>
          <w:lang w:eastAsia="en-AU"/>
        </w:rPr>
        <w:t>here is physical or sexual abuse</w:t>
      </w:r>
      <w:r w:rsidRPr="00D266D3">
        <w:rPr>
          <w:b/>
          <w:lang w:eastAsia="en-AU"/>
        </w:rPr>
        <w:t xml:space="preserve"> by the offender against the victim</w:t>
      </w:r>
      <w:r w:rsidR="00DD15E2" w:rsidRPr="00D266D3">
        <w:rPr>
          <w:b/>
          <w:lang w:eastAsia="en-AU"/>
        </w:rPr>
        <w:t xml:space="preserve"> (including prior acts whether charged or uncharged)</w:t>
      </w:r>
      <w:r w:rsidRPr="00D266D3">
        <w:rPr>
          <w:b/>
          <w:lang w:eastAsia="en-AU"/>
        </w:rPr>
        <w:t>, or</w:t>
      </w:r>
    </w:p>
    <w:p w14:paraId="3766686E" w14:textId="0F526664" w:rsidR="004206AD" w:rsidRPr="00D266D3" w:rsidRDefault="004206AD" w:rsidP="0067521E">
      <w:pPr>
        <w:numPr>
          <w:ilvl w:val="1"/>
          <w:numId w:val="77"/>
        </w:numPr>
        <w:spacing w:after="0" w:line="259" w:lineRule="auto"/>
        <w:ind w:left="993" w:hanging="426"/>
        <w:rPr>
          <w:b/>
          <w:lang w:eastAsia="en-AU"/>
        </w:rPr>
      </w:pPr>
      <w:r w:rsidRPr="00D266D3">
        <w:rPr>
          <w:b/>
          <w:lang w:eastAsia="en-AU"/>
        </w:rPr>
        <w:t xml:space="preserve">there is </w:t>
      </w:r>
      <w:r w:rsidR="00DD7D0E" w:rsidRPr="00D266D3">
        <w:rPr>
          <w:b/>
          <w:lang w:eastAsia="en-AU"/>
        </w:rPr>
        <w:t xml:space="preserve">a pattern of </w:t>
      </w:r>
      <w:r w:rsidRPr="00D266D3">
        <w:rPr>
          <w:b/>
          <w:lang w:eastAsia="en-AU"/>
        </w:rPr>
        <w:t>coercive control by the offender against the victim, or</w:t>
      </w:r>
    </w:p>
    <w:p w14:paraId="6EC12777" w14:textId="77777777" w:rsidR="004206AD" w:rsidRPr="00D266D3" w:rsidRDefault="004206AD" w:rsidP="0067521E">
      <w:pPr>
        <w:numPr>
          <w:ilvl w:val="1"/>
          <w:numId w:val="77"/>
        </w:numPr>
        <w:spacing w:after="0" w:line="259" w:lineRule="auto"/>
        <w:ind w:left="993" w:hanging="426"/>
        <w:rPr>
          <w:b/>
          <w:lang w:eastAsia="en-AU"/>
        </w:rPr>
      </w:pPr>
      <w:r w:rsidRPr="00D266D3">
        <w:rPr>
          <w:b/>
          <w:lang w:eastAsia="en-AU"/>
        </w:rPr>
        <w:t>some or all of the conduct that formed part of the offence exposed a child or children to DFV, or</w:t>
      </w:r>
    </w:p>
    <w:p w14:paraId="0313E277" w14:textId="22D58249" w:rsidR="007776B7" w:rsidRPr="00D266D3" w:rsidRDefault="004206AD" w:rsidP="0067521E">
      <w:pPr>
        <w:numPr>
          <w:ilvl w:val="1"/>
          <w:numId w:val="77"/>
        </w:numPr>
        <w:spacing w:after="0" w:line="259" w:lineRule="auto"/>
        <w:ind w:left="993" w:hanging="426"/>
        <w:rPr>
          <w:b/>
          <w:lang w:eastAsia="en-AU"/>
        </w:rPr>
      </w:pPr>
      <w:r w:rsidRPr="00D266D3">
        <w:rPr>
          <w:b/>
          <w:lang w:eastAsia="en-AU"/>
        </w:rPr>
        <w:t>some or all of the conduct that formed part of the offence was also a contravention of a court order, including</w:t>
      </w:r>
      <w:r w:rsidR="00DD15E2" w:rsidRPr="00D266D3">
        <w:rPr>
          <w:b/>
          <w:lang w:eastAsia="en-AU"/>
        </w:rPr>
        <w:t xml:space="preserve"> a DVO,</w:t>
      </w:r>
    </w:p>
    <w:p w14:paraId="06ED28FF" w14:textId="5D9C0116" w:rsidR="00F03223" w:rsidRPr="00D266D3" w:rsidRDefault="007776B7" w:rsidP="00F377BA">
      <w:pPr>
        <w:spacing w:line="259" w:lineRule="auto"/>
        <w:rPr>
          <w:b/>
        </w:rPr>
      </w:pPr>
      <w:r w:rsidRPr="00D266D3">
        <w:rPr>
          <w:b/>
          <w:lang w:eastAsia="en-AU"/>
        </w:rPr>
        <w:t xml:space="preserve">It is </w:t>
      </w:r>
      <w:r w:rsidR="00D266D3" w:rsidRPr="00D266D3">
        <w:rPr>
          <w:b/>
          <w:lang w:eastAsia="en-AU"/>
        </w:rPr>
        <w:t xml:space="preserve">further </w:t>
      </w:r>
      <w:r w:rsidRPr="00D266D3">
        <w:rPr>
          <w:b/>
          <w:lang w:eastAsia="en-AU"/>
        </w:rPr>
        <w:t>proposed that</w:t>
      </w:r>
      <w:r w:rsidRPr="00D266D3">
        <w:rPr>
          <w:b/>
        </w:rPr>
        <w:t xml:space="preserve"> domestic relationship be</w:t>
      </w:r>
      <w:r w:rsidR="004206AD" w:rsidRPr="00D266D3">
        <w:rPr>
          <w:b/>
        </w:rPr>
        <w:t xml:space="preserve"> defined in accordance with the DFV</w:t>
      </w:r>
      <w:r w:rsidR="00F377BA">
        <w:rPr>
          <w:b/>
        </w:rPr>
        <w:t> </w:t>
      </w:r>
      <w:r w:rsidR="004206AD" w:rsidRPr="00D266D3">
        <w:rPr>
          <w:b/>
        </w:rPr>
        <w:t>A</w:t>
      </w:r>
      <w:r w:rsidR="00F377BA">
        <w:rPr>
          <w:b/>
        </w:rPr>
        <w:t>ct</w:t>
      </w:r>
      <w:r w:rsidR="004206AD" w:rsidRPr="00D266D3">
        <w:rPr>
          <w:b/>
        </w:rPr>
        <w:t>.</w:t>
      </w:r>
    </w:p>
    <w:p w14:paraId="534A7675" w14:textId="77777777" w:rsidR="004206AD" w:rsidRDefault="004206AD" w:rsidP="00F377BA">
      <w:pPr>
        <w:pStyle w:val="Heading3"/>
        <w:keepNext/>
        <w:rPr>
          <w:lang w:eastAsia="en-AU"/>
        </w:rPr>
      </w:pPr>
      <w:bookmarkStart w:id="78" w:name="_Toc112051865"/>
      <w:r>
        <w:rPr>
          <w:lang w:eastAsia="en-AU"/>
        </w:rPr>
        <w:t>Mitigating factor</w:t>
      </w:r>
      <w:bookmarkEnd w:id="78"/>
    </w:p>
    <w:p w14:paraId="58BEFA5D" w14:textId="672EC645" w:rsidR="00984F5E" w:rsidRDefault="00984F5E" w:rsidP="00F377BA">
      <w:r>
        <w:t xml:space="preserve">Section 5(2)(f) of the </w:t>
      </w:r>
      <w:r w:rsidRPr="00173C5D">
        <w:rPr>
          <w:i/>
        </w:rPr>
        <w:t xml:space="preserve">Sentencing Act </w:t>
      </w:r>
      <w:r w:rsidRPr="00173C5D">
        <w:t>1995</w:t>
      </w:r>
      <w:r>
        <w:t xml:space="preserve"> requires the Court to have regard to the presence of any mitigating circumstances.</w:t>
      </w:r>
    </w:p>
    <w:p w14:paraId="4BED2E3E" w14:textId="71BF8E14" w:rsidR="001657C7" w:rsidRDefault="001657C7" w:rsidP="00F377BA">
      <w:r>
        <w:t>There are situations in whic</w:t>
      </w:r>
      <w:r w:rsidR="00984F5E">
        <w:t xml:space="preserve">h being subjected to DFV (including </w:t>
      </w:r>
      <w:r>
        <w:t>coercive control</w:t>
      </w:r>
      <w:r w:rsidR="00984F5E">
        <w:t>)</w:t>
      </w:r>
      <w:r>
        <w:t xml:space="preserve"> may be a mitigating factor in of</w:t>
      </w:r>
      <w:r w:rsidR="00984F5E">
        <w:t xml:space="preserve">fending. </w:t>
      </w:r>
      <w:r w:rsidR="00F377BA">
        <w:t xml:space="preserve"> </w:t>
      </w:r>
      <w:r w:rsidR="00984F5E">
        <w:t xml:space="preserve">For example, where a victim-survivor of DFV </w:t>
      </w:r>
      <w:r>
        <w:t>acts in self-defence or retaliates against a</w:t>
      </w:r>
      <w:r w:rsidR="00EB0B16">
        <w:t xml:space="preserve"> perpetrator of DFV </w:t>
      </w:r>
      <w:r>
        <w:t xml:space="preserve">and </w:t>
      </w:r>
      <w:r w:rsidR="00984F5E">
        <w:t>is then charged with a criminal offence</w:t>
      </w:r>
      <w:r>
        <w:t>.  There</w:t>
      </w:r>
      <w:r w:rsidR="00984F5E">
        <w:t xml:space="preserve"> may also be situations in which a victim-survivor of DFV may commit an </w:t>
      </w:r>
      <w:r w:rsidR="00274DAD">
        <w:t>unrelated offence due to fear of the DFV perpetrator</w:t>
      </w:r>
      <w:r w:rsidR="00DD7D0E">
        <w:t xml:space="preserve"> or coercive control by the DFV perpetrator</w:t>
      </w:r>
      <w:r w:rsidR="00274DAD">
        <w:t xml:space="preserve">. </w:t>
      </w:r>
      <w:r w:rsidR="00984F5E">
        <w:t xml:space="preserve"> </w:t>
      </w:r>
      <w:r>
        <w:t xml:space="preserve"> </w:t>
      </w:r>
    </w:p>
    <w:p w14:paraId="6AAF4CB4" w14:textId="32E6663E" w:rsidR="004206AD" w:rsidRDefault="008E3B0A" w:rsidP="00F377BA">
      <w:r>
        <w:t>The Queensland Women’s Safety and Justice Taskforce</w:t>
      </w:r>
      <w:r w:rsidR="00B6490E">
        <w:t xml:space="preserve"> recommended that the Minister immediately progress amendments to the </w:t>
      </w:r>
      <w:r w:rsidR="00B6490E" w:rsidRPr="00173C5D">
        <w:rPr>
          <w:i/>
        </w:rPr>
        <w:t>Penalties and Sentencing Act</w:t>
      </w:r>
      <w:r w:rsidR="00B6490E" w:rsidRPr="00173C5D">
        <w:t xml:space="preserve"> 1992</w:t>
      </w:r>
      <w:r w:rsidR="00B6490E">
        <w:t xml:space="preserve"> </w:t>
      </w:r>
      <w:r w:rsidR="00C14DFB">
        <w:t xml:space="preserve">(Qld) </w:t>
      </w:r>
      <w:r w:rsidR="00B6490E">
        <w:t>to require a court, when sentencing an offender to consider whether the impact of being a victim of DFV, including coercive control, on their offending behaviour is a mitigating factor.</w:t>
      </w:r>
    </w:p>
    <w:p w14:paraId="48F949ED" w14:textId="2A221A78" w:rsidR="004206AD" w:rsidRDefault="0097285D" w:rsidP="00F377BA">
      <w:pPr>
        <w:pStyle w:val="Heading4"/>
        <w:keepNext/>
        <w:numPr>
          <w:ilvl w:val="0"/>
          <w:numId w:val="0"/>
        </w:numPr>
        <w:spacing w:after="0" w:line="259" w:lineRule="auto"/>
        <w:ind w:left="862" w:hanging="862"/>
        <w:rPr>
          <w:lang w:eastAsia="en-AU"/>
        </w:rPr>
      </w:pPr>
      <w:r>
        <w:rPr>
          <w:lang w:eastAsia="en-AU"/>
        </w:rPr>
        <w:t>PROPOSAL LR 4</w:t>
      </w:r>
      <w:r w:rsidR="00D266D3">
        <w:rPr>
          <w:lang w:eastAsia="en-AU"/>
        </w:rPr>
        <w:t>8</w:t>
      </w:r>
    </w:p>
    <w:p w14:paraId="145860BE" w14:textId="5438AD4A" w:rsidR="00D266D3" w:rsidRPr="00D266D3" w:rsidRDefault="00B6490E" w:rsidP="00F377BA">
      <w:pPr>
        <w:spacing w:line="259" w:lineRule="auto"/>
        <w:rPr>
          <w:b/>
          <w:lang w:eastAsia="en-AU"/>
        </w:rPr>
      </w:pPr>
      <w:r w:rsidRPr="00D266D3">
        <w:rPr>
          <w:b/>
          <w:lang w:eastAsia="en-AU"/>
        </w:rPr>
        <w:t>It is proposed to conduct further research</w:t>
      </w:r>
      <w:r w:rsidR="00EB0B16" w:rsidRPr="00D266D3">
        <w:rPr>
          <w:b/>
          <w:lang w:eastAsia="en-AU"/>
        </w:rPr>
        <w:t xml:space="preserve"> </w:t>
      </w:r>
      <w:r w:rsidR="00F03223" w:rsidRPr="00D266D3">
        <w:rPr>
          <w:b/>
          <w:lang w:eastAsia="en-AU"/>
        </w:rPr>
        <w:t xml:space="preserve">into whether </w:t>
      </w:r>
      <w:r w:rsidR="00F040E3" w:rsidRPr="00D266D3">
        <w:rPr>
          <w:b/>
          <w:lang w:eastAsia="en-AU"/>
        </w:rPr>
        <w:t xml:space="preserve">an amendment to the </w:t>
      </w:r>
      <w:r w:rsidR="00F040E3" w:rsidRPr="00D266D3">
        <w:rPr>
          <w:b/>
          <w:i/>
          <w:lang w:eastAsia="en-AU"/>
        </w:rPr>
        <w:t>Sentencing Act 1995</w:t>
      </w:r>
      <w:r w:rsidR="00F040E3" w:rsidRPr="00D266D3">
        <w:rPr>
          <w:b/>
          <w:lang w:eastAsia="en-AU"/>
        </w:rPr>
        <w:t xml:space="preserve"> is required so that being subjected to DFV, including coercive control, may be considered a</w:t>
      </w:r>
      <w:r w:rsidR="00F03223" w:rsidRPr="00D266D3">
        <w:rPr>
          <w:b/>
          <w:lang w:eastAsia="en-AU"/>
        </w:rPr>
        <w:t xml:space="preserve"> mitigating factor in sentencing</w:t>
      </w:r>
      <w:r w:rsidR="00F040E3" w:rsidRPr="00D266D3">
        <w:rPr>
          <w:b/>
          <w:lang w:eastAsia="en-AU"/>
        </w:rPr>
        <w:t>, and what form such an amendment should take.</w:t>
      </w:r>
      <w:r w:rsidR="00F03223" w:rsidRPr="00D266D3">
        <w:rPr>
          <w:b/>
          <w:lang w:eastAsia="en-AU"/>
        </w:rPr>
        <w:t xml:space="preserve"> </w:t>
      </w:r>
    </w:p>
    <w:p w14:paraId="78F60E6C" w14:textId="77777777" w:rsidR="004206AD" w:rsidRPr="00382115" w:rsidRDefault="004206AD" w:rsidP="00F377BA">
      <w:pPr>
        <w:pStyle w:val="Heading3"/>
        <w:keepNext/>
      </w:pPr>
      <w:bookmarkStart w:id="79" w:name="_Toc112051866"/>
      <w:r w:rsidRPr="00382115">
        <w:lastRenderedPageBreak/>
        <w:t>Requirement to consider</w:t>
      </w:r>
      <w:r w:rsidR="00B51331" w:rsidRPr="00382115">
        <w:t xml:space="preserve"> the risk of</w:t>
      </w:r>
      <w:r w:rsidRPr="00382115">
        <w:t xml:space="preserve"> DFV</w:t>
      </w:r>
      <w:bookmarkEnd w:id="79"/>
    </w:p>
    <w:p w14:paraId="5D4FAA66" w14:textId="5DC37D56" w:rsidR="00245FBF" w:rsidRPr="00C64408" w:rsidRDefault="00245FBF" w:rsidP="00F377BA">
      <w:r w:rsidRPr="00C64408">
        <w:t xml:space="preserve">A cross-agency Sentencing Reform Implementation Group has been established </w:t>
      </w:r>
      <w:r w:rsidR="00552361">
        <w:t xml:space="preserve">by the NT Government </w:t>
      </w:r>
      <w:r w:rsidRPr="00C64408">
        <w:t>to develop proposals for reform of mandatory sentencing provisions,</w:t>
      </w:r>
      <w:r w:rsidR="006675FB">
        <w:t xml:space="preserve"> and</w:t>
      </w:r>
      <w:r w:rsidR="00F377BA">
        <w:t xml:space="preserve"> community</w:t>
      </w:r>
      <w:r w:rsidR="00F377BA">
        <w:noBreakHyphen/>
      </w:r>
      <w:r w:rsidRPr="00C64408">
        <w:t>based sentenc</w:t>
      </w:r>
      <w:r w:rsidR="006675FB">
        <w:t xml:space="preserve">ing options </w:t>
      </w:r>
      <w:r w:rsidRPr="00C64408">
        <w:t>and offender programs.</w:t>
      </w:r>
    </w:p>
    <w:p w14:paraId="5448F0CE" w14:textId="19BC89A0" w:rsidR="00245FBF" w:rsidRPr="00C64408" w:rsidRDefault="00245FBF" w:rsidP="00F377BA">
      <w:r w:rsidRPr="00C64408">
        <w:t xml:space="preserve">As part of this reform, evidence-based rehabilitation and behaviour change programs and alternative to custody facilities will be established to deliver appropriate </w:t>
      </w:r>
      <w:r w:rsidR="006675FB">
        <w:t xml:space="preserve">community-based </w:t>
      </w:r>
      <w:r w:rsidRPr="00C64408">
        <w:t xml:space="preserve">sentencing options. </w:t>
      </w:r>
    </w:p>
    <w:p w14:paraId="0D4B024E" w14:textId="652DD691" w:rsidR="00245FBF" w:rsidRDefault="00245FBF" w:rsidP="00F377BA">
      <w:r w:rsidRPr="00C64408">
        <w:t xml:space="preserve">This reform progresses </w:t>
      </w:r>
      <w:r w:rsidR="006675FB">
        <w:t xml:space="preserve">the </w:t>
      </w:r>
      <w:r w:rsidRPr="00C64408">
        <w:t>Government’s commitments under the A</w:t>
      </w:r>
      <w:r w:rsidR="00F377BA">
        <w:t xml:space="preserve">JA </w:t>
      </w:r>
      <w:r w:rsidRPr="00C64408">
        <w:t>and will be informed by the NT Law Reform Committee’s report on Mandatory Sentencing and Community-Based Sentencing Options.</w:t>
      </w:r>
    </w:p>
    <w:p w14:paraId="5F916C50" w14:textId="41809961" w:rsidR="004206AD" w:rsidRDefault="00572EB3" w:rsidP="00F377BA">
      <w:r>
        <w:t xml:space="preserve">While these reforms </w:t>
      </w:r>
      <w:r w:rsidR="00F56FE3">
        <w:t>are still in development</w:t>
      </w:r>
      <w:r>
        <w:t>, it is important that DFV reforms and</w:t>
      </w:r>
      <w:r w:rsidR="00552361">
        <w:t xml:space="preserve"> Se</w:t>
      </w:r>
      <w:r w:rsidR="00F377BA">
        <w:t xml:space="preserve">ntencing reforms are aligned.  </w:t>
      </w:r>
      <w:r>
        <w:t>W</w:t>
      </w:r>
      <w:r w:rsidR="00F56FE3">
        <w:t>hen</w:t>
      </w:r>
      <w:r>
        <w:t xml:space="preserve"> the </w:t>
      </w:r>
      <w:r w:rsidR="00F377BA">
        <w:t xml:space="preserve">court </w:t>
      </w:r>
      <w:r>
        <w:t xml:space="preserve">is considering making a </w:t>
      </w:r>
      <w:r w:rsidR="00F56FE3">
        <w:t xml:space="preserve">community-based </w:t>
      </w:r>
      <w:r>
        <w:t>sentencing order for a domestic violence offender</w:t>
      </w:r>
      <w:r w:rsidR="00F56FE3">
        <w:t>,</w:t>
      </w:r>
      <w:r>
        <w:t xml:space="preserve"> it is important that the </w:t>
      </w:r>
      <w:r w:rsidR="00F377BA">
        <w:t xml:space="preserve">court </w:t>
      </w:r>
      <w:r>
        <w:t xml:space="preserve">consider the </w:t>
      </w:r>
      <w:r w:rsidR="00F56FE3">
        <w:t xml:space="preserve">risk of domestic violence to the victim </w:t>
      </w:r>
      <w:r w:rsidR="00552361">
        <w:t>and how this</w:t>
      </w:r>
      <w:r>
        <w:t xml:space="preserve"> can be mitigated. </w:t>
      </w:r>
    </w:p>
    <w:p w14:paraId="68F51453" w14:textId="6FA7AA85" w:rsidR="004206AD" w:rsidRDefault="0097285D" w:rsidP="00F377BA">
      <w:pPr>
        <w:pStyle w:val="Heading4"/>
        <w:keepNext/>
        <w:numPr>
          <w:ilvl w:val="0"/>
          <w:numId w:val="0"/>
        </w:numPr>
        <w:spacing w:after="0" w:line="259" w:lineRule="auto"/>
        <w:rPr>
          <w:lang w:eastAsia="en-AU"/>
        </w:rPr>
      </w:pPr>
      <w:r>
        <w:rPr>
          <w:lang w:eastAsia="en-AU"/>
        </w:rPr>
        <w:t>PROPOSAL LR 4</w:t>
      </w:r>
      <w:r w:rsidR="00D266D3">
        <w:rPr>
          <w:lang w:eastAsia="en-AU"/>
        </w:rPr>
        <w:t>9</w:t>
      </w:r>
    </w:p>
    <w:p w14:paraId="1D199723" w14:textId="1ACCF440" w:rsidR="004206AD" w:rsidRPr="00D266D3" w:rsidRDefault="004D0674" w:rsidP="00F377BA">
      <w:pPr>
        <w:pStyle w:val="PlainText"/>
        <w:keepNext/>
        <w:spacing w:line="259" w:lineRule="auto"/>
        <w:rPr>
          <w:rFonts w:asciiTheme="minorHAnsi" w:hAnsiTheme="minorHAnsi"/>
          <w:b/>
        </w:rPr>
      </w:pPr>
      <w:r w:rsidRPr="00D266D3">
        <w:rPr>
          <w:rFonts w:asciiTheme="minorHAnsi" w:hAnsiTheme="minorHAnsi"/>
          <w:b/>
        </w:rPr>
        <w:t xml:space="preserve">It is proposed </w:t>
      </w:r>
      <w:r w:rsidR="00572EB3" w:rsidRPr="00D266D3">
        <w:rPr>
          <w:rFonts w:asciiTheme="minorHAnsi" w:hAnsiTheme="minorHAnsi"/>
          <w:b/>
        </w:rPr>
        <w:t xml:space="preserve">that amendments to the </w:t>
      </w:r>
      <w:r w:rsidR="004206AD" w:rsidRPr="00D266D3">
        <w:rPr>
          <w:rFonts w:asciiTheme="minorHAnsi" w:hAnsiTheme="minorHAnsi"/>
          <w:b/>
          <w:i/>
          <w:iCs/>
        </w:rPr>
        <w:t>Sentencing Act 1995</w:t>
      </w:r>
      <w:r w:rsidR="004206AD" w:rsidRPr="00D266D3">
        <w:rPr>
          <w:rFonts w:asciiTheme="minorHAnsi" w:hAnsiTheme="minorHAnsi"/>
          <w:b/>
        </w:rPr>
        <w:t xml:space="preserve"> </w:t>
      </w:r>
      <w:r w:rsidR="00C96BB5" w:rsidRPr="00D266D3">
        <w:rPr>
          <w:rFonts w:asciiTheme="minorHAnsi" w:hAnsiTheme="minorHAnsi"/>
          <w:b/>
        </w:rPr>
        <w:t xml:space="preserve">are </w:t>
      </w:r>
      <w:r w:rsidR="00572EB3" w:rsidRPr="00D266D3">
        <w:rPr>
          <w:rFonts w:asciiTheme="minorHAnsi" w:hAnsiTheme="minorHAnsi"/>
          <w:b/>
        </w:rPr>
        <w:t xml:space="preserve">made requiring the </w:t>
      </w:r>
      <w:r w:rsidR="00F377BA" w:rsidRPr="00D266D3">
        <w:rPr>
          <w:rFonts w:asciiTheme="minorHAnsi" w:hAnsiTheme="minorHAnsi"/>
          <w:b/>
        </w:rPr>
        <w:t xml:space="preserve">court </w:t>
      </w:r>
      <w:r w:rsidR="00572EB3" w:rsidRPr="00D266D3">
        <w:rPr>
          <w:rFonts w:asciiTheme="minorHAnsi" w:hAnsiTheme="minorHAnsi"/>
          <w:b/>
        </w:rPr>
        <w:t xml:space="preserve">to consider the risk of domestic violence and how it could be mitigated </w:t>
      </w:r>
      <w:r w:rsidR="004206AD" w:rsidRPr="00D266D3">
        <w:rPr>
          <w:rFonts w:asciiTheme="minorHAnsi" w:hAnsiTheme="minorHAnsi"/>
          <w:b/>
        </w:rPr>
        <w:t xml:space="preserve">along the lines: </w:t>
      </w:r>
    </w:p>
    <w:p w14:paraId="00CA05F8" w14:textId="3A553E67" w:rsidR="004206AD" w:rsidRPr="00D266D3" w:rsidRDefault="004206AD" w:rsidP="00F377BA">
      <w:pPr>
        <w:pStyle w:val="PlainText"/>
        <w:spacing w:line="259" w:lineRule="auto"/>
        <w:ind w:left="567"/>
        <w:rPr>
          <w:rFonts w:asciiTheme="minorHAnsi" w:hAnsiTheme="minorHAnsi"/>
          <w:b/>
        </w:rPr>
      </w:pPr>
      <w:r w:rsidRPr="00D266D3">
        <w:rPr>
          <w:rFonts w:asciiTheme="minorHAnsi" w:hAnsiTheme="minorHAnsi"/>
          <w:b/>
        </w:rPr>
        <w:t xml:space="preserve">If the </w:t>
      </w:r>
      <w:r w:rsidR="00F377BA" w:rsidRPr="00D266D3">
        <w:rPr>
          <w:rFonts w:asciiTheme="minorHAnsi" w:hAnsiTheme="minorHAnsi"/>
          <w:b/>
        </w:rPr>
        <w:t xml:space="preserve">court </w:t>
      </w:r>
      <w:r w:rsidRPr="00D266D3">
        <w:rPr>
          <w:rFonts w:asciiTheme="minorHAnsi" w:hAnsiTheme="minorHAnsi"/>
          <w:b/>
        </w:rPr>
        <w:t>is considering making a sentencing order for a domestic violence offenc</w:t>
      </w:r>
      <w:r w:rsidR="00482CF3">
        <w:rPr>
          <w:rFonts w:asciiTheme="minorHAnsi" w:hAnsiTheme="minorHAnsi"/>
          <w:b/>
        </w:rPr>
        <w:t xml:space="preserve">e where the offender will be </w:t>
      </w:r>
      <w:r w:rsidRPr="00D266D3">
        <w:rPr>
          <w:rFonts w:asciiTheme="minorHAnsi" w:hAnsiTheme="minorHAnsi"/>
          <w:b/>
        </w:rPr>
        <w:t xml:space="preserve">living </w:t>
      </w:r>
      <w:r w:rsidR="00482CF3">
        <w:rPr>
          <w:rFonts w:asciiTheme="minorHAnsi" w:hAnsiTheme="minorHAnsi"/>
          <w:b/>
        </w:rPr>
        <w:t xml:space="preserve">in </w:t>
      </w:r>
      <w:r w:rsidRPr="00D266D3">
        <w:rPr>
          <w:rFonts w:asciiTheme="minorHAnsi" w:hAnsiTheme="minorHAnsi"/>
          <w:b/>
        </w:rPr>
        <w:t>the community</w:t>
      </w:r>
      <w:r w:rsidR="00F377BA">
        <w:rPr>
          <w:rFonts w:asciiTheme="minorHAnsi" w:hAnsiTheme="minorHAnsi"/>
          <w:b/>
        </w:rPr>
        <w:t>,</w:t>
      </w:r>
      <w:r w:rsidRPr="00D266D3">
        <w:rPr>
          <w:rFonts w:asciiTheme="minorHAnsi" w:hAnsiTheme="minorHAnsi"/>
          <w:b/>
        </w:rPr>
        <w:t xml:space="preserve"> the </w:t>
      </w:r>
      <w:r w:rsidR="00F377BA" w:rsidRPr="00D266D3">
        <w:rPr>
          <w:rFonts w:asciiTheme="minorHAnsi" w:hAnsiTheme="minorHAnsi"/>
          <w:b/>
        </w:rPr>
        <w:t xml:space="preserve">court </w:t>
      </w:r>
      <w:r w:rsidRPr="00D266D3">
        <w:rPr>
          <w:rFonts w:asciiTheme="minorHAnsi" w:hAnsiTheme="minorHAnsi"/>
          <w:b/>
        </w:rPr>
        <w:t>must:</w:t>
      </w:r>
    </w:p>
    <w:p w14:paraId="61BBEFF4" w14:textId="77777777" w:rsidR="004206AD" w:rsidRPr="00D266D3" w:rsidRDefault="004206AD" w:rsidP="0067521E">
      <w:pPr>
        <w:pStyle w:val="PlainText"/>
        <w:numPr>
          <w:ilvl w:val="0"/>
          <w:numId w:val="180"/>
        </w:numPr>
        <w:spacing w:line="259" w:lineRule="auto"/>
        <w:ind w:left="993" w:hanging="426"/>
        <w:rPr>
          <w:rFonts w:asciiTheme="minorHAnsi" w:hAnsiTheme="minorHAnsi"/>
          <w:b/>
        </w:rPr>
      </w:pPr>
      <w:r w:rsidRPr="00D266D3">
        <w:rPr>
          <w:rFonts w:asciiTheme="minorHAnsi" w:hAnsiTheme="minorHAnsi"/>
          <w:b/>
        </w:rPr>
        <w:t>consider whether there would be a risk that the accused would commit domestic violence;</w:t>
      </w:r>
    </w:p>
    <w:p w14:paraId="01F14919" w14:textId="77777777" w:rsidR="004206AD" w:rsidRPr="00D266D3" w:rsidRDefault="004206AD" w:rsidP="0067521E">
      <w:pPr>
        <w:pStyle w:val="PlainText"/>
        <w:numPr>
          <w:ilvl w:val="0"/>
          <w:numId w:val="180"/>
        </w:numPr>
        <w:spacing w:line="259" w:lineRule="auto"/>
        <w:ind w:left="993" w:hanging="426"/>
        <w:rPr>
          <w:rFonts w:asciiTheme="minorHAnsi" w:hAnsiTheme="minorHAnsi"/>
          <w:b/>
        </w:rPr>
      </w:pPr>
      <w:r w:rsidRPr="00D266D3">
        <w:rPr>
          <w:rFonts w:asciiTheme="minorHAnsi" w:hAnsiTheme="minorHAnsi"/>
          <w:b/>
        </w:rPr>
        <w:t>consider whether a condition of the order needs to be made to mitigate any risk of domestic violence;</w:t>
      </w:r>
    </w:p>
    <w:p w14:paraId="208DF550" w14:textId="379CB487" w:rsidR="004206AD" w:rsidRPr="00D266D3" w:rsidRDefault="004206AD" w:rsidP="0067521E">
      <w:pPr>
        <w:pStyle w:val="PlainText"/>
        <w:numPr>
          <w:ilvl w:val="0"/>
          <w:numId w:val="180"/>
        </w:numPr>
        <w:spacing w:line="259" w:lineRule="auto"/>
        <w:ind w:left="993" w:hanging="426"/>
        <w:rPr>
          <w:rFonts w:asciiTheme="minorHAnsi" w:hAnsiTheme="minorHAnsi"/>
          <w:b/>
        </w:rPr>
      </w:pPr>
      <w:r w:rsidRPr="00D266D3">
        <w:rPr>
          <w:rFonts w:asciiTheme="minorHAnsi" w:hAnsiTheme="minorHAnsi"/>
          <w:b/>
        </w:rPr>
        <w:t>consider whether a DVO needs to be made under s</w:t>
      </w:r>
      <w:r w:rsidR="00F377BA">
        <w:rPr>
          <w:rFonts w:asciiTheme="minorHAnsi" w:hAnsiTheme="minorHAnsi"/>
          <w:b/>
        </w:rPr>
        <w:t>ection </w:t>
      </w:r>
      <w:r w:rsidRPr="00D266D3">
        <w:rPr>
          <w:rFonts w:asciiTheme="minorHAnsi" w:hAnsiTheme="minorHAnsi"/>
          <w:b/>
        </w:rPr>
        <w:t>45 of the</w:t>
      </w:r>
      <w:r w:rsidR="00F377BA">
        <w:rPr>
          <w:rFonts w:asciiTheme="minorHAnsi" w:hAnsiTheme="minorHAnsi"/>
          <w:b/>
        </w:rPr>
        <w:t xml:space="preserve"> DFV Act</w:t>
      </w:r>
      <w:r w:rsidRPr="00D266D3">
        <w:rPr>
          <w:rFonts w:asciiTheme="minorHAnsi" w:hAnsiTheme="minorHAnsi"/>
          <w:b/>
          <w:i/>
          <w:iCs/>
        </w:rPr>
        <w:t xml:space="preserve"> </w:t>
      </w:r>
      <w:r w:rsidRPr="00D266D3">
        <w:rPr>
          <w:rFonts w:asciiTheme="minorHAnsi" w:hAnsiTheme="minorHAnsi"/>
          <w:b/>
        </w:rPr>
        <w:t>to mitigate any risk of domestic violence;</w:t>
      </w:r>
    </w:p>
    <w:p w14:paraId="0108BE82" w14:textId="506EB508" w:rsidR="004206AD" w:rsidRPr="00D266D3" w:rsidRDefault="004206AD" w:rsidP="0067521E">
      <w:pPr>
        <w:pStyle w:val="PlainText"/>
        <w:numPr>
          <w:ilvl w:val="0"/>
          <w:numId w:val="180"/>
        </w:numPr>
        <w:spacing w:line="259" w:lineRule="auto"/>
        <w:ind w:left="993" w:hanging="426"/>
        <w:rPr>
          <w:rFonts w:asciiTheme="minorHAnsi" w:hAnsiTheme="minorHAnsi"/>
          <w:b/>
        </w:rPr>
      </w:pPr>
      <w:r w:rsidRPr="00D266D3">
        <w:rPr>
          <w:rFonts w:asciiTheme="minorHAnsi" w:hAnsiTheme="minorHAnsi"/>
          <w:b/>
        </w:rPr>
        <w:t xml:space="preserve">if a DVO is already in force, the </w:t>
      </w:r>
      <w:r w:rsidR="00F377BA" w:rsidRPr="00D266D3">
        <w:rPr>
          <w:rFonts w:asciiTheme="minorHAnsi" w:hAnsiTheme="minorHAnsi"/>
          <w:b/>
        </w:rPr>
        <w:t xml:space="preserve">court </w:t>
      </w:r>
      <w:r w:rsidRPr="00D266D3">
        <w:rPr>
          <w:rFonts w:asciiTheme="minorHAnsi" w:hAnsiTheme="minorHAnsi"/>
          <w:b/>
        </w:rPr>
        <w:t>must consider whether the conditions and duration of the DVO need to be varied;</w:t>
      </w:r>
    </w:p>
    <w:p w14:paraId="47812D6F" w14:textId="304D6790" w:rsidR="004206AD" w:rsidRPr="00D266D3" w:rsidRDefault="004206AD" w:rsidP="0067521E">
      <w:pPr>
        <w:pStyle w:val="PlainText"/>
        <w:numPr>
          <w:ilvl w:val="0"/>
          <w:numId w:val="180"/>
        </w:numPr>
        <w:spacing w:line="259" w:lineRule="auto"/>
        <w:ind w:left="993" w:hanging="426"/>
        <w:rPr>
          <w:rFonts w:asciiTheme="minorHAnsi" w:hAnsiTheme="minorHAnsi"/>
          <w:b/>
        </w:rPr>
      </w:pPr>
      <w:r w:rsidRPr="00D266D3">
        <w:rPr>
          <w:rFonts w:asciiTheme="minorHAnsi" w:hAnsiTheme="minorHAnsi"/>
          <w:b/>
        </w:rPr>
        <w:t xml:space="preserve">ensure that the conditions of the order and </w:t>
      </w:r>
      <w:r w:rsidR="00C96BB5" w:rsidRPr="00D266D3">
        <w:rPr>
          <w:rFonts w:asciiTheme="minorHAnsi" w:hAnsiTheme="minorHAnsi"/>
          <w:b/>
        </w:rPr>
        <w:t>any</w:t>
      </w:r>
      <w:r w:rsidRPr="00D266D3">
        <w:rPr>
          <w:rFonts w:asciiTheme="minorHAnsi" w:hAnsiTheme="minorHAnsi"/>
          <w:b/>
        </w:rPr>
        <w:t xml:space="preserve"> DVO </w:t>
      </w:r>
      <w:r w:rsidR="00C96BB5" w:rsidRPr="00D266D3">
        <w:rPr>
          <w:rFonts w:asciiTheme="minorHAnsi" w:hAnsiTheme="minorHAnsi"/>
          <w:b/>
        </w:rPr>
        <w:t xml:space="preserve">in force </w:t>
      </w:r>
      <w:r w:rsidRPr="00D266D3">
        <w:rPr>
          <w:rFonts w:asciiTheme="minorHAnsi" w:hAnsiTheme="minorHAnsi"/>
          <w:b/>
        </w:rPr>
        <w:t>are not inconsistent.</w:t>
      </w:r>
    </w:p>
    <w:p w14:paraId="08D9DC31" w14:textId="1FEA3373" w:rsidR="00F76905" w:rsidRPr="00D266D3" w:rsidRDefault="00F76905" w:rsidP="00F377BA">
      <w:pPr>
        <w:pStyle w:val="PlainText"/>
        <w:spacing w:line="259" w:lineRule="auto"/>
        <w:rPr>
          <w:rFonts w:asciiTheme="minorHAnsi" w:hAnsiTheme="minorHAnsi"/>
          <w:b/>
        </w:rPr>
      </w:pPr>
      <w:r w:rsidRPr="00D266D3">
        <w:rPr>
          <w:rFonts w:asciiTheme="minorHAnsi" w:hAnsiTheme="minorHAnsi"/>
          <w:b/>
        </w:rPr>
        <w:t xml:space="preserve">It is proposed that the </w:t>
      </w:r>
      <w:r w:rsidR="00F377BA" w:rsidRPr="00D266D3">
        <w:rPr>
          <w:rFonts w:asciiTheme="minorHAnsi" w:hAnsiTheme="minorHAnsi"/>
          <w:b/>
        </w:rPr>
        <w:t xml:space="preserve">court </w:t>
      </w:r>
      <w:r w:rsidRPr="00D266D3">
        <w:rPr>
          <w:rFonts w:asciiTheme="minorHAnsi" w:hAnsiTheme="minorHAnsi"/>
          <w:b/>
        </w:rPr>
        <w:t xml:space="preserve">may have regard to any evidence before the court in relation to the risk that an offender would commit domestic violence.  Domestic violence and domestic relationship are </w:t>
      </w:r>
      <w:r w:rsidR="00A923DC" w:rsidRPr="00D266D3">
        <w:rPr>
          <w:rFonts w:asciiTheme="minorHAnsi" w:hAnsiTheme="minorHAnsi"/>
          <w:b/>
        </w:rPr>
        <w:t xml:space="preserve">proposed </w:t>
      </w:r>
      <w:r w:rsidRPr="00D266D3">
        <w:rPr>
          <w:rFonts w:asciiTheme="minorHAnsi" w:hAnsiTheme="minorHAnsi"/>
          <w:b/>
        </w:rPr>
        <w:t>to be defined in accordance with the DFV</w:t>
      </w:r>
      <w:r w:rsidR="00F377BA">
        <w:rPr>
          <w:rFonts w:asciiTheme="minorHAnsi" w:hAnsiTheme="minorHAnsi"/>
          <w:b/>
        </w:rPr>
        <w:t> </w:t>
      </w:r>
      <w:r w:rsidRPr="00D266D3">
        <w:rPr>
          <w:rFonts w:asciiTheme="minorHAnsi" w:hAnsiTheme="minorHAnsi"/>
          <w:b/>
        </w:rPr>
        <w:t>A</w:t>
      </w:r>
      <w:r w:rsidR="00F377BA">
        <w:rPr>
          <w:rFonts w:asciiTheme="minorHAnsi" w:hAnsiTheme="minorHAnsi"/>
          <w:b/>
        </w:rPr>
        <w:t>ct</w:t>
      </w:r>
      <w:r w:rsidRPr="00D266D3">
        <w:rPr>
          <w:rFonts w:asciiTheme="minorHAnsi" w:hAnsiTheme="minorHAnsi"/>
          <w:b/>
        </w:rPr>
        <w:t>.</w:t>
      </w:r>
    </w:p>
    <w:p w14:paraId="3B7119CF" w14:textId="3D179981" w:rsidR="00023623" w:rsidRPr="009A79AC" w:rsidRDefault="009A79AC" w:rsidP="00F377BA">
      <w:pPr>
        <w:pStyle w:val="Heading3"/>
        <w:keepNext/>
      </w:pPr>
      <w:bookmarkStart w:id="80" w:name="_Toc112051867"/>
      <w:r>
        <w:t>C</w:t>
      </w:r>
      <w:r w:rsidRPr="009A79AC">
        <w:t xml:space="preserve">ross examination </w:t>
      </w:r>
      <w:r>
        <w:t>of DFV and sexual offence victims on the content of victim impact statements</w:t>
      </w:r>
      <w:bookmarkEnd w:id="80"/>
    </w:p>
    <w:p w14:paraId="5C40B0BD" w14:textId="6A25D726" w:rsidR="0021140E" w:rsidRDefault="0021140E" w:rsidP="00F53D74">
      <w:r>
        <w:t>Victim impact statements and re</w:t>
      </w:r>
      <w:r w:rsidR="00CF5092">
        <w:t>ports are provided for in section 106B</w:t>
      </w:r>
      <w:r>
        <w:t xml:space="preserve"> of the </w:t>
      </w:r>
      <w:r w:rsidRPr="00F53D74">
        <w:rPr>
          <w:i/>
        </w:rPr>
        <w:t>Sentencing Act</w:t>
      </w:r>
      <w:r w:rsidRPr="00173C5D">
        <w:t xml:space="preserve"> 1995</w:t>
      </w:r>
      <w:r w:rsidRPr="0021140E">
        <w:t>.</w:t>
      </w:r>
    </w:p>
    <w:p w14:paraId="2866064B" w14:textId="7CD9F6F1" w:rsidR="0021140E" w:rsidRDefault="0021140E" w:rsidP="00866493">
      <w:r>
        <w:t xml:space="preserve">Section 106B(9) provides that a legal practitioner representing the offender, or with the leave of the court, the offender may cross examine the victim about the content of the victim impact statement. </w:t>
      </w:r>
    </w:p>
    <w:p w14:paraId="50E36E57" w14:textId="79E719CF" w:rsidR="00EE2F33" w:rsidRPr="0021140E" w:rsidRDefault="00EE2F33" w:rsidP="00173C5D">
      <w:pPr>
        <w:spacing w:line="276" w:lineRule="auto"/>
      </w:pPr>
      <w:r>
        <w:t>This is likely to be an unnecessary stress for the victim, at the end of lengthy criminal proceedings.</w:t>
      </w:r>
    </w:p>
    <w:p w14:paraId="24F21DCB" w14:textId="69E31FDA" w:rsidR="008A5707" w:rsidRDefault="00D266D3" w:rsidP="00F377BA">
      <w:pPr>
        <w:pStyle w:val="Heading4"/>
        <w:keepNext/>
        <w:numPr>
          <w:ilvl w:val="0"/>
          <w:numId w:val="0"/>
        </w:numPr>
        <w:spacing w:after="0" w:line="259" w:lineRule="auto"/>
        <w:ind w:left="862" w:hanging="862"/>
      </w:pPr>
      <w:r>
        <w:t xml:space="preserve">PROPOSAL </w:t>
      </w:r>
      <w:r w:rsidR="00CF3416">
        <w:t xml:space="preserve">LR </w:t>
      </w:r>
      <w:r w:rsidR="00A77596">
        <w:t>5</w:t>
      </w:r>
      <w:r>
        <w:t>0</w:t>
      </w:r>
    </w:p>
    <w:p w14:paraId="0941C4FE" w14:textId="77777777" w:rsidR="009879F2" w:rsidRPr="00F377BA" w:rsidRDefault="00E153FB" w:rsidP="00F377BA">
      <w:pPr>
        <w:spacing w:line="259" w:lineRule="auto"/>
        <w:rPr>
          <w:b/>
        </w:rPr>
      </w:pPr>
      <w:r w:rsidRPr="00F377BA">
        <w:rPr>
          <w:b/>
        </w:rPr>
        <w:t>It is p</w:t>
      </w:r>
      <w:r w:rsidR="00EE2F33" w:rsidRPr="00F377BA">
        <w:rPr>
          <w:b/>
        </w:rPr>
        <w:t>roposed to amend section 106B(9)</w:t>
      </w:r>
      <w:r w:rsidRPr="00F377BA">
        <w:rPr>
          <w:b/>
        </w:rPr>
        <w:t xml:space="preserve"> </w:t>
      </w:r>
      <w:r w:rsidR="00EE2F33" w:rsidRPr="00F377BA">
        <w:rPr>
          <w:b/>
        </w:rPr>
        <w:t>so that the offender or the offender’s legal practitioner cannot cross-examine a victim about the contents of a victim impact statement</w:t>
      </w:r>
      <w:r w:rsidR="009879F2" w:rsidRPr="00F377BA">
        <w:rPr>
          <w:b/>
        </w:rPr>
        <w:t>.</w:t>
      </w:r>
    </w:p>
    <w:p w14:paraId="4C980594" w14:textId="77777777" w:rsidR="00F377BA" w:rsidRDefault="00F377BA">
      <w:pPr>
        <w:rPr>
          <w:rFonts w:asciiTheme="majorHAnsi" w:eastAsiaTheme="majorEastAsia" w:hAnsiTheme="majorHAnsi" w:cstheme="majorBidi"/>
          <w:bCs/>
          <w:iCs/>
          <w:color w:val="454347"/>
          <w:sz w:val="32"/>
          <w:szCs w:val="32"/>
          <w:lang w:eastAsia="en-AU"/>
        </w:rPr>
      </w:pPr>
      <w:r>
        <w:rPr>
          <w:lang w:eastAsia="en-AU"/>
        </w:rPr>
        <w:br w:type="page"/>
      </w:r>
    </w:p>
    <w:p w14:paraId="23B68342" w14:textId="50D3134B" w:rsidR="00E153FB" w:rsidRPr="00E153FB" w:rsidRDefault="00FA4FCF" w:rsidP="00F377BA">
      <w:pPr>
        <w:pStyle w:val="Heading2"/>
        <w:ind w:left="1134"/>
        <w:rPr>
          <w:lang w:eastAsia="en-AU"/>
        </w:rPr>
      </w:pPr>
      <w:bookmarkStart w:id="81" w:name="_Toc112051868"/>
      <w:r>
        <w:rPr>
          <w:lang w:eastAsia="en-AU"/>
        </w:rPr>
        <w:lastRenderedPageBreak/>
        <w:t>Proposed amendments to the Criminal Code</w:t>
      </w:r>
      <w:bookmarkEnd w:id="81"/>
    </w:p>
    <w:p w14:paraId="5D8CA5DF" w14:textId="77777777" w:rsidR="00F8447E" w:rsidRDefault="00F8447E" w:rsidP="00025605">
      <w:pPr>
        <w:pStyle w:val="Heading3"/>
        <w:rPr>
          <w:lang w:eastAsia="en-AU"/>
        </w:rPr>
      </w:pPr>
      <w:bookmarkStart w:id="82" w:name="_Toc112051869"/>
      <w:r>
        <w:rPr>
          <w:lang w:eastAsia="en-AU"/>
        </w:rPr>
        <w:t>Definition of harm</w:t>
      </w:r>
      <w:bookmarkEnd w:id="82"/>
    </w:p>
    <w:p w14:paraId="4EED0830" w14:textId="1D1CCEE8" w:rsidR="006A3BD6" w:rsidRPr="00173C5D" w:rsidRDefault="00B120DC" w:rsidP="00C27476">
      <w:r w:rsidRPr="00173C5D">
        <w:t xml:space="preserve">This review has identified significant ways in which </w:t>
      </w:r>
      <w:r w:rsidR="00F909BE" w:rsidRPr="00173C5D">
        <w:t xml:space="preserve">criminal law </w:t>
      </w:r>
      <w:r w:rsidRPr="00173C5D">
        <w:t xml:space="preserve">and practice in the NT can be reformed to better respond to DFV and coercive control, and </w:t>
      </w:r>
      <w:r w:rsidR="00F909BE" w:rsidRPr="00173C5D">
        <w:t xml:space="preserve">to recognise the </w:t>
      </w:r>
      <w:r w:rsidRPr="00173C5D">
        <w:t xml:space="preserve">cumulative </w:t>
      </w:r>
      <w:r w:rsidR="00F909BE" w:rsidRPr="00173C5D">
        <w:t>nature of the harm arising from DFV.</w:t>
      </w:r>
      <w:r w:rsidR="002F0FA3" w:rsidRPr="00173C5D">
        <w:t xml:space="preserve">  </w:t>
      </w:r>
      <w:r w:rsidR="00DA5F22" w:rsidRPr="00173C5D">
        <w:t>One important way this ca</w:t>
      </w:r>
      <w:r w:rsidR="00464FDA" w:rsidRPr="00173C5D">
        <w:t>n occur is recognition that significant psychological harm may result from coercive control, even in the absence of physical harm.</w:t>
      </w:r>
    </w:p>
    <w:p w14:paraId="559D0FEA" w14:textId="7F0FDB15" w:rsidR="00DE39A2" w:rsidRPr="007804B5" w:rsidRDefault="00DE39A2" w:rsidP="00C27476">
      <w:pPr>
        <w:spacing w:after="120"/>
        <w:jc w:val="both"/>
        <w:rPr>
          <w:rFonts w:cs="Arial"/>
          <w:lang w:val="en-US"/>
        </w:rPr>
      </w:pPr>
      <w:r w:rsidRPr="007804B5">
        <w:rPr>
          <w:rFonts w:cs="Arial"/>
          <w:lang w:val="en-US"/>
        </w:rPr>
        <w:t>Section 1A of the Criminal Code provides</w:t>
      </w:r>
      <w:r w:rsidR="00495D45">
        <w:rPr>
          <w:rFonts w:cs="Arial"/>
          <w:lang w:val="en-US"/>
        </w:rPr>
        <w:t xml:space="preserve"> the definition of harm in the following terms</w:t>
      </w:r>
      <w:r w:rsidRPr="007804B5">
        <w:rPr>
          <w:rFonts w:cs="Arial"/>
          <w:lang w:val="en-US"/>
        </w:rPr>
        <w:t>:</w:t>
      </w:r>
    </w:p>
    <w:p w14:paraId="057855AF" w14:textId="4B58E334" w:rsidR="00DE39A2" w:rsidRPr="00C27476" w:rsidRDefault="00C27476" w:rsidP="00C27476">
      <w:pPr>
        <w:tabs>
          <w:tab w:val="left" w:pos="1134"/>
        </w:tabs>
        <w:autoSpaceDE w:val="0"/>
        <w:autoSpaceDN w:val="0"/>
        <w:adjustRightInd w:val="0"/>
        <w:spacing w:after="120"/>
        <w:ind w:left="567" w:hanging="567"/>
        <w:jc w:val="both"/>
        <w:rPr>
          <w:rFonts w:cs="Arial"/>
          <w:color w:val="000000"/>
        </w:rPr>
      </w:pPr>
      <w:r>
        <w:rPr>
          <w:rFonts w:cs="Arial"/>
          <w:color w:val="000000"/>
        </w:rPr>
        <w:t>(1)</w:t>
      </w:r>
      <w:r w:rsidR="00DE39A2" w:rsidRPr="00C27476">
        <w:rPr>
          <w:rFonts w:cs="Arial"/>
          <w:color w:val="000000"/>
        </w:rPr>
        <w:tab/>
        <w:t xml:space="preserve">Harm is physical harm or harm to a person's mental health, whether temporary or permanent. </w:t>
      </w:r>
    </w:p>
    <w:p w14:paraId="747BCD99" w14:textId="54240ABE" w:rsidR="00DE39A2" w:rsidRPr="00C27476" w:rsidRDefault="00C27476" w:rsidP="00C27476">
      <w:pPr>
        <w:tabs>
          <w:tab w:val="left" w:pos="1134"/>
        </w:tabs>
        <w:autoSpaceDE w:val="0"/>
        <w:autoSpaceDN w:val="0"/>
        <w:adjustRightInd w:val="0"/>
        <w:spacing w:after="120"/>
        <w:ind w:left="567" w:hanging="567"/>
        <w:jc w:val="both"/>
        <w:rPr>
          <w:rFonts w:cs="Arial"/>
          <w:color w:val="000000"/>
        </w:rPr>
      </w:pPr>
      <w:r>
        <w:rPr>
          <w:rFonts w:cs="Arial"/>
          <w:color w:val="000000"/>
        </w:rPr>
        <w:t>(2)</w:t>
      </w:r>
      <w:r w:rsidR="00DE39A2" w:rsidRPr="00C27476">
        <w:rPr>
          <w:rFonts w:cs="Arial"/>
          <w:color w:val="000000"/>
        </w:rPr>
        <w:tab/>
        <w:t xml:space="preserve">Physical harm includes unconsciousness, pain, disfigurement, infection with a disease and any physical contact with a person that a person might reasonably object to in the circumstances, whether or not the person was aware of it at the time. </w:t>
      </w:r>
    </w:p>
    <w:p w14:paraId="4C8B5B2C" w14:textId="71354089" w:rsidR="00DE39A2" w:rsidRPr="00C27476" w:rsidRDefault="00C27476" w:rsidP="00C27476">
      <w:pPr>
        <w:tabs>
          <w:tab w:val="left" w:pos="1134"/>
        </w:tabs>
        <w:autoSpaceDE w:val="0"/>
        <w:autoSpaceDN w:val="0"/>
        <w:adjustRightInd w:val="0"/>
        <w:spacing w:after="120"/>
        <w:ind w:left="567" w:hanging="567"/>
        <w:jc w:val="both"/>
        <w:rPr>
          <w:rFonts w:cs="Arial"/>
          <w:color w:val="000000"/>
        </w:rPr>
      </w:pPr>
      <w:r>
        <w:rPr>
          <w:rFonts w:cs="Arial"/>
          <w:color w:val="000000"/>
        </w:rPr>
        <w:t>(3)</w:t>
      </w:r>
      <w:r w:rsidR="00DE39A2" w:rsidRPr="00C27476">
        <w:rPr>
          <w:rFonts w:cs="Arial"/>
          <w:color w:val="000000"/>
        </w:rPr>
        <w:tab/>
        <w:t>Harm to a person's mental health includes significant psychological harm, but does not include mere ordinary emotional reactions such as those of only distress, grief, fear or anger.</w:t>
      </w:r>
    </w:p>
    <w:p w14:paraId="42305E30" w14:textId="502F60E2" w:rsidR="006A3BD6" w:rsidRPr="00C27476" w:rsidRDefault="00C27476" w:rsidP="00C27476">
      <w:pPr>
        <w:tabs>
          <w:tab w:val="left" w:pos="1134"/>
        </w:tabs>
        <w:autoSpaceDE w:val="0"/>
        <w:autoSpaceDN w:val="0"/>
        <w:adjustRightInd w:val="0"/>
        <w:spacing w:after="120"/>
        <w:ind w:left="567" w:hanging="567"/>
        <w:jc w:val="both"/>
        <w:rPr>
          <w:rFonts w:cs="Arial"/>
          <w:color w:val="000000"/>
        </w:rPr>
      </w:pPr>
      <w:r>
        <w:rPr>
          <w:rFonts w:cs="Arial"/>
          <w:color w:val="000000"/>
        </w:rPr>
        <w:t>(4)</w:t>
      </w:r>
      <w:r>
        <w:rPr>
          <w:rFonts w:cs="Arial"/>
          <w:color w:val="000000"/>
        </w:rPr>
        <w:tab/>
      </w:r>
      <w:r w:rsidR="00DE39A2" w:rsidRPr="00C27476">
        <w:rPr>
          <w:rFonts w:cs="Arial"/>
          <w:color w:val="000000"/>
        </w:rPr>
        <w:t>Harm does not include being subjected to any force or impact that is within the limits of what is acceptable as incidental to social interaction or to life in the community.</w:t>
      </w:r>
      <w:r w:rsidR="00464FDA" w:rsidRPr="00C27476">
        <w:rPr>
          <w:rFonts w:cs="Arial"/>
          <w:color w:val="000000"/>
        </w:rPr>
        <w:t xml:space="preserve"> </w:t>
      </w:r>
    </w:p>
    <w:p w14:paraId="327F88A3" w14:textId="6EE6B3D8" w:rsidR="00F8447E" w:rsidRDefault="00A77596" w:rsidP="00C27476">
      <w:pPr>
        <w:pStyle w:val="Heading4"/>
        <w:keepNext/>
        <w:numPr>
          <w:ilvl w:val="0"/>
          <w:numId w:val="0"/>
        </w:numPr>
        <w:spacing w:after="0" w:line="259" w:lineRule="auto"/>
        <w:ind w:left="862" w:hanging="862"/>
        <w:rPr>
          <w:lang w:eastAsia="en-AU"/>
        </w:rPr>
      </w:pPr>
      <w:r>
        <w:rPr>
          <w:lang w:eastAsia="en-AU"/>
        </w:rPr>
        <w:t>PROPOSAL LR 5</w:t>
      </w:r>
      <w:r w:rsidR="00CF3416">
        <w:rPr>
          <w:lang w:eastAsia="en-AU"/>
        </w:rPr>
        <w:t xml:space="preserve">1 </w:t>
      </w:r>
    </w:p>
    <w:p w14:paraId="61A9B618" w14:textId="3BE8501F" w:rsidR="00F8447E" w:rsidRPr="00CF3416" w:rsidRDefault="001C3A7B" w:rsidP="00C27476">
      <w:pPr>
        <w:tabs>
          <w:tab w:val="left" w:pos="1134"/>
        </w:tabs>
        <w:autoSpaceDE w:val="0"/>
        <w:autoSpaceDN w:val="0"/>
        <w:adjustRightInd w:val="0"/>
        <w:spacing w:after="0" w:line="259" w:lineRule="auto"/>
        <w:jc w:val="both"/>
        <w:rPr>
          <w:rFonts w:cs="Arial"/>
          <w:b/>
          <w:color w:val="000000"/>
        </w:rPr>
      </w:pPr>
      <w:r w:rsidRPr="00CF3416">
        <w:rPr>
          <w:rFonts w:cs="Arial"/>
          <w:b/>
          <w:color w:val="000000"/>
        </w:rPr>
        <w:t>It is proposed to a</w:t>
      </w:r>
      <w:r w:rsidR="00F8447E" w:rsidRPr="00CF3416">
        <w:rPr>
          <w:rFonts w:cs="Arial"/>
          <w:b/>
          <w:color w:val="000000"/>
        </w:rPr>
        <w:t xml:space="preserve">mend </w:t>
      </w:r>
      <w:r w:rsidRPr="00CF3416">
        <w:rPr>
          <w:rFonts w:cs="Arial"/>
          <w:b/>
          <w:color w:val="000000"/>
        </w:rPr>
        <w:t xml:space="preserve">the definition of harm in </w:t>
      </w:r>
      <w:r w:rsidR="00F8447E" w:rsidRPr="00CF3416">
        <w:rPr>
          <w:rFonts w:cs="Arial"/>
          <w:b/>
          <w:color w:val="000000"/>
        </w:rPr>
        <w:t>section 1A</w:t>
      </w:r>
      <w:r w:rsidRPr="00CF3416">
        <w:rPr>
          <w:rFonts w:cs="Arial"/>
          <w:b/>
          <w:color w:val="000000"/>
        </w:rPr>
        <w:t>(3)</w:t>
      </w:r>
      <w:r w:rsidR="00F8447E" w:rsidRPr="00CF3416">
        <w:rPr>
          <w:rFonts w:cs="Arial"/>
          <w:b/>
          <w:color w:val="000000"/>
        </w:rPr>
        <w:t xml:space="preserve"> </w:t>
      </w:r>
      <w:r w:rsidRPr="00CF3416">
        <w:rPr>
          <w:rFonts w:cs="Arial"/>
          <w:b/>
          <w:color w:val="000000"/>
        </w:rPr>
        <w:t xml:space="preserve">of the Criminal Code </w:t>
      </w:r>
      <w:r w:rsidR="00F8447E" w:rsidRPr="00CF3416">
        <w:rPr>
          <w:rFonts w:cs="Arial"/>
          <w:b/>
          <w:color w:val="000000"/>
        </w:rPr>
        <w:t xml:space="preserve">to recognise that coercive control may </w:t>
      </w:r>
      <w:r w:rsidR="00F377BA">
        <w:rPr>
          <w:rFonts w:cs="Arial"/>
          <w:b/>
          <w:color w:val="000000"/>
        </w:rPr>
        <w:t>result in harm, along the lines:</w:t>
      </w:r>
    </w:p>
    <w:p w14:paraId="46BBB19A" w14:textId="77777777" w:rsidR="00F8447E" w:rsidRPr="00CF3416" w:rsidRDefault="00F8447E" w:rsidP="00C27476">
      <w:pPr>
        <w:tabs>
          <w:tab w:val="left" w:pos="1134"/>
        </w:tabs>
        <w:autoSpaceDE w:val="0"/>
        <w:autoSpaceDN w:val="0"/>
        <w:adjustRightInd w:val="0"/>
        <w:spacing w:after="0" w:line="259" w:lineRule="auto"/>
        <w:ind w:left="567"/>
        <w:jc w:val="both"/>
        <w:rPr>
          <w:rFonts w:cs="Arial"/>
          <w:b/>
          <w:color w:val="000000"/>
        </w:rPr>
      </w:pPr>
      <w:r w:rsidRPr="00CF3416">
        <w:rPr>
          <w:rFonts w:cs="Arial"/>
          <w:b/>
          <w:color w:val="000000"/>
        </w:rPr>
        <w:t>A pattern of coercive control or other forms of domestic violence occurring in a domestic relationship may result in significant psychological harm, even in the absence of physical harm.</w:t>
      </w:r>
    </w:p>
    <w:p w14:paraId="103E228F" w14:textId="49B5CF32" w:rsidR="006734EB" w:rsidRDefault="00EA78D4" w:rsidP="00C27476">
      <w:pPr>
        <w:tabs>
          <w:tab w:val="left" w:pos="1134"/>
        </w:tabs>
        <w:autoSpaceDE w:val="0"/>
        <w:autoSpaceDN w:val="0"/>
        <w:adjustRightInd w:val="0"/>
        <w:spacing w:after="120" w:line="259" w:lineRule="auto"/>
        <w:jc w:val="both"/>
        <w:rPr>
          <w:rFonts w:cs="Arial"/>
          <w:color w:val="000000"/>
        </w:rPr>
      </w:pPr>
      <w:r w:rsidRPr="00CF3416">
        <w:rPr>
          <w:rFonts w:cs="Arial"/>
          <w:b/>
          <w:color w:val="000000"/>
        </w:rPr>
        <w:t xml:space="preserve">It is proposed </w:t>
      </w:r>
      <w:r w:rsidR="00F8447E" w:rsidRPr="00CF3416">
        <w:rPr>
          <w:rFonts w:cs="Arial"/>
          <w:b/>
          <w:color w:val="000000"/>
        </w:rPr>
        <w:t>that domestic violence</w:t>
      </w:r>
      <w:r w:rsidRPr="00CF3416">
        <w:rPr>
          <w:rFonts w:cs="Arial"/>
          <w:b/>
          <w:color w:val="000000"/>
        </w:rPr>
        <w:t>,</w:t>
      </w:r>
      <w:r w:rsidR="00C85943" w:rsidRPr="00CF3416">
        <w:rPr>
          <w:rFonts w:cs="Arial"/>
          <w:b/>
          <w:color w:val="000000"/>
        </w:rPr>
        <w:t xml:space="preserve"> domestic relationship</w:t>
      </w:r>
      <w:r w:rsidR="001C3A7B" w:rsidRPr="00CF3416">
        <w:rPr>
          <w:rFonts w:cs="Arial"/>
          <w:b/>
          <w:color w:val="000000"/>
        </w:rPr>
        <w:t xml:space="preserve"> </w:t>
      </w:r>
      <w:r w:rsidRPr="00CF3416">
        <w:rPr>
          <w:rFonts w:cs="Arial"/>
          <w:b/>
          <w:color w:val="000000"/>
        </w:rPr>
        <w:t xml:space="preserve">and coercive control </w:t>
      </w:r>
      <w:r w:rsidR="00F8447E" w:rsidRPr="00CF3416">
        <w:rPr>
          <w:rFonts w:cs="Arial"/>
          <w:b/>
          <w:color w:val="000000"/>
        </w:rPr>
        <w:t>is defin</w:t>
      </w:r>
      <w:r w:rsidR="001C3A7B" w:rsidRPr="00CF3416">
        <w:rPr>
          <w:rFonts w:cs="Arial"/>
          <w:b/>
          <w:color w:val="000000"/>
        </w:rPr>
        <w:t>ed in accordance with the DFV</w:t>
      </w:r>
      <w:r w:rsidR="00F377BA">
        <w:rPr>
          <w:rFonts w:cs="Arial"/>
          <w:b/>
          <w:color w:val="000000"/>
        </w:rPr>
        <w:t xml:space="preserve"> Act.</w:t>
      </w:r>
      <w:r w:rsidR="001C3A7B" w:rsidRPr="00CF3416">
        <w:rPr>
          <w:rFonts w:cs="Arial"/>
          <w:b/>
          <w:color w:val="000000"/>
        </w:rPr>
        <w:t xml:space="preserve">  </w:t>
      </w:r>
      <w:r w:rsidRPr="00CF3416">
        <w:rPr>
          <w:rFonts w:cs="Arial"/>
          <w:b/>
          <w:color w:val="000000"/>
        </w:rPr>
        <w:t xml:space="preserve">This review proposes </w:t>
      </w:r>
      <w:r w:rsidR="00CE2AC4" w:rsidRPr="00CF3416">
        <w:rPr>
          <w:rFonts w:cs="Arial"/>
          <w:b/>
          <w:color w:val="000000"/>
        </w:rPr>
        <w:t>that a</w:t>
      </w:r>
      <w:r w:rsidR="001C3A7B" w:rsidRPr="00CF3416">
        <w:rPr>
          <w:rFonts w:cs="Arial"/>
          <w:b/>
          <w:color w:val="000000"/>
        </w:rPr>
        <w:t xml:space="preserve"> definition of</w:t>
      </w:r>
      <w:r w:rsidR="00F8447E" w:rsidRPr="00CF3416">
        <w:rPr>
          <w:rFonts w:cs="Arial"/>
          <w:b/>
          <w:color w:val="000000"/>
        </w:rPr>
        <w:t xml:space="preserve"> coercive control </w:t>
      </w:r>
      <w:r w:rsidR="001C3A7B" w:rsidRPr="00CF3416">
        <w:rPr>
          <w:rFonts w:cs="Arial"/>
          <w:b/>
          <w:color w:val="000000"/>
        </w:rPr>
        <w:t>be</w:t>
      </w:r>
      <w:r w:rsidRPr="00CF3416">
        <w:rPr>
          <w:rFonts w:cs="Arial"/>
          <w:b/>
          <w:color w:val="000000"/>
        </w:rPr>
        <w:t xml:space="preserve"> added</w:t>
      </w:r>
      <w:r w:rsidR="001C3A7B" w:rsidRPr="00CF3416">
        <w:rPr>
          <w:rFonts w:cs="Arial"/>
          <w:b/>
          <w:color w:val="000000"/>
        </w:rPr>
        <w:t xml:space="preserve"> </w:t>
      </w:r>
      <w:r w:rsidRPr="00CF3416">
        <w:rPr>
          <w:rFonts w:cs="Arial"/>
          <w:b/>
          <w:color w:val="000000"/>
        </w:rPr>
        <w:t>to</w:t>
      </w:r>
      <w:r w:rsidR="00F8447E" w:rsidRPr="00CF3416">
        <w:rPr>
          <w:rFonts w:cs="Arial"/>
          <w:b/>
          <w:color w:val="000000"/>
        </w:rPr>
        <w:t xml:space="preserve"> the DFV</w:t>
      </w:r>
      <w:r w:rsidR="00F377BA">
        <w:rPr>
          <w:rFonts w:cs="Arial"/>
          <w:b/>
          <w:color w:val="000000"/>
        </w:rPr>
        <w:t xml:space="preserve"> </w:t>
      </w:r>
      <w:r w:rsidR="00F8447E" w:rsidRPr="00CF3416">
        <w:rPr>
          <w:rFonts w:cs="Arial"/>
          <w:b/>
          <w:color w:val="000000"/>
        </w:rPr>
        <w:t>A</w:t>
      </w:r>
      <w:r w:rsidR="00F377BA">
        <w:rPr>
          <w:rFonts w:cs="Arial"/>
          <w:b/>
          <w:color w:val="000000"/>
        </w:rPr>
        <w:t>ct</w:t>
      </w:r>
      <w:r w:rsidR="00547B4D">
        <w:rPr>
          <w:rFonts w:cs="Arial"/>
          <w:b/>
          <w:color w:val="000000"/>
        </w:rPr>
        <w:t xml:space="preserve"> (see </w:t>
      </w:r>
      <w:r w:rsidR="00F377BA" w:rsidRPr="00F377BA">
        <w:rPr>
          <w:rFonts w:cs="Arial"/>
          <w:b/>
          <w:color w:val="000000"/>
        </w:rPr>
        <w:t xml:space="preserve">proposal </w:t>
      </w:r>
      <w:r w:rsidR="00547B4D" w:rsidRPr="00F377BA">
        <w:rPr>
          <w:rFonts w:cs="Arial"/>
          <w:b/>
          <w:color w:val="000000"/>
        </w:rPr>
        <w:t>LR 6</w:t>
      </w:r>
      <w:r w:rsidR="00547B4D">
        <w:rPr>
          <w:rFonts w:cs="Arial"/>
          <w:b/>
          <w:color w:val="000000"/>
        </w:rPr>
        <w:t>)</w:t>
      </w:r>
      <w:r w:rsidR="001C3A7B" w:rsidRPr="00CF3416">
        <w:rPr>
          <w:rFonts w:cs="Arial"/>
          <w:b/>
          <w:color w:val="000000"/>
        </w:rPr>
        <w:t>.</w:t>
      </w:r>
    </w:p>
    <w:p w14:paraId="4919EFD0" w14:textId="77777777" w:rsidR="00F8447E" w:rsidRDefault="00F8447E" w:rsidP="00C27476">
      <w:pPr>
        <w:pStyle w:val="Heading3"/>
        <w:keepNext/>
        <w:rPr>
          <w:lang w:eastAsia="en-AU"/>
        </w:rPr>
      </w:pPr>
      <w:bookmarkStart w:id="83" w:name="_Toc112051870"/>
      <w:r>
        <w:rPr>
          <w:lang w:eastAsia="en-AU"/>
        </w:rPr>
        <w:t>Assault with aggravating features</w:t>
      </w:r>
      <w:bookmarkEnd w:id="83"/>
    </w:p>
    <w:p w14:paraId="0311DE40" w14:textId="77777777" w:rsidR="00690316" w:rsidRDefault="00690316" w:rsidP="00C27476">
      <w:r>
        <w:t xml:space="preserve">The </w:t>
      </w:r>
      <w:r w:rsidRPr="00547B4D">
        <w:rPr>
          <w:i/>
        </w:rPr>
        <w:t>Justice Legislation Amendment (Domestic and Family Violence) Act 2020</w:t>
      </w:r>
      <w:r>
        <w:t xml:space="preserve"> passed in the Northern Territory Legislative Assembly on 25 June 2020 and commenced on 29 July 2020.</w:t>
      </w:r>
    </w:p>
    <w:p w14:paraId="7CE8C437" w14:textId="23AAC9F9" w:rsidR="0086342E" w:rsidRPr="00F53D74" w:rsidRDefault="00C27476" w:rsidP="00C27476">
      <w:r>
        <w:t>That</w:t>
      </w:r>
      <w:r w:rsidR="00690316">
        <w:t xml:space="preserve"> Act </w:t>
      </w:r>
      <w:r w:rsidR="00E73854">
        <w:t>introduced</w:t>
      </w:r>
      <w:r w:rsidR="00690316" w:rsidRPr="00CC40D2">
        <w:t xml:space="preserve"> a new Criminal Code offence of choking, suffocation and strangulation in a domestic relationship</w:t>
      </w:r>
      <w:r w:rsidR="00525AE2">
        <w:t xml:space="preserve"> (section 188AA)</w:t>
      </w:r>
      <w:r w:rsidR="00690316" w:rsidRPr="00CC40D2">
        <w:t>.</w:t>
      </w:r>
      <w:r w:rsidR="00690316">
        <w:t xml:space="preserve">  The new offence was created in recognition that, if choking occurs as part of domestic violence, it is a high risk factor for future harm and lethal outcomes.  </w:t>
      </w:r>
      <w:r w:rsidR="00690316" w:rsidRPr="00C13EF4">
        <w:t xml:space="preserve">The offence requires the prosecution to prove that the person subjected to the choking did not consent and that the defendant was reckless to that circumstance.  The offence has a maximum penalty of </w:t>
      </w:r>
      <w:r>
        <w:t>five </w:t>
      </w:r>
      <w:r w:rsidR="00690316" w:rsidRPr="00F53D74">
        <w:t>years imprisonment.</w:t>
      </w:r>
    </w:p>
    <w:p w14:paraId="77C698B2" w14:textId="4E351350" w:rsidR="00B07AF0" w:rsidRDefault="00B07AF0" w:rsidP="00C27476">
      <w:r w:rsidRPr="00F53D74">
        <w:t>In 2020, 64 persons were charged with new offence as the principal offence, and this rose to 146</w:t>
      </w:r>
      <w:r w:rsidR="00C27476">
        <w:t> </w:t>
      </w:r>
      <w:r w:rsidR="00547B4D">
        <w:t>persons</w:t>
      </w:r>
      <w:r w:rsidRPr="00F53D74">
        <w:t xml:space="preserve"> in 2021.</w:t>
      </w:r>
      <w:r w:rsidRPr="005A0D52">
        <w:t xml:space="preserve"> </w:t>
      </w:r>
    </w:p>
    <w:p w14:paraId="3D276BE1" w14:textId="7C09D711" w:rsidR="001563F3" w:rsidRPr="00F53D74" w:rsidRDefault="00B07AF0" w:rsidP="00C27476">
      <w:r w:rsidRPr="00C13EF4">
        <w:t>However, stakeholders have indicated that some d</w:t>
      </w:r>
      <w:r w:rsidR="0086342E" w:rsidRPr="00C13EF4">
        <w:t>efendants appear r</w:t>
      </w:r>
      <w:r w:rsidR="006F50BC" w:rsidRPr="00C13EF4">
        <w:t>eluctant to plead guilty to the choking</w:t>
      </w:r>
      <w:r w:rsidR="0086342E" w:rsidRPr="00F53D74">
        <w:t xml:space="preserve"> offence and </w:t>
      </w:r>
      <w:r w:rsidR="006F50BC" w:rsidRPr="00F53D74">
        <w:t xml:space="preserve">plea negotiations </w:t>
      </w:r>
      <w:r w:rsidR="00525AE2" w:rsidRPr="00F53D74">
        <w:t xml:space="preserve">often result in the withdrawal of the choking charge </w:t>
      </w:r>
      <w:r w:rsidR="00C85943" w:rsidRPr="00F53D74">
        <w:t>in exchange for a guilty plea for</w:t>
      </w:r>
      <w:r w:rsidR="00525AE2" w:rsidRPr="00F53D74">
        <w:t xml:space="preserve"> assault</w:t>
      </w:r>
      <w:r w:rsidRPr="00F53D74">
        <w:t>.</w:t>
      </w:r>
      <w:r w:rsidR="004B36DC" w:rsidRPr="00F53D74">
        <w:t xml:space="preserve"> </w:t>
      </w:r>
    </w:p>
    <w:p w14:paraId="777C247E" w14:textId="6F74A2D3" w:rsidR="00BE74E0" w:rsidRPr="00DC2C79" w:rsidRDefault="004B36DC" w:rsidP="00C27476">
      <w:r w:rsidRPr="00F53D74">
        <w:t xml:space="preserve">It </w:t>
      </w:r>
      <w:r w:rsidR="00B779ED" w:rsidRPr="00F53D74">
        <w:t>is</w:t>
      </w:r>
      <w:r w:rsidRPr="00F53D74">
        <w:t xml:space="preserve"> proposed that</w:t>
      </w:r>
      <w:r w:rsidR="00B779ED" w:rsidRPr="00C34D74">
        <w:t xml:space="preserve"> –</w:t>
      </w:r>
      <w:r w:rsidR="006734EB" w:rsidRPr="00C34D74">
        <w:t xml:space="preserve"> in addition to the new choking offence</w:t>
      </w:r>
      <w:r w:rsidR="00B779ED" w:rsidRPr="00C34D74">
        <w:t xml:space="preserve"> – </w:t>
      </w:r>
      <w:r w:rsidRPr="00C34D74">
        <w:t>it wou</w:t>
      </w:r>
      <w:r w:rsidR="00525AE2" w:rsidRPr="00C34D74">
        <w:t>ld be</w:t>
      </w:r>
      <w:r w:rsidRPr="0006620E">
        <w:t xml:space="preserve"> </w:t>
      </w:r>
      <w:r w:rsidR="00C85943" w:rsidRPr="00794F16">
        <w:t>useful</w:t>
      </w:r>
      <w:r w:rsidR="00525AE2" w:rsidRPr="00794F16">
        <w:t xml:space="preserve"> </w:t>
      </w:r>
      <w:r w:rsidRPr="00FB2A1F">
        <w:t>to include choking, suffocation and strangulation as an aggravating feature for assault in s</w:t>
      </w:r>
      <w:r w:rsidR="00525AE2" w:rsidRPr="00DC3857">
        <w:t xml:space="preserve">ection </w:t>
      </w:r>
      <w:r w:rsidRPr="005F1088">
        <w:t xml:space="preserve">188(2) of the </w:t>
      </w:r>
      <w:r w:rsidR="00525AE2" w:rsidRPr="003A59D4">
        <w:t>Criminal C</w:t>
      </w:r>
      <w:r w:rsidRPr="00EA59D4">
        <w:t>ode</w:t>
      </w:r>
      <w:r w:rsidR="005A0D52" w:rsidRPr="00A839DC">
        <w:t>.</w:t>
      </w:r>
      <w:r w:rsidR="00B779ED" w:rsidRPr="00DC2C79">
        <w:t xml:space="preserve"> </w:t>
      </w:r>
    </w:p>
    <w:p w14:paraId="23A3FD58" w14:textId="12800091" w:rsidR="00F8447E" w:rsidRDefault="00A77596" w:rsidP="00C27476">
      <w:pPr>
        <w:pStyle w:val="Heading4"/>
        <w:keepNext/>
        <w:numPr>
          <w:ilvl w:val="0"/>
          <w:numId w:val="0"/>
        </w:numPr>
        <w:spacing w:after="0" w:line="259" w:lineRule="auto"/>
        <w:rPr>
          <w:lang w:eastAsia="en-AU"/>
        </w:rPr>
      </w:pPr>
      <w:r>
        <w:rPr>
          <w:lang w:eastAsia="en-AU"/>
        </w:rPr>
        <w:lastRenderedPageBreak/>
        <w:t>PROPOSAL LR 5</w:t>
      </w:r>
      <w:r w:rsidR="00157E90">
        <w:rPr>
          <w:lang w:eastAsia="en-AU"/>
        </w:rPr>
        <w:t>2</w:t>
      </w:r>
    </w:p>
    <w:p w14:paraId="653ADD14" w14:textId="7AED0216" w:rsidR="00F8447E" w:rsidRPr="00157E90" w:rsidRDefault="00F8447E" w:rsidP="00C27476">
      <w:pPr>
        <w:spacing w:after="0" w:line="259" w:lineRule="auto"/>
        <w:rPr>
          <w:b/>
          <w:lang w:eastAsia="en-AU"/>
        </w:rPr>
      </w:pPr>
      <w:r w:rsidRPr="00157E90">
        <w:rPr>
          <w:rFonts w:cs="Arial"/>
          <w:b/>
          <w:lang w:val="en-US"/>
        </w:rPr>
        <w:t xml:space="preserve">Amend </w:t>
      </w:r>
      <w:r w:rsidRPr="00157E90">
        <w:rPr>
          <w:b/>
          <w:lang w:eastAsia="en-AU"/>
        </w:rPr>
        <w:t>section 188</w:t>
      </w:r>
      <w:r w:rsidR="00B779ED" w:rsidRPr="00157E90">
        <w:rPr>
          <w:b/>
          <w:lang w:eastAsia="en-AU"/>
        </w:rPr>
        <w:t>(2)</w:t>
      </w:r>
      <w:r w:rsidRPr="00157E90">
        <w:rPr>
          <w:b/>
          <w:lang w:eastAsia="en-AU"/>
        </w:rPr>
        <w:t xml:space="preserve"> of the Criminal Code so that the following factors are listed as aggravating features in section 188(2):</w:t>
      </w:r>
    </w:p>
    <w:p w14:paraId="0C570676" w14:textId="3C71C598" w:rsidR="004B1CAB" w:rsidRPr="004B1CAB" w:rsidRDefault="00F8447E" w:rsidP="00C27476">
      <w:pPr>
        <w:spacing w:line="259" w:lineRule="auto"/>
        <w:ind w:left="360"/>
        <w:rPr>
          <w:lang w:eastAsia="en-AU"/>
        </w:rPr>
      </w:pPr>
      <w:r w:rsidRPr="00157E90">
        <w:rPr>
          <w:b/>
          <w:lang w:eastAsia="en-AU"/>
        </w:rPr>
        <w:t>The person assaulted was subjected to choking, suffocation or strangulation.</w:t>
      </w:r>
    </w:p>
    <w:p w14:paraId="762FD6D6" w14:textId="77777777" w:rsidR="00CD77F2" w:rsidRPr="00CD77F2" w:rsidRDefault="00CD77F2" w:rsidP="00C27476">
      <w:pPr>
        <w:pStyle w:val="Heading2"/>
        <w:ind w:left="1134"/>
        <w:rPr>
          <w:lang w:eastAsia="en-AU"/>
        </w:rPr>
      </w:pPr>
      <w:bookmarkStart w:id="84" w:name="_Toc112051871"/>
      <w:r>
        <w:rPr>
          <w:lang w:eastAsia="en-AU"/>
        </w:rPr>
        <w:t xml:space="preserve">Proposed amendments to the </w:t>
      </w:r>
      <w:r w:rsidRPr="00CD77F2">
        <w:rPr>
          <w:i/>
          <w:lang w:eastAsia="en-AU"/>
        </w:rPr>
        <w:t>Evidence Act 1939</w:t>
      </w:r>
      <w:bookmarkEnd w:id="84"/>
    </w:p>
    <w:p w14:paraId="2451D9B0" w14:textId="77777777" w:rsidR="00CD77F2" w:rsidRDefault="00AC557C" w:rsidP="00C937F3">
      <w:pPr>
        <w:pStyle w:val="Heading3"/>
      </w:pPr>
      <w:bookmarkStart w:id="85" w:name="_Toc112051872"/>
      <w:r>
        <w:t>Recorded statements</w:t>
      </w:r>
      <w:bookmarkEnd w:id="85"/>
    </w:p>
    <w:p w14:paraId="7318F7D8" w14:textId="5812E851" w:rsidR="007A599F" w:rsidRDefault="007A599F" w:rsidP="007A599F">
      <w:pPr>
        <w:rPr>
          <w:lang w:eastAsia="en-AU"/>
        </w:rPr>
      </w:pPr>
      <w:r w:rsidRPr="007A599F">
        <w:rPr>
          <w:lang w:eastAsia="en-AU"/>
        </w:rPr>
        <w:t>The</w:t>
      </w:r>
      <w:r>
        <w:rPr>
          <w:i/>
          <w:lang w:eastAsia="en-AU"/>
        </w:rPr>
        <w:t xml:space="preserve"> </w:t>
      </w:r>
      <w:r w:rsidRPr="007A599F">
        <w:rPr>
          <w:i/>
          <w:lang w:eastAsia="en-AU"/>
        </w:rPr>
        <w:t>Justice Legislation Amendment (Body Worn Video and Domestic Violence Evidence) Act 201</w:t>
      </w:r>
      <w:r w:rsidRPr="007A599F">
        <w:rPr>
          <w:lang w:eastAsia="en-AU"/>
        </w:rPr>
        <w:t>7</w:t>
      </w:r>
      <w:r>
        <w:rPr>
          <w:lang w:eastAsia="en-AU"/>
        </w:rPr>
        <w:t xml:space="preserve"> commenced on 25 November 2017.  The Act amended the </w:t>
      </w:r>
      <w:r w:rsidRPr="007A599F">
        <w:rPr>
          <w:i/>
          <w:lang w:eastAsia="en-AU"/>
        </w:rPr>
        <w:t>Evidence Act 1939</w:t>
      </w:r>
      <w:r>
        <w:rPr>
          <w:lang w:eastAsia="en-AU"/>
        </w:rPr>
        <w:t xml:space="preserve"> to allow born worn camera recordings to be used as evidence for complainants of DFV related offences in criminal court proceedings</w:t>
      </w:r>
      <w:r w:rsidR="00074C63">
        <w:rPr>
          <w:lang w:eastAsia="en-AU"/>
        </w:rPr>
        <w:t xml:space="preserve"> (see Part 3A of the </w:t>
      </w:r>
      <w:r w:rsidR="00074C63" w:rsidRPr="00074C63">
        <w:rPr>
          <w:i/>
          <w:iCs/>
          <w:lang w:eastAsia="en-AU"/>
        </w:rPr>
        <w:t>Evidence Act 1939</w:t>
      </w:r>
      <w:r w:rsidR="00074C63">
        <w:rPr>
          <w:i/>
          <w:iCs/>
          <w:lang w:eastAsia="en-AU"/>
        </w:rPr>
        <w:t>)</w:t>
      </w:r>
      <w:r>
        <w:rPr>
          <w:lang w:eastAsia="en-AU"/>
        </w:rPr>
        <w:t xml:space="preserve">.  </w:t>
      </w:r>
    </w:p>
    <w:p w14:paraId="1FE9218A" w14:textId="17326E36" w:rsidR="002E7A00" w:rsidRDefault="007A599F" w:rsidP="002E7A00">
      <w:pPr>
        <w:rPr>
          <w:lang w:eastAsia="en-AU"/>
        </w:rPr>
      </w:pPr>
      <w:r w:rsidRPr="007A599F">
        <w:rPr>
          <w:lang w:eastAsia="en-AU"/>
        </w:rPr>
        <w:t xml:space="preserve">The </w:t>
      </w:r>
      <w:r w:rsidRPr="002E7A00">
        <w:rPr>
          <w:i/>
          <w:lang w:eastAsia="en-AU"/>
        </w:rPr>
        <w:t>Evidence and Other Legislation Amendment Act 2020</w:t>
      </w:r>
      <w:r w:rsidR="002E7A00" w:rsidRPr="002E7A00">
        <w:rPr>
          <w:i/>
          <w:lang w:eastAsia="en-AU"/>
        </w:rPr>
        <w:t>,</w:t>
      </w:r>
      <w:r>
        <w:rPr>
          <w:lang w:eastAsia="en-AU"/>
        </w:rPr>
        <w:t xml:space="preserve"> which commenced on </w:t>
      </w:r>
      <w:r w:rsidRPr="004311FB">
        <w:rPr>
          <w:lang w:eastAsia="en-AU"/>
        </w:rPr>
        <w:t>29 July 2020</w:t>
      </w:r>
      <w:r w:rsidR="002E7A00">
        <w:rPr>
          <w:lang w:eastAsia="en-AU"/>
        </w:rPr>
        <w:t>, allowed a ‘recorded statement’ to also be used in DVO proceedings under the DFVA (see section 113C of the DFV</w:t>
      </w:r>
      <w:r w:rsidR="00C27476">
        <w:rPr>
          <w:lang w:eastAsia="en-AU"/>
        </w:rPr>
        <w:t> </w:t>
      </w:r>
      <w:r w:rsidR="002E7A00">
        <w:rPr>
          <w:lang w:eastAsia="en-AU"/>
        </w:rPr>
        <w:t>A</w:t>
      </w:r>
      <w:r w:rsidR="00C27476">
        <w:rPr>
          <w:lang w:eastAsia="en-AU"/>
        </w:rPr>
        <w:t>ct</w:t>
      </w:r>
      <w:r w:rsidR="002E7A00">
        <w:rPr>
          <w:lang w:eastAsia="en-AU"/>
        </w:rPr>
        <w:t>).</w:t>
      </w:r>
    </w:p>
    <w:p w14:paraId="4DB87F94" w14:textId="3614307A" w:rsidR="002E7A00" w:rsidRDefault="002E7A00" w:rsidP="007A599F">
      <w:r>
        <w:t>The use of recorded statements from body worn cameras was intended to reduce the trauma experienced</w:t>
      </w:r>
      <w:r w:rsidR="00547B4D">
        <w:t xml:space="preserve"> by victims of DFV related offences</w:t>
      </w:r>
      <w:r>
        <w:t xml:space="preserve"> in providing evidence.</w:t>
      </w:r>
    </w:p>
    <w:p w14:paraId="3A031F71" w14:textId="77777777" w:rsidR="002E7A00" w:rsidRDefault="002E7A00" w:rsidP="007A599F">
      <w:r>
        <w:t>However, feedback from stakeholders indicates that recorded statements are used inconsistently across the NT, depending on police practice in particular regions.</w:t>
      </w:r>
    </w:p>
    <w:p w14:paraId="24DA0141" w14:textId="3261A565" w:rsidR="00AF7CF0" w:rsidRDefault="002E7A00" w:rsidP="007A599F">
      <w:pPr>
        <w:rPr>
          <w:lang w:eastAsia="en-AU"/>
        </w:rPr>
      </w:pPr>
      <w:r>
        <w:t xml:space="preserve">There is also feedback that the </w:t>
      </w:r>
      <w:r w:rsidR="002F0CED">
        <w:t xml:space="preserve">informed </w:t>
      </w:r>
      <w:r>
        <w:t xml:space="preserve">consent process required in Part 3A is of the </w:t>
      </w:r>
      <w:r w:rsidRPr="007A599F">
        <w:rPr>
          <w:i/>
          <w:lang w:eastAsia="en-AU"/>
        </w:rPr>
        <w:t>Evidence Act 1939</w:t>
      </w:r>
      <w:r w:rsidRPr="002E7A00">
        <w:rPr>
          <w:lang w:eastAsia="en-AU"/>
        </w:rPr>
        <w:t xml:space="preserve"> is </w:t>
      </w:r>
      <w:r>
        <w:rPr>
          <w:lang w:eastAsia="en-AU"/>
        </w:rPr>
        <w:t xml:space="preserve">onerous and </w:t>
      </w:r>
      <w:r w:rsidR="00A13B91">
        <w:rPr>
          <w:lang w:eastAsia="en-AU"/>
        </w:rPr>
        <w:t>provides a barrier to</w:t>
      </w:r>
      <w:r>
        <w:rPr>
          <w:lang w:eastAsia="en-AU"/>
        </w:rPr>
        <w:t xml:space="preserve"> alleged victim</w:t>
      </w:r>
      <w:r w:rsidR="00074C63">
        <w:rPr>
          <w:lang w:eastAsia="en-AU"/>
        </w:rPr>
        <w:t>-survivor</w:t>
      </w:r>
      <w:r>
        <w:rPr>
          <w:lang w:eastAsia="en-AU"/>
        </w:rPr>
        <w:t>s of DFV</w:t>
      </w:r>
      <w:r w:rsidR="00AA3AD8">
        <w:rPr>
          <w:lang w:eastAsia="en-AU"/>
        </w:rPr>
        <w:t xml:space="preserve">-related criminal offences </w:t>
      </w:r>
      <w:r>
        <w:rPr>
          <w:lang w:eastAsia="en-AU"/>
        </w:rPr>
        <w:t>providing consent.</w:t>
      </w:r>
      <w:r w:rsidR="002F0CED">
        <w:rPr>
          <w:lang w:eastAsia="en-AU"/>
        </w:rPr>
        <w:t xml:space="preserve">  </w:t>
      </w:r>
      <w:r w:rsidR="00A91DE3">
        <w:rPr>
          <w:lang w:eastAsia="en-AU"/>
        </w:rPr>
        <w:t xml:space="preserve">The police must inform the alleged victim-survivor </w:t>
      </w:r>
      <w:r w:rsidR="003831F4">
        <w:rPr>
          <w:lang w:eastAsia="en-AU"/>
        </w:rPr>
        <w:t>that the recorded statement may be used in evidence, that they may be required to give further evidence in the proceeding and that they may refuse consent.</w:t>
      </w:r>
    </w:p>
    <w:p w14:paraId="05A3F457" w14:textId="4368AD9D" w:rsidR="00A91DE3" w:rsidRDefault="00B84F91" w:rsidP="007A599F">
      <w:pPr>
        <w:rPr>
          <w:lang w:eastAsia="en-AU"/>
        </w:rPr>
      </w:pPr>
      <w:r>
        <w:rPr>
          <w:lang w:eastAsia="en-AU"/>
        </w:rPr>
        <w:t>T</w:t>
      </w:r>
      <w:r w:rsidR="00AF7CF0">
        <w:rPr>
          <w:lang w:eastAsia="en-AU"/>
        </w:rPr>
        <w:t>his</w:t>
      </w:r>
      <w:r w:rsidR="003831F4">
        <w:rPr>
          <w:lang w:eastAsia="en-AU"/>
        </w:rPr>
        <w:t xml:space="preserve"> is onerous</w:t>
      </w:r>
      <w:r w:rsidR="009D30F3">
        <w:rPr>
          <w:lang w:eastAsia="en-AU"/>
        </w:rPr>
        <w:t>, in part,</w:t>
      </w:r>
      <w:r w:rsidR="00074C63">
        <w:rPr>
          <w:lang w:eastAsia="en-AU"/>
        </w:rPr>
        <w:t xml:space="preserve"> </w:t>
      </w:r>
      <w:r w:rsidR="00AF7CF0">
        <w:rPr>
          <w:lang w:eastAsia="en-AU"/>
        </w:rPr>
        <w:t>because the recorded statement is made close in time to the offending when it may be difficult for the alleged victim</w:t>
      </w:r>
      <w:r w:rsidR="00074C63">
        <w:rPr>
          <w:lang w:eastAsia="en-AU"/>
        </w:rPr>
        <w:t>-survivor</w:t>
      </w:r>
      <w:r w:rsidR="00AF7CF0">
        <w:rPr>
          <w:lang w:eastAsia="en-AU"/>
        </w:rPr>
        <w:t xml:space="preserve"> to think</w:t>
      </w:r>
      <w:r w:rsidR="005C3DEE">
        <w:rPr>
          <w:lang w:eastAsia="en-AU"/>
        </w:rPr>
        <w:t xml:space="preserve"> through their </w:t>
      </w:r>
      <w:r w:rsidR="00074C63">
        <w:rPr>
          <w:lang w:eastAsia="en-AU"/>
        </w:rPr>
        <w:t>views and emotions</w:t>
      </w:r>
      <w:r w:rsidR="005C3DEE">
        <w:rPr>
          <w:lang w:eastAsia="en-AU"/>
        </w:rPr>
        <w:t xml:space="preserve"> about </w:t>
      </w:r>
      <w:r>
        <w:rPr>
          <w:lang w:eastAsia="en-AU"/>
        </w:rPr>
        <w:t>the</w:t>
      </w:r>
      <w:r w:rsidR="005C3DEE">
        <w:rPr>
          <w:lang w:eastAsia="en-AU"/>
        </w:rPr>
        <w:t xml:space="preserve"> matter proceeding to court.</w:t>
      </w:r>
      <w:r w:rsidR="00AF7CF0">
        <w:rPr>
          <w:lang w:eastAsia="en-AU"/>
        </w:rPr>
        <w:t xml:space="preserve"> </w:t>
      </w:r>
      <w:r w:rsidR="005C3DEE">
        <w:rPr>
          <w:lang w:eastAsia="en-AU"/>
        </w:rPr>
        <w:t xml:space="preserve"> </w:t>
      </w:r>
      <w:r w:rsidR="00860CE6">
        <w:rPr>
          <w:lang w:eastAsia="en-AU"/>
        </w:rPr>
        <w:t xml:space="preserve">In </w:t>
      </w:r>
      <w:r w:rsidR="00943835">
        <w:rPr>
          <w:lang w:eastAsia="en-AU"/>
        </w:rPr>
        <w:t xml:space="preserve">addition, </w:t>
      </w:r>
      <w:r w:rsidR="00B50D9A">
        <w:rPr>
          <w:lang w:eastAsia="en-AU"/>
        </w:rPr>
        <w:t xml:space="preserve">some victim-survivors </w:t>
      </w:r>
      <w:r w:rsidR="00943835">
        <w:rPr>
          <w:lang w:eastAsia="en-AU"/>
        </w:rPr>
        <w:t>may be</w:t>
      </w:r>
      <w:r w:rsidR="00B50D9A">
        <w:rPr>
          <w:lang w:eastAsia="en-AU"/>
        </w:rPr>
        <w:t xml:space="preserve"> </w:t>
      </w:r>
      <w:r w:rsidR="00943835">
        <w:rPr>
          <w:lang w:eastAsia="en-AU"/>
        </w:rPr>
        <w:t xml:space="preserve">afraid to consent to have their evidence recorded because </w:t>
      </w:r>
      <w:r w:rsidR="001B2552">
        <w:rPr>
          <w:lang w:eastAsia="en-AU"/>
        </w:rPr>
        <w:t>for fear they</w:t>
      </w:r>
      <w:r w:rsidR="00943835">
        <w:rPr>
          <w:lang w:eastAsia="en-AU"/>
        </w:rPr>
        <w:t xml:space="preserve"> may be blamed by the defendant or the defendant’s family if the defendant is charged or ends up in prison.</w:t>
      </w:r>
      <w:r w:rsidR="00860CE6">
        <w:rPr>
          <w:lang w:eastAsia="en-AU"/>
        </w:rPr>
        <w:t xml:space="preserve">  </w:t>
      </w:r>
    </w:p>
    <w:p w14:paraId="67DC7A6A" w14:textId="06B9EFA6" w:rsidR="002F0CED" w:rsidRDefault="002F0CED" w:rsidP="00C27476">
      <w:pPr>
        <w:spacing w:after="120"/>
        <w:rPr>
          <w:lang w:eastAsia="en-AU"/>
        </w:rPr>
      </w:pPr>
      <w:r>
        <w:rPr>
          <w:lang w:eastAsia="en-AU"/>
        </w:rPr>
        <w:t xml:space="preserve">The requirements </w:t>
      </w:r>
      <w:r w:rsidR="00B84F91">
        <w:rPr>
          <w:lang w:eastAsia="en-AU"/>
        </w:rPr>
        <w:t xml:space="preserve">for consent </w:t>
      </w:r>
      <w:r>
        <w:rPr>
          <w:lang w:eastAsia="en-AU"/>
        </w:rPr>
        <w:t xml:space="preserve">are set out in section 21J </w:t>
      </w:r>
      <w:r w:rsidR="004E7577">
        <w:t xml:space="preserve">of the </w:t>
      </w:r>
      <w:r w:rsidR="004E7577" w:rsidRPr="007A599F">
        <w:rPr>
          <w:i/>
          <w:lang w:eastAsia="en-AU"/>
        </w:rPr>
        <w:t>Evidence Act 1939</w:t>
      </w:r>
      <w:r w:rsidR="004E7577" w:rsidRPr="002E7A00">
        <w:rPr>
          <w:lang w:eastAsia="en-AU"/>
        </w:rPr>
        <w:t xml:space="preserve"> </w:t>
      </w:r>
      <w:r>
        <w:rPr>
          <w:lang w:eastAsia="en-AU"/>
        </w:rPr>
        <w:t>as follows:</w:t>
      </w:r>
    </w:p>
    <w:p w14:paraId="10511A43" w14:textId="011C0190" w:rsidR="002F0CED" w:rsidRPr="00C27476" w:rsidRDefault="002F0CED" w:rsidP="00C27476">
      <w:pPr>
        <w:spacing w:after="120"/>
        <w:rPr>
          <w:b/>
        </w:rPr>
      </w:pPr>
      <w:bookmarkStart w:id="86" w:name="_Toc45095438"/>
      <w:r w:rsidRPr="00C27476">
        <w:rPr>
          <w:b/>
        </w:rPr>
        <w:t>21J</w:t>
      </w:r>
      <w:r w:rsidR="00C27476">
        <w:rPr>
          <w:b/>
        </w:rPr>
        <w:t>.</w:t>
      </w:r>
      <w:r w:rsidR="005C52AF" w:rsidRPr="00C27476">
        <w:rPr>
          <w:b/>
        </w:rPr>
        <w:tab/>
      </w:r>
      <w:r w:rsidRPr="00C27476">
        <w:rPr>
          <w:b/>
        </w:rPr>
        <w:t>Requirements for recorded statement</w:t>
      </w:r>
      <w:bookmarkEnd w:id="86"/>
    </w:p>
    <w:p w14:paraId="12694972" w14:textId="68C55373" w:rsidR="002F0CED" w:rsidRPr="00C27476" w:rsidRDefault="002F0CED" w:rsidP="00C27476">
      <w:pPr>
        <w:pStyle w:val="Subsection"/>
        <w:keepNext/>
        <w:spacing w:after="0"/>
        <w:ind w:left="567" w:hanging="533"/>
        <w:rPr>
          <w:rFonts w:asciiTheme="minorHAnsi" w:hAnsiTheme="minorHAnsi"/>
          <w:sz w:val="22"/>
          <w:szCs w:val="22"/>
        </w:rPr>
      </w:pPr>
      <w:r w:rsidRPr="00C27476">
        <w:rPr>
          <w:rFonts w:asciiTheme="minorHAnsi" w:hAnsiTheme="minorHAnsi"/>
          <w:sz w:val="22"/>
          <w:szCs w:val="22"/>
        </w:rPr>
        <w:t>(1)</w:t>
      </w:r>
      <w:r w:rsidRPr="00C27476">
        <w:rPr>
          <w:rFonts w:asciiTheme="minorHAnsi" w:hAnsiTheme="minorHAnsi"/>
          <w:sz w:val="22"/>
          <w:szCs w:val="22"/>
        </w:rPr>
        <w:tab/>
        <w:t>To be admissible, a recorded statement must be made:</w:t>
      </w:r>
    </w:p>
    <w:p w14:paraId="6C334A5E" w14:textId="77777777" w:rsidR="002F0CED" w:rsidRPr="00C27476" w:rsidRDefault="002F0CED" w:rsidP="00C27476">
      <w:pPr>
        <w:pStyle w:val="Paragraph"/>
        <w:keepLines/>
        <w:spacing w:after="0"/>
        <w:ind w:left="1134"/>
        <w:rPr>
          <w:rFonts w:asciiTheme="minorHAnsi" w:hAnsiTheme="minorHAnsi"/>
          <w:sz w:val="22"/>
          <w:szCs w:val="22"/>
        </w:rPr>
      </w:pPr>
      <w:r w:rsidRPr="00C27476">
        <w:rPr>
          <w:rFonts w:asciiTheme="minorHAnsi" w:hAnsiTheme="minorHAnsi"/>
          <w:sz w:val="22"/>
          <w:szCs w:val="22"/>
        </w:rPr>
        <w:t>(a)</w:t>
      </w:r>
      <w:r w:rsidRPr="00C27476">
        <w:rPr>
          <w:rFonts w:asciiTheme="minorHAnsi" w:hAnsiTheme="minorHAnsi"/>
          <w:sz w:val="22"/>
          <w:szCs w:val="22"/>
        </w:rPr>
        <w:tab/>
        <w:t>as soon as practicable after the events mentioned in the statement occurred; and</w:t>
      </w:r>
    </w:p>
    <w:p w14:paraId="06B8DB95" w14:textId="77777777" w:rsidR="002F0CED" w:rsidRPr="00C27476" w:rsidRDefault="002F0CED" w:rsidP="00C27476">
      <w:pPr>
        <w:pStyle w:val="Paragraph"/>
        <w:spacing w:after="120"/>
        <w:ind w:left="1134"/>
        <w:rPr>
          <w:rFonts w:asciiTheme="minorHAnsi" w:hAnsiTheme="minorHAnsi"/>
          <w:sz w:val="22"/>
          <w:szCs w:val="22"/>
        </w:rPr>
      </w:pPr>
      <w:r w:rsidRPr="00C27476">
        <w:rPr>
          <w:rFonts w:asciiTheme="minorHAnsi" w:hAnsiTheme="minorHAnsi"/>
          <w:sz w:val="22"/>
          <w:szCs w:val="22"/>
        </w:rPr>
        <w:t>(b)</w:t>
      </w:r>
      <w:r w:rsidRPr="00C27476">
        <w:rPr>
          <w:rFonts w:asciiTheme="minorHAnsi" w:hAnsiTheme="minorHAnsi"/>
          <w:sz w:val="22"/>
          <w:szCs w:val="22"/>
        </w:rPr>
        <w:tab/>
        <w:t>with the informed consent of the complainant.</w:t>
      </w:r>
    </w:p>
    <w:p w14:paraId="7CCC981A" w14:textId="1076706A" w:rsidR="002F0CED" w:rsidRPr="00C27476" w:rsidRDefault="002F0CED" w:rsidP="00C27476">
      <w:pPr>
        <w:pStyle w:val="Subsection"/>
        <w:spacing w:after="0"/>
        <w:ind w:left="567" w:hanging="533"/>
        <w:rPr>
          <w:rFonts w:asciiTheme="minorHAnsi" w:hAnsiTheme="minorHAnsi"/>
          <w:sz w:val="22"/>
          <w:szCs w:val="22"/>
        </w:rPr>
      </w:pPr>
      <w:r w:rsidRPr="00C27476">
        <w:rPr>
          <w:rFonts w:asciiTheme="minorHAnsi" w:hAnsiTheme="minorHAnsi"/>
          <w:sz w:val="22"/>
          <w:szCs w:val="22"/>
        </w:rPr>
        <w:t>(2)</w:t>
      </w:r>
      <w:r w:rsidRPr="00C27476">
        <w:rPr>
          <w:rFonts w:asciiTheme="minorHAnsi" w:hAnsiTheme="minorHAnsi"/>
          <w:sz w:val="22"/>
          <w:szCs w:val="22"/>
        </w:rPr>
        <w:tab/>
        <w:t>For subsection (1)(b), a recorded statement is made with informed consent if:</w:t>
      </w:r>
    </w:p>
    <w:p w14:paraId="4FF40765" w14:textId="77777777" w:rsidR="002F0CED" w:rsidRPr="00C27476" w:rsidRDefault="002F0CED" w:rsidP="00C27476">
      <w:pPr>
        <w:pStyle w:val="Paragraph"/>
        <w:spacing w:after="0"/>
        <w:ind w:left="1134"/>
        <w:rPr>
          <w:rFonts w:asciiTheme="minorHAnsi" w:hAnsiTheme="minorHAnsi"/>
          <w:sz w:val="22"/>
          <w:szCs w:val="22"/>
        </w:rPr>
      </w:pPr>
      <w:r w:rsidRPr="00C27476">
        <w:rPr>
          <w:rFonts w:asciiTheme="minorHAnsi" w:hAnsiTheme="minorHAnsi"/>
          <w:sz w:val="22"/>
          <w:szCs w:val="22"/>
        </w:rPr>
        <w:t>(a)</w:t>
      </w:r>
      <w:r w:rsidRPr="00C27476">
        <w:rPr>
          <w:rFonts w:asciiTheme="minorHAnsi" w:hAnsiTheme="minorHAnsi"/>
          <w:sz w:val="22"/>
          <w:szCs w:val="22"/>
        </w:rPr>
        <w:tab/>
        <w:t>the police officer informs the complainant that:</w:t>
      </w:r>
    </w:p>
    <w:p w14:paraId="5FCC8189" w14:textId="77777777" w:rsidR="002F0CED" w:rsidRPr="00C27476" w:rsidRDefault="002F0CED" w:rsidP="00C27476">
      <w:pPr>
        <w:pStyle w:val="Subpara"/>
        <w:spacing w:after="0"/>
        <w:ind w:left="1701"/>
        <w:rPr>
          <w:rFonts w:asciiTheme="minorHAnsi" w:hAnsiTheme="minorHAnsi"/>
          <w:sz w:val="22"/>
          <w:szCs w:val="22"/>
        </w:rPr>
      </w:pPr>
      <w:r w:rsidRPr="00C27476">
        <w:rPr>
          <w:rFonts w:asciiTheme="minorHAnsi" w:hAnsiTheme="minorHAnsi"/>
          <w:sz w:val="22"/>
          <w:szCs w:val="22"/>
        </w:rPr>
        <w:t>(i)</w:t>
      </w:r>
      <w:r w:rsidRPr="00C27476">
        <w:rPr>
          <w:rFonts w:asciiTheme="minorHAnsi" w:hAnsiTheme="minorHAnsi"/>
          <w:sz w:val="22"/>
          <w:szCs w:val="22"/>
        </w:rPr>
        <w:tab/>
        <w:t>the recorded statement may be used in evidence in a domestic violence offence proceeding; and</w:t>
      </w:r>
    </w:p>
    <w:p w14:paraId="4392486D" w14:textId="77777777" w:rsidR="002F0CED" w:rsidRPr="00C27476" w:rsidRDefault="002F0CED" w:rsidP="00C27476">
      <w:pPr>
        <w:pStyle w:val="Subpara"/>
        <w:spacing w:after="0"/>
        <w:ind w:left="1701"/>
        <w:rPr>
          <w:rFonts w:asciiTheme="minorHAnsi" w:hAnsiTheme="minorHAnsi"/>
          <w:sz w:val="22"/>
          <w:szCs w:val="22"/>
        </w:rPr>
      </w:pPr>
      <w:r w:rsidRPr="00C27476">
        <w:rPr>
          <w:rFonts w:asciiTheme="minorHAnsi" w:hAnsiTheme="minorHAnsi"/>
          <w:sz w:val="22"/>
          <w:szCs w:val="22"/>
        </w:rPr>
        <w:t>(ii)</w:t>
      </w:r>
      <w:r w:rsidRPr="00C27476">
        <w:rPr>
          <w:rFonts w:asciiTheme="minorHAnsi" w:hAnsiTheme="minorHAnsi"/>
          <w:sz w:val="22"/>
          <w:szCs w:val="22"/>
        </w:rPr>
        <w:tab/>
        <w:t>the complainant may be required to give further evidence in the proceeding; and</w:t>
      </w:r>
    </w:p>
    <w:p w14:paraId="5DF14767" w14:textId="77777777" w:rsidR="002F0CED" w:rsidRPr="00C27476" w:rsidRDefault="002F0CED" w:rsidP="00C27476">
      <w:pPr>
        <w:pStyle w:val="Subpara"/>
        <w:spacing w:after="0"/>
        <w:ind w:left="1701"/>
        <w:rPr>
          <w:rFonts w:asciiTheme="minorHAnsi" w:hAnsiTheme="minorHAnsi"/>
          <w:sz w:val="22"/>
          <w:szCs w:val="22"/>
        </w:rPr>
      </w:pPr>
      <w:r w:rsidRPr="00C27476">
        <w:rPr>
          <w:rFonts w:asciiTheme="minorHAnsi" w:hAnsiTheme="minorHAnsi"/>
          <w:sz w:val="22"/>
          <w:szCs w:val="22"/>
        </w:rPr>
        <w:t>(iii)</w:t>
      </w:r>
      <w:r w:rsidRPr="00C27476">
        <w:rPr>
          <w:rFonts w:asciiTheme="minorHAnsi" w:hAnsiTheme="minorHAnsi"/>
          <w:sz w:val="22"/>
          <w:szCs w:val="22"/>
        </w:rPr>
        <w:tab/>
        <w:t>the complainant may refuse consent; and</w:t>
      </w:r>
    </w:p>
    <w:p w14:paraId="0C4D110A" w14:textId="77777777" w:rsidR="002F0CED" w:rsidRPr="00C27476" w:rsidRDefault="002F0CED" w:rsidP="00C27476">
      <w:pPr>
        <w:pStyle w:val="Paragraph"/>
        <w:spacing w:after="120"/>
        <w:ind w:left="1134"/>
        <w:rPr>
          <w:rFonts w:asciiTheme="minorHAnsi" w:hAnsiTheme="minorHAnsi"/>
          <w:sz w:val="22"/>
          <w:szCs w:val="22"/>
        </w:rPr>
      </w:pPr>
      <w:r w:rsidRPr="00C27476">
        <w:rPr>
          <w:rFonts w:asciiTheme="minorHAnsi" w:hAnsiTheme="minorHAnsi"/>
          <w:sz w:val="22"/>
          <w:szCs w:val="22"/>
        </w:rPr>
        <w:t>(b)</w:t>
      </w:r>
      <w:r w:rsidRPr="00C27476">
        <w:rPr>
          <w:rFonts w:asciiTheme="minorHAnsi" w:hAnsiTheme="minorHAnsi"/>
          <w:sz w:val="22"/>
          <w:szCs w:val="22"/>
        </w:rPr>
        <w:tab/>
        <w:t>the complainant indicates in the recorded statement that the complainant consents.</w:t>
      </w:r>
    </w:p>
    <w:p w14:paraId="03935F37" w14:textId="36AB4B78" w:rsidR="002F0CED" w:rsidRPr="00C27476" w:rsidRDefault="002F0CED" w:rsidP="00C27476">
      <w:pPr>
        <w:pStyle w:val="Subsection"/>
        <w:keepNext/>
        <w:spacing w:after="0"/>
        <w:ind w:left="567" w:hanging="533"/>
        <w:rPr>
          <w:rFonts w:asciiTheme="minorHAnsi" w:hAnsiTheme="minorHAnsi"/>
          <w:sz w:val="22"/>
          <w:szCs w:val="22"/>
        </w:rPr>
      </w:pPr>
      <w:r w:rsidRPr="00C27476">
        <w:rPr>
          <w:rFonts w:asciiTheme="minorHAnsi" w:hAnsiTheme="minorHAnsi"/>
          <w:sz w:val="22"/>
          <w:szCs w:val="22"/>
        </w:rPr>
        <w:t>(3)</w:t>
      </w:r>
      <w:r w:rsidRPr="00C27476">
        <w:rPr>
          <w:rFonts w:asciiTheme="minorHAnsi" w:hAnsiTheme="minorHAnsi"/>
          <w:sz w:val="22"/>
          <w:szCs w:val="22"/>
        </w:rPr>
        <w:tab/>
        <w:t>A recorded statement:</w:t>
      </w:r>
    </w:p>
    <w:p w14:paraId="47B86565" w14:textId="77777777" w:rsidR="002F0CED" w:rsidRPr="00C27476" w:rsidRDefault="002F0CED" w:rsidP="00C27476">
      <w:pPr>
        <w:pStyle w:val="Paragraph"/>
        <w:spacing w:after="0"/>
        <w:ind w:left="1134"/>
        <w:rPr>
          <w:rFonts w:asciiTheme="minorHAnsi" w:hAnsiTheme="minorHAnsi"/>
          <w:sz w:val="22"/>
          <w:szCs w:val="22"/>
        </w:rPr>
      </w:pPr>
      <w:r w:rsidRPr="00C27476">
        <w:rPr>
          <w:rFonts w:asciiTheme="minorHAnsi" w:hAnsiTheme="minorHAnsi"/>
          <w:sz w:val="22"/>
          <w:szCs w:val="22"/>
        </w:rPr>
        <w:t>(a)</w:t>
      </w:r>
      <w:r w:rsidRPr="00C27476">
        <w:rPr>
          <w:rFonts w:asciiTheme="minorHAnsi" w:hAnsiTheme="minorHAnsi"/>
          <w:sz w:val="22"/>
          <w:szCs w:val="22"/>
        </w:rPr>
        <w:tab/>
        <w:t>must include a statement by the complainant as to the complainant's age; and</w:t>
      </w:r>
    </w:p>
    <w:p w14:paraId="0816B82D" w14:textId="77777777" w:rsidR="002F0CED" w:rsidRPr="00C27476" w:rsidRDefault="002F0CED" w:rsidP="00C27476">
      <w:pPr>
        <w:pStyle w:val="Paragraph"/>
        <w:spacing w:after="120"/>
        <w:ind w:left="1134"/>
        <w:rPr>
          <w:rFonts w:asciiTheme="minorHAnsi" w:hAnsiTheme="minorHAnsi"/>
          <w:sz w:val="22"/>
          <w:szCs w:val="22"/>
        </w:rPr>
      </w:pPr>
      <w:r w:rsidRPr="00C27476">
        <w:rPr>
          <w:rFonts w:asciiTheme="minorHAnsi" w:hAnsiTheme="minorHAnsi"/>
          <w:sz w:val="22"/>
          <w:szCs w:val="22"/>
        </w:rPr>
        <w:t>(b)</w:t>
      </w:r>
      <w:r w:rsidRPr="00C27476">
        <w:rPr>
          <w:rFonts w:asciiTheme="minorHAnsi" w:hAnsiTheme="minorHAnsi"/>
          <w:sz w:val="22"/>
          <w:szCs w:val="22"/>
        </w:rPr>
        <w:tab/>
        <w:t xml:space="preserve">must be made as a statutory declaration in compliance with section 20 of the </w:t>
      </w:r>
      <w:r w:rsidRPr="00C27476">
        <w:rPr>
          <w:rFonts w:asciiTheme="minorHAnsi" w:hAnsiTheme="minorHAnsi"/>
          <w:i/>
          <w:sz w:val="22"/>
          <w:szCs w:val="22"/>
        </w:rPr>
        <w:t>Oaths, Affidavits and Declarations Act 2010</w:t>
      </w:r>
      <w:r w:rsidRPr="00C27476">
        <w:rPr>
          <w:rFonts w:asciiTheme="minorHAnsi" w:hAnsiTheme="minorHAnsi"/>
          <w:sz w:val="22"/>
          <w:szCs w:val="22"/>
        </w:rPr>
        <w:t>.</w:t>
      </w:r>
    </w:p>
    <w:p w14:paraId="6AA439B6" w14:textId="4B41387B" w:rsidR="002F0CED" w:rsidRPr="00C27476" w:rsidRDefault="002F0CED" w:rsidP="00C27476">
      <w:pPr>
        <w:pStyle w:val="Subsection"/>
        <w:spacing w:after="0"/>
        <w:ind w:left="567" w:hanging="533"/>
        <w:rPr>
          <w:rFonts w:asciiTheme="minorHAnsi" w:hAnsiTheme="minorHAnsi"/>
          <w:sz w:val="22"/>
          <w:szCs w:val="22"/>
        </w:rPr>
      </w:pPr>
      <w:r w:rsidRPr="00C27476">
        <w:rPr>
          <w:rFonts w:asciiTheme="minorHAnsi" w:hAnsiTheme="minorHAnsi"/>
          <w:sz w:val="22"/>
          <w:szCs w:val="22"/>
        </w:rPr>
        <w:lastRenderedPageBreak/>
        <w:t>(4)</w:t>
      </w:r>
      <w:r w:rsidRPr="00C27476">
        <w:rPr>
          <w:rFonts w:asciiTheme="minorHAnsi" w:hAnsiTheme="minorHAnsi"/>
          <w:sz w:val="22"/>
          <w:szCs w:val="22"/>
        </w:rPr>
        <w:tab/>
        <w:t>If any part of a recorded statement is in a language other than English:</w:t>
      </w:r>
    </w:p>
    <w:p w14:paraId="3946F121" w14:textId="77777777" w:rsidR="002F0CED" w:rsidRPr="00C27476" w:rsidRDefault="002F0CED" w:rsidP="00C27476">
      <w:pPr>
        <w:pStyle w:val="Paragraph"/>
        <w:spacing w:after="0"/>
        <w:ind w:left="1134"/>
        <w:rPr>
          <w:rFonts w:asciiTheme="minorHAnsi" w:hAnsiTheme="minorHAnsi"/>
          <w:sz w:val="22"/>
          <w:szCs w:val="22"/>
        </w:rPr>
      </w:pPr>
      <w:r w:rsidRPr="00C27476">
        <w:rPr>
          <w:rFonts w:asciiTheme="minorHAnsi" w:hAnsiTheme="minorHAnsi"/>
          <w:sz w:val="22"/>
          <w:szCs w:val="22"/>
        </w:rPr>
        <w:t>(a)</w:t>
      </w:r>
      <w:r w:rsidRPr="00C27476">
        <w:rPr>
          <w:rFonts w:asciiTheme="minorHAnsi" w:hAnsiTheme="minorHAnsi"/>
          <w:sz w:val="22"/>
          <w:szCs w:val="22"/>
        </w:rPr>
        <w:tab/>
        <w:t>the recorded statement must contain an English translation of the part; or</w:t>
      </w:r>
    </w:p>
    <w:p w14:paraId="719D5C0C" w14:textId="77777777" w:rsidR="002F0CED" w:rsidRPr="00C27476" w:rsidRDefault="002F0CED" w:rsidP="00C27476">
      <w:pPr>
        <w:pStyle w:val="Paragraph"/>
        <w:spacing w:after="200"/>
        <w:ind w:left="1134"/>
        <w:rPr>
          <w:rFonts w:asciiTheme="minorHAnsi" w:hAnsiTheme="minorHAnsi"/>
          <w:sz w:val="22"/>
          <w:szCs w:val="22"/>
        </w:rPr>
      </w:pPr>
      <w:r w:rsidRPr="00C27476">
        <w:rPr>
          <w:rFonts w:asciiTheme="minorHAnsi" w:hAnsiTheme="minorHAnsi"/>
          <w:sz w:val="22"/>
          <w:szCs w:val="22"/>
        </w:rPr>
        <w:t>(b)</w:t>
      </w:r>
      <w:r w:rsidRPr="00C27476">
        <w:rPr>
          <w:rFonts w:asciiTheme="minorHAnsi" w:hAnsiTheme="minorHAnsi"/>
          <w:sz w:val="22"/>
          <w:szCs w:val="22"/>
        </w:rPr>
        <w:tab/>
        <w:t>a separate written English translation of the part must accompany the recorded statement.</w:t>
      </w:r>
    </w:p>
    <w:p w14:paraId="24F398B4" w14:textId="77777777" w:rsidR="007A599F" w:rsidRDefault="002F0CED" w:rsidP="004E7577">
      <w:pPr>
        <w:pStyle w:val="Paragraph"/>
        <w:spacing w:after="120"/>
        <w:ind w:left="0" w:firstLine="0"/>
        <w:rPr>
          <w:rFonts w:asciiTheme="minorHAnsi" w:hAnsiTheme="minorHAnsi"/>
          <w:sz w:val="22"/>
          <w:szCs w:val="22"/>
        </w:rPr>
      </w:pPr>
      <w:r w:rsidRPr="002F0CED">
        <w:rPr>
          <w:rFonts w:asciiTheme="minorHAnsi" w:hAnsiTheme="minorHAnsi"/>
          <w:sz w:val="22"/>
          <w:szCs w:val="22"/>
        </w:rPr>
        <w:t xml:space="preserve">Section 20 of the </w:t>
      </w:r>
      <w:r w:rsidRPr="002F0CED">
        <w:rPr>
          <w:rFonts w:asciiTheme="minorHAnsi" w:hAnsiTheme="minorHAnsi"/>
          <w:i/>
          <w:sz w:val="22"/>
          <w:szCs w:val="22"/>
        </w:rPr>
        <w:t>Oaths, Affidavits and Declarations Act 2010</w:t>
      </w:r>
      <w:r w:rsidRPr="002F0CED">
        <w:rPr>
          <w:rFonts w:asciiTheme="minorHAnsi" w:hAnsiTheme="minorHAnsi"/>
          <w:sz w:val="22"/>
          <w:szCs w:val="22"/>
        </w:rPr>
        <w:t xml:space="preserve"> provides</w:t>
      </w:r>
      <w:r>
        <w:rPr>
          <w:rFonts w:asciiTheme="minorHAnsi" w:hAnsiTheme="minorHAnsi"/>
          <w:sz w:val="22"/>
          <w:szCs w:val="22"/>
        </w:rPr>
        <w:t>:</w:t>
      </w:r>
    </w:p>
    <w:p w14:paraId="2051B689" w14:textId="2EAEFA11" w:rsidR="002F0CED" w:rsidRPr="00C27476" w:rsidRDefault="002F0CED" w:rsidP="004E7577">
      <w:pPr>
        <w:tabs>
          <w:tab w:val="left" w:pos="567"/>
        </w:tabs>
        <w:spacing w:after="120"/>
        <w:rPr>
          <w:b/>
        </w:rPr>
      </w:pPr>
      <w:bookmarkStart w:id="87" w:name="_Ref254858225"/>
      <w:bookmarkStart w:id="88" w:name="_Toc96324415"/>
      <w:r w:rsidRPr="00C27476">
        <w:rPr>
          <w:b/>
        </w:rPr>
        <w:t>20</w:t>
      </w:r>
      <w:r w:rsidR="00C27476">
        <w:rPr>
          <w:b/>
        </w:rPr>
        <w:t>.</w:t>
      </w:r>
      <w:r w:rsidR="00C27476">
        <w:rPr>
          <w:b/>
        </w:rPr>
        <w:tab/>
      </w:r>
      <w:r w:rsidRPr="00C27476">
        <w:rPr>
          <w:b/>
        </w:rPr>
        <w:t>Recorded statutory declaration</w:t>
      </w:r>
      <w:bookmarkEnd w:id="87"/>
      <w:bookmarkEnd w:id="88"/>
    </w:p>
    <w:p w14:paraId="79D46E72" w14:textId="78D0A5C2" w:rsidR="002F0CED" w:rsidRPr="00C27476" w:rsidRDefault="002F0CED" w:rsidP="004E7577">
      <w:pPr>
        <w:pStyle w:val="Subsection"/>
        <w:spacing w:after="120"/>
        <w:ind w:left="567" w:hanging="533"/>
        <w:rPr>
          <w:rFonts w:asciiTheme="minorHAnsi" w:hAnsiTheme="minorHAnsi"/>
          <w:sz w:val="22"/>
          <w:szCs w:val="22"/>
        </w:rPr>
      </w:pPr>
      <w:r w:rsidRPr="00C27476">
        <w:rPr>
          <w:rFonts w:asciiTheme="minorHAnsi" w:hAnsiTheme="minorHAnsi"/>
          <w:sz w:val="22"/>
          <w:szCs w:val="22"/>
        </w:rPr>
        <w:t>(1)</w:t>
      </w:r>
      <w:r w:rsidRPr="00C27476">
        <w:rPr>
          <w:rFonts w:asciiTheme="minorHAnsi" w:hAnsiTheme="minorHAnsi"/>
          <w:sz w:val="22"/>
          <w:szCs w:val="22"/>
        </w:rPr>
        <w:tab/>
        <w:t>A statutory declaration may be made as an audio or audiovisual recording of any kind.</w:t>
      </w:r>
    </w:p>
    <w:p w14:paraId="659E12F5" w14:textId="7B2874AF" w:rsidR="002F0CED" w:rsidRPr="00C27476" w:rsidRDefault="002F0CED" w:rsidP="00C27476">
      <w:pPr>
        <w:pStyle w:val="Subsection"/>
        <w:spacing w:after="0"/>
        <w:ind w:left="567" w:hanging="533"/>
        <w:rPr>
          <w:rFonts w:asciiTheme="minorHAnsi" w:hAnsiTheme="minorHAnsi"/>
          <w:sz w:val="22"/>
          <w:szCs w:val="22"/>
        </w:rPr>
      </w:pPr>
      <w:r w:rsidRPr="00C27476">
        <w:rPr>
          <w:rFonts w:asciiTheme="minorHAnsi" w:hAnsiTheme="minorHAnsi"/>
          <w:sz w:val="22"/>
          <w:szCs w:val="22"/>
        </w:rPr>
        <w:t>(3)</w:t>
      </w:r>
      <w:r w:rsidRPr="00C27476">
        <w:rPr>
          <w:rFonts w:asciiTheme="minorHAnsi" w:hAnsiTheme="minorHAnsi"/>
          <w:sz w:val="22"/>
          <w:szCs w:val="22"/>
        </w:rPr>
        <w:tab/>
        <w:t>The person making the declaration must make a statement at the end of the recording:</w:t>
      </w:r>
    </w:p>
    <w:p w14:paraId="7C4A3178" w14:textId="77777777" w:rsidR="002F0CED" w:rsidRPr="00C27476" w:rsidRDefault="002F0CED" w:rsidP="004E7577">
      <w:pPr>
        <w:pStyle w:val="Paragraph"/>
        <w:spacing w:after="0"/>
        <w:ind w:left="1134"/>
        <w:rPr>
          <w:rFonts w:asciiTheme="minorHAnsi" w:hAnsiTheme="minorHAnsi"/>
          <w:sz w:val="22"/>
          <w:szCs w:val="22"/>
        </w:rPr>
      </w:pPr>
      <w:r w:rsidRPr="00C27476">
        <w:rPr>
          <w:rFonts w:asciiTheme="minorHAnsi" w:hAnsiTheme="minorHAnsi"/>
          <w:sz w:val="22"/>
          <w:szCs w:val="22"/>
        </w:rPr>
        <w:t>(a)</w:t>
      </w:r>
      <w:r w:rsidRPr="00C27476">
        <w:rPr>
          <w:rFonts w:asciiTheme="minorHAnsi" w:hAnsiTheme="minorHAnsi"/>
          <w:sz w:val="22"/>
          <w:szCs w:val="22"/>
        </w:rPr>
        <w:tab/>
        <w:t>that the declaration is true; and</w:t>
      </w:r>
    </w:p>
    <w:p w14:paraId="4558BB16" w14:textId="77777777" w:rsidR="002F0CED" w:rsidRPr="00C27476" w:rsidRDefault="002F0CED" w:rsidP="004E7577">
      <w:pPr>
        <w:pStyle w:val="Paragraph"/>
        <w:spacing w:after="0"/>
        <w:ind w:left="1134"/>
        <w:rPr>
          <w:rFonts w:asciiTheme="minorHAnsi" w:hAnsiTheme="minorHAnsi"/>
          <w:sz w:val="22"/>
          <w:szCs w:val="22"/>
        </w:rPr>
      </w:pPr>
      <w:r w:rsidRPr="00C27476">
        <w:rPr>
          <w:rFonts w:asciiTheme="minorHAnsi" w:hAnsiTheme="minorHAnsi"/>
          <w:sz w:val="22"/>
          <w:szCs w:val="22"/>
        </w:rPr>
        <w:t>(b)</w:t>
      </w:r>
      <w:r w:rsidRPr="00C27476">
        <w:rPr>
          <w:rFonts w:asciiTheme="minorHAnsi" w:hAnsiTheme="minorHAnsi"/>
          <w:sz w:val="22"/>
          <w:szCs w:val="22"/>
        </w:rPr>
        <w:tab/>
        <w:t>to the effect that the person knows it is an offence to make a statutory declaration that is false in any material particular; and</w:t>
      </w:r>
    </w:p>
    <w:p w14:paraId="780E0372" w14:textId="77777777" w:rsidR="002F0CED" w:rsidRPr="00C27476" w:rsidRDefault="002F0CED" w:rsidP="004E7577">
      <w:pPr>
        <w:pStyle w:val="Paragraph"/>
        <w:spacing w:after="120"/>
        <w:ind w:left="1134"/>
        <w:rPr>
          <w:rFonts w:asciiTheme="minorHAnsi" w:hAnsiTheme="minorHAnsi"/>
          <w:sz w:val="22"/>
          <w:szCs w:val="22"/>
        </w:rPr>
      </w:pPr>
      <w:r w:rsidRPr="00C27476">
        <w:rPr>
          <w:rFonts w:asciiTheme="minorHAnsi" w:hAnsiTheme="minorHAnsi"/>
          <w:sz w:val="22"/>
          <w:szCs w:val="22"/>
        </w:rPr>
        <w:t>(c)</w:t>
      </w:r>
      <w:r w:rsidRPr="00C27476">
        <w:rPr>
          <w:rFonts w:asciiTheme="minorHAnsi" w:hAnsiTheme="minorHAnsi"/>
          <w:sz w:val="22"/>
          <w:szCs w:val="22"/>
        </w:rPr>
        <w:tab/>
        <w:t>setting out the place where, and the date when, the statement required by this subsection is recorded.</w:t>
      </w:r>
    </w:p>
    <w:p w14:paraId="4CA71F0E" w14:textId="5468D8A5" w:rsidR="002F0CED" w:rsidRPr="00C27476" w:rsidRDefault="002F0CED" w:rsidP="00C27476">
      <w:pPr>
        <w:pStyle w:val="Subsection"/>
        <w:keepLines/>
        <w:spacing w:after="0"/>
        <w:ind w:left="567" w:hanging="533"/>
        <w:rPr>
          <w:rFonts w:asciiTheme="minorHAnsi" w:hAnsiTheme="minorHAnsi"/>
          <w:sz w:val="22"/>
          <w:szCs w:val="22"/>
        </w:rPr>
      </w:pPr>
      <w:r w:rsidRPr="00C27476">
        <w:rPr>
          <w:rFonts w:asciiTheme="minorHAnsi" w:hAnsiTheme="minorHAnsi"/>
          <w:sz w:val="22"/>
          <w:szCs w:val="22"/>
        </w:rPr>
        <w:t>(4)</w:t>
      </w:r>
      <w:r w:rsidRPr="00C27476">
        <w:rPr>
          <w:rFonts w:asciiTheme="minorHAnsi" w:hAnsiTheme="minorHAnsi"/>
          <w:sz w:val="22"/>
          <w:szCs w:val="22"/>
        </w:rPr>
        <w:tab/>
        <w:t>The statement required by subsection (3) must be recorded in the presence, whether physically or by audiovisual link, of an adult witness.</w:t>
      </w:r>
    </w:p>
    <w:p w14:paraId="425F32A1" w14:textId="77777777" w:rsidR="002F0CED" w:rsidRPr="00C27476" w:rsidRDefault="002F0CED" w:rsidP="004E7577">
      <w:pPr>
        <w:pStyle w:val="Example"/>
        <w:spacing w:after="0"/>
        <w:ind w:left="567"/>
        <w:rPr>
          <w:rFonts w:asciiTheme="minorHAnsi" w:hAnsiTheme="minorHAnsi"/>
          <w:sz w:val="22"/>
          <w:szCs w:val="22"/>
        </w:rPr>
      </w:pPr>
      <w:r w:rsidRPr="00C27476">
        <w:rPr>
          <w:rFonts w:asciiTheme="minorHAnsi" w:hAnsiTheme="minorHAnsi"/>
          <w:sz w:val="22"/>
          <w:szCs w:val="22"/>
        </w:rPr>
        <w:t>Note for subsection (4)</w:t>
      </w:r>
    </w:p>
    <w:p w14:paraId="59261C75" w14:textId="77777777" w:rsidR="002F0CED" w:rsidRPr="00C27476" w:rsidRDefault="002F0CED" w:rsidP="004E7577">
      <w:pPr>
        <w:pStyle w:val="Example"/>
        <w:ind w:left="567"/>
        <w:rPr>
          <w:rFonts w:asciiTheme="minorHAnsi" w:hAnsiTheme="minorHAnsi"/>
          <w:sz w:val="22"/>
          <w:szCs w:val="22"/>
        </w:rPr>
      </w:pPr>
      <w:r w:rsidRPr="00C27476">
        <w:rPr>
          <w:rFonts w:asciiTheme="minorHAnsi" w:hAnsiTheme="minorHAnsi"/>
          <w:sz w:val="22"/>
          <w:szCs w:val="22"/>
        </w:rPr>
        <w:t>The witness does not have to be present for the making of the rest of the declaration recording.</w:t>
      </w:r>
    </w:p>
    <w:p w14:paraId="261EA9C5" w14:textId="57EA76B8" w:rsidR="002F0CED" w:rsidRPr="00C27476" w:rsidRDefault="002F0CED" w:rsidP="00C27476">
      <w:pPr>
        <w:pStyle w:val="Subsection"/>
        <w:spacing w:after="0"/>
        <w:ind w:left="567" w:hanging="533"/>
        <w:rPr>
          <w:rFonts w:asciiTheme="minorHAnsi" w:hAnsiTheme="minorHAnsi"/>
          <w:sz w:val="22"/>
          <w:szCs w:val="22"/>
        </w:rPr>
      </w:pPr>
      <w:r w:rsidRPr="00C27476">
        <w:rPr>
          <w:rFonts w:asciiTheme="minorHAnsi" w:hAnsiTheme="minorHAnsi"/>
          <w:sz w:val="22"/>
          <w:szCs w:val="22"/>
        </w:rPr>
        <w:t>(5)</w:t>
      </w:r>
      <w:r w:rsidRPr="00C27476">
        <w:rPr>
          <w:rFonts w:asciiTheme="minorHAnsi" w:hAnsiTheme="minorHAnsi"/>
          <w:sz w:val="22"/>
          <w:szCs w:val="22"/>
        </w:rPr>
        <w:tab/>
        <w:t>After the person making the declaration has recorded the statement required by subsection (3), the witness must make a statement, at the end of the recording, stating:</w:t>
      </w:r>
    </w:p>
    <w:p w14:paraId="0163A850" w14:textId="77777777" w:rsidR="002F0CED" w:rsidRPr="00C27476" w:rsidRDefault="002F0CED" w:rsidP="004E7577">
      <w:pPr>
        <w:pStyle w:val="Paragraph"/>
        <w:spacing w:after="0"/>
        <w:ind w:left="1134"/>
        <w:rPr>
          <w:rFonts w:asciiTheme="minorHAnsi" w:hAnsiTheme="minorHAnsi"/>
          <w:sz w:val="22"/>
          <w:szCs w:val="22"/>
        </w:rPr>
      </w:pPr>
      <w:r w:rsidRPr="00C27476">
        <w:rPr>
          <w:rFonts w:asciiTheme="minorHAnsi" w:hAnsiTheme="minorHAnsi"/>
          <w:sz w:val="22"/>
          <w:szCs w:val="22"/>
        </w:rPr>
        <w:t>(a)</w:t>
      </w:r>
      <w:r w:rsidRPr="00C27476">
        <w:rPr>
          <w:rFonts w:asciiTheme="minorHAnsi" w:hAnsiTheme="minorHAnsi"/>
          <w:sz w:val="22"/>
          <w:szCs w:val="22"/>
        </w:rPr>
        <w:tab/>
        <w:t>the witness's full name and address or telephone number; and</w:t>
      </w:r>
    </w:p>
    <w:p w14:paraId="673CABF3" w14:textId="77777777" w:rsidR="002F0CED" w:rsidRPr="00C27476" w:rsidRDefault="002F0CED" w:rsidP="004E7577">
      <w:pPr>
        <w:ind w:left="1134" w:hanging="567"/>
        <w:rPr>
          <w:rFonts w:asciiTheme="minorHAnsi" w:hAnsiTheme="minorHAnsi"/>
        </w:rPr>
      </w:pPr>
      <w:r w:rsidRPr="00C27476">
        <w:rPr>
          <w:rFonts w:asciiTheme="minorHAnsi" w:hAnsiTheme="minorHAnsi"/>
        </w:rPr>
        <w:t>(b)</w:t>
      </w:r>
      <w:r w:rsidRPr="00C27476">
        <w:rPr>
          <w:rFonts w:asciiTheme="minorHAnsi" w:hAnsiTheme="minorHAnsi"/>
        </w:rPr>
        <w:tab/>
      </w:r>
      <w:r w:rsidRPr="00C27476">
        <w:rPr>
          <w:rFonts w:asciiTheme="minorHAnsi" w:hAnsiTheme="minorHAnsi"/>
        </w:rPr>
        <w:tab/>
        <w:t>that the witness witnessed the recording of the statement required by subsection (3).</w:t>
      </w:r>
    </w:p>
    <w:p w14:paraId="3B7FE10F" w14:textId="1B99527E" w:rsidR="007A599F" w:rsidRDefault="00860CE6" w:rsidP="004E7577">
      <w:pPr>
        <w:spacing w:after="120"/>
      </w:pPr>
      <w:r>
        <w:t>I</w:t>
      </w:r>
      <w:r w:rsidR="009749DA">
        <w:t>nformed consent is not required for recorded statements admitted under Part 3</w:t>
      </w:r>
      <w:r w:rsidR="00C97ED6">
        <w:t xml:space="preserve"> of the </w:t>
      </w:r>
      <w:r w:rsidR="00C97ED6" w:rsidRPr="00F53D74">
        <w:rPr>
          <w:i/>
        </w:rPr>
        <w:t>Evidence Act 1939</w:t>
      </w:r>
      <w:r w:rsidR="00C97ED6">
        <w:t xml:space="preserve"> (provisions on vulnerable witnesses)</w:t>
      </w:r>
      <w:r w:rsidR="009749DA">
        <w:t>.  S</w:t>
      </w:r>
      <w:r w:rsidR="005C52AF">
        <w:t xml:space="preserve">ection 21B provides that in cases of sexual or serious violence offences the </w:t>
      </w:r>
      <w:r w:rsidR="004E7577">
        <w:t xml:space="preserve">court </w:t>
      </w:r>
      <w:r w:rsidR="005C52AF">
        <w:t>may</w:t>
      </w:r>
      <w:r w:rsidR="00B4298B">
        <w:t xml:space="preserve"> admit a recorded statement</w:t>
      </w:r>
      <w:r w:rsidR="005C52AF">
        <w:t>:</w:t>
      </w:r>
    </w:p>
    <w:p w14:paraId="33E9D072" w14:textId="39A62C91" w:rsidR="005C52AF" w:rsidRPr="004E7577" w:rsidRDefault="005C52AF" w:rsidP="004E7577">
      <w:pPr>
        <w:pStyle w:val="Subsection"/>
        <w:tabs>
          <w:tab w:val="clear" w:pos="902"/>
        </w:tabs>
        <w:spacing w:after="0"/>
        <w:ind w:left="1134" w:hanging="533"/>
        <w:rPr>
          <w:rFonts w:asciiTheme="minorHAnsi" w:hAnsiTheme="minorHAnsi"/>
          <w:sz w:val="22"/>
          <w:szCs w:val="22"/>
        </w:rPr>
      </w:pPr>
      <w:r w:rsidRPr="004E7577">
        <w:rPr>
          <w:rFonts w:asciiTheme="minorHAnsi" w:hAnsiTheme="minorHAnsi"/>
          <w:sz w:val="22"/>
          <w:szCs w:val="22"/>
        </w:rPr>
        <w:t>(2)</w:t>
      </w:r>
      <w:r w:rsidR="004E7577">
        <w:rPr>
          <w:rFonts w:asciiTheme="minorHAnsi" w:hAnsiTheme="minorHAnsi"/>
          <w:sz w:val="22"/>
          <w:szCs w:val="22"/>
        </w:rPr>
        <w:tab/>
      </w:r>
      <w:r w:rsidRPr="004E7577">
        <w:rPr>
          <w:rFonts w:asciiTheme="minorHAnsi" w:hAnsiTheme="minorHAnsi"/>
          <w:sz w:val="22"/>
          <w:szCs w:val="22"/>
        </w:rPr>
        <w:t>If a vulnerable witness is to give evidence in proceedings to which this section applies, the court may exercise one or both of the following powers:</w:t>
      </w:r>
    </w:p>
    <w:p w14:paraId="2BEE70A5" w14:textId="155F58B4" w:rsidR="005C52AF" w:rsidRPr="004E7577" w:rsidRDefault="005C52AF" w:rsidP="004E7577">
      <w:pPr>
        <w:pStyle w:val="Paragraph"/>
        <w:spacing w:after="0"/>
        <w:ind w:left="1701"/>
        <w:rPr>
          <w:rFonts w:asciiTheme="minorHAnsi" w:hAnsiTheme="minorHAnsi"/>
          <w:sz w:val="22"/>
          <w:szCs w:val="22"/>
        </w:rPr>
      </w:pPr>
      <w:r w:rsidRPr="004E7577">
        <w:rPr>
          <w:rFonts w:asciiTheme="minorHAnsi" w:hAnsiTheme="minorHAnsi"/>
          <w:sz w:val="22"/>
          <w:szCs w:val="22"/>
        </w:rPr>
        <w:t>(a)</w:t>
      </w:r>
      <w:r w:rsidRPr="004E7577">
        <w:rPr>
          <w:rFonts w:asciiTheme="minorHAnsi" w:hAnsiTheme="minorHAnsi"/>
          <w:sz w:val="22"/>
          <w:szCs w:val="22"/>
        </w:rPr>
        <w:tab/>
        <w:t>the court may admit a recorded statement in evidence as the witness'</w:t>
      </w:r>
      <w:r w:rsidR="00B84F91" w:rsidRPr="004E7577">
        <w:rPr>
          <w:rFonts w:asciiTheme="minorHAnsi" w:hAnsiTheme="minorHAnsi"/>
          <w:sz w:val="22"/>
          <w:szCs w:val="22"/>
        </w:rPr>
        <w:t>s</w:t>
      </w:r>
      <w:r w:rsidRPr="004E7577">
        <w:rPr>
          <w:rFonts w:asciiTheme="minorHAnsi" w:hAnsiTheme="minorHAnsi"/>
          <w:sz w:val="22"/>
          <w:szCs w:val="22"/>
        </w:rPr>
        <w:t xml:space="preserve"> evidence in chief or as part of the witness's evidence in chief; </w:t>
      </w:r>
    </w:p>
    <w:p w14:paraId="75642B80" w14:textId="77777777" w:rsidR="005C52AF" w:rsidRPr="004E7577" w:rsidRDefault="005C52AF" w:rsidP="004E7577">
      <w:pPr>
        <w:pStyle w:val="Paragraph"/>
        <w:spacing w:after="0"/>
        <w:ind w:left="1701"/>
        <w:rPr>
          <w:rFonts w:asciiTheme="minorHAnsi" w:hAnsiTheme="minorHAnsi"/>
          <w:sz w:val="22"/>
          <w:szCs w:val="22"/>
        </w:rPr>
      </w:pPr>
      <w:r w:rsidRPr="004E7577">
        <w:rPr>
          <w:rFonts w:asciiTheme="minorHAnsi" w:hAnsiTheme="minorHAnsi"/>
          <w:sz w:val="22"/>
          <w:szCs w:val="22"/>
        </w:rPr>
        <w:t>(b)</w:t>
      </w:r>
      <w:r w:rsidRPr="004E7577">
        <w:rPr>
          <w:rFonts w:asciiTheme="minorHAnsi" w:hAnsiTheme="minorHAnsi"/>
          <w:sz w:val="22"/>
          <w:szCs w:val="22"/>
        </w:rPr>
        <w:tab/>
        <w:t>the court may:</w:t>
      </w:r>
    </w:p>
    <w:p w14:paraId="1EE5CB3B" w14:textId="77777777" w:rsidR="005C52AF" w:rsidRPr="004E7577" w:rsidRDefault="005C52AF" w:rsidP="004E7577">
      <w:pPr>
        <w:pStyle w:val="Subpara"/>
        <w:spacing w:after="0"/>
        <w:rPr>
          <w:rFonts w:asciiTheme="minorHAnsi" w:hAnsiTheme="minorHAnsi"/>
          <w:sz w:val="22"/>
          <w:szCs w:val="22"/>
        </w:rPr>
      </w:pPr>
      <w:r w:rsidRPr="004E7577">
        <w:rPr>
          <w:rFonts w:asciiTheme="minorHAnsi" w:hAnsiTheme="minorHAnsi"/>
          <w:sz w:val="22"/>
          <w:szCs w:val="22"/>
        </w:rPr>
        <w:t>(i)</w:t>
      </w:r>
      <w:r w:rsidRPr="004E7577">
        <w:rPr>
          <w:rFonts w:asciiTheme="minorHAnsi" w:hAnsiTheme="minorHAnsi"/>
          <w:sz w:val="22"/>
          <w:szCs w:val="22"/>
        </w:rPr>
        <w:tab/>
        <w:t>hold a special sitting in relation to the witness; and</w:t>
      </w:r>
    </w:p>
    <w:p w14:paraId="70B2687A" w14:textId="77777777" w:rsidR="005C52AF" w:rsidRPr="004E7577" w:rsidRDefault="005C52AF" w:rsidP="004E7577">
      <w:pPr>
        <w:pStyle w:val="Subpara"/>
        <w:spacing w:after="0"/>
        <w:rPr>
          <w:rFonts w:asciiTheme="minorHAnsi" w:hAnsiTheme="minorHAnsi"/>
          <w:sz w:val="22"/>
          <w:szCs w:val="22"/>
        </w:rPr>
      </w:pPr>
      <w:r w:rsidRPr="004E7577">
        <w:rPr>
          <w:rFonts w:asciiTheme="minorHAnsi" w:hAnsiTheme="minorHAnsi"/>
          <w:sz w:val="22"/>
          <w:szCs w:val="22"/>
        </w:rPr>
        <w:t>(ii)</w:t>
      </w:r>
      <w:r w:rsidRPr="004E7577">
        <w:rPr>
          <w:rFonts w:asciiTheme="minorHAnsi" w:hAnsiTheme="minorHAnsi"/>
          <w:sz w:val="22"/>
          <w:szCs w:val="22"/>
        </w:rPr>
        <w:tab/>
        <w:t>have an audiovisual recording made of the examination of the witness at the special sitting and admit the recording in evidence; and</w:t>
      </w:r>
    </w:p>
    <w:p w14:paraId="075F0C8E" w14:textId="77777777" w:rsidR="005C52AF" w:rsidRPr="004E7577" w:rsidRDefault="005C52AF" w:rsidP="004E7577">
      <w:pPr>
        <w:pStyle w:val="Subpara"/>
        <w:spacing w:after="120"/>
        <w:rPr>
          <w:rFonts w:asciiTheme="minorHAnsi" w:hAnsiTheme="minorHAnsi"/>
          <w:sz w:val="22"/>
          <w:szCs w:val="22"/>
        </w:rPr>
      </w:pPr>
      <w:r w:rsidRPr="004E7577">
        <w:rPr>
          <w:rFonts w:asciiTheme="minorHAnsi" w:hAnsiTheme="minorHAnsi"/>
          <w:sz w:val="22"/>
          <w:szCs w:val="22"/>
        </w:rPr>
        <w:t>(iii)</w:t>
      </w:r>
      <w:r w:rsidRPr="004E7577">
        <w:rPr>
          <w:rFonts w:asciiTheme="minorHAnsi" w:hAnsiTheme="minorHAnsi"/>
          <w:sz w:val="22"/>
          <w:szCs w:val="22"/>
        </w:rPr>
        <w:tab/>
        <w:t>re-play the recording to the jury as the witness's evidence or as part of the witness's evidence (as the case requires).</w:t>
      </w:r>
    </w:p>
    <w:p w14:paraId="64715D5B" w14:textId="3C121383" w:rsidR="005C52AF" w:rsidRPr="004E7577" w:rsidRDefault="005C52AF" w:rsidP="004E7577">
      <w:pPr>
        <w:pStyle w:val="Subsection"/>
        <w:tabs>
          <w:tab w:val="clear" w:pos="902"/>
        </w:tabs>
        <w:spacing w:after="200"/>
        <w:ind w:left="1134" w:hanging="533"/>
        <w:rPr>
          <w:rFonts w:asciiTheme="minorHAnsi" w:hAnsiTheme="minorHAnsi"/>
          <w:sz w:val="22"/>
          <w:szCs w:val="22"/>
        </w:rPr>
      </w:pPr>
      <w:r w:rsidRPr="004E7577">
        <w:rPr>
          <w:rFonts w:asciiTheme="minorHAnsi" w:hAnsiTheme="minorHAnsi"/>
          <w:sz w:val="22"/>
          <w:szCs w:val="22"/>
        </w:rPr>
        <w:t>(3)</w:t>
      </w:r>
      <w:r w:rsidRPr="004E7577">
        <w:rPr>
          <w:rFonts w:asciiTheme="minorHAnsi" w:hAnsiTheme="minorHAnsi"/>
          <w:sz w:val="22"/>
          <w:szCs w:val="22"/>
        </w:rPr>
        <w:tab/>
        <w:t>If the prosecutor asks the court to admit a recorded statement in evidence or to hold a special sitting under subsection (2), the court must accede to the request unless there is good reason for not doing so.</w:t>
      </w:r>
    </w:p>
    <w:p w14:paraId="54237740" w14:textId="3BAA5344" w:rsidR="00A82989" w:rsidRDefault="00A82989" w:rsidP="004E7577">
      <w:pPr>
        <w:spacing w:after="120"/>
      </w:pPr>
      <w:r>
        <w:t>A serious violence offence is defined in section 21AA</w:t>
      </w:r>
      <w:r w:rsidR="004E7577" w:rsidRPr="004E7577">
        <w:t xml:space="preserve"> </w:t>
      </w:r>
      <w:r w:rsidR="004E7577">
        <w:t xml:space="preserve">of the </w:t>
      </w:r>
      <w:r w:rsidR="004E7577">
        <w:rPr>
          <w:i/>
        </w:rPr>
        <w:t>Evidence Act 193</w:t>
      </w:r>
      <w:r>
        <w:t>:</w:t>
      </w:r>
    </w:p>
    <w:p w14:paraId="6FA2C004" w14:textId="77777777" w:rsidR="00A82989" w:rsidRPr="004E7577" w:rsidRDefault="00A82989" w:rsidP="004E7577">
      <w:pPr>
        <w:spacing w:after="0"/>
        <w:ind w:left="567"/>
      </w:pPr>
      <w:r w:rsidRPr="004E7577">
        <w:rPr>
          <w:i/>
        </w:rPr>
        <w:t>serious violence offence</w:t>
      </w:r>
      <w:r w:rsidRPr="004E7577">
        <w:t xml:space="preserve"> means an offence against any of the following provisions of the Criminal Code that is punishable by imprisonment for 5 or more years:</w:t>
      </w:r>
    </w:p>
    <w:p w14:paraId="51AD5DA0" w14:textId="77777777" w:rsidR="00A82989" w:rsidRPr="004E7577" w:rsidRDefault="00A82989" w:rsidP="004E7577">
      <w:pPr>
        <w:spacing w:after="0"/>
        <w:ind w:left="1134" w:hanging="567"/>
      </w:pPr>
      <w:r w:rsidRPr="004E7577">
        <w:t>(a)</w:t>
      </w:r>
      <w:r w:rsidRPr="004E7577">
        <w:tab/>
        <w:t>Part V, Division 2;</w:t>
      </w:r>
    </w:p>
    <w:p w14:paraId="02EDACDA" w14:textId="77777777" w:rsidR="00A82989" w:rsidRPr="004E7577" w:rsidRDefault="00A82989" w:rsidP="004E7577">
      <w:pPr>
        <w:spacing w:after="0"/>
        <w:ind w:left="1134" w:hanging="567"/>
      </w:pPr>
      <w:r w:rsidRPr="004E7577">
        <w:t>(b)</w:t>
      </w:r>
      <w:r w:rsidRPr="004E7577">
        <w:tab/>
        <w:t>Part VI, Divisions 3 to 6A;</w:t>
      </w:r>
    </w:p>
    <w:p w14:paraId="730CE5FC" w14:textId="77777777" w:rsidR="00A82989" w:rsidRPr="004E7577" w:rsidRDefault="00A82989" w:rsidP="004E7577">
      <w:pPr>
        <w:spacing w:after="0"/>
        <w:ind w:left="1134" w:hanging="567"/>
      </w:pPr>
      <w:r w:rsidRPr="004E7577">
        <w:t>(c)</w:t>
      </w:r>
      <w:r w:rsidRPr="004E7577">
        <w:tab/>
        <w:t>section 211 or 212;</w:t>
      </w:r>
    </w:p>
    <w:p w14:paraId="3BD3B098" w14:textId="4E6CCA70" w:rsidR="001C57B1" w:rsidRPr="004E7577" w:rsidRDefault="00A82989" w:rsidP="004E7577">
      <w:pPr>
        <w:spacing w:after="0"/>
        <w:ind w:left="1134" w:hanging="567"/>
      </w:pPr>
      <w:r w:rsidRPr="004E7577">
        <w:t>(d)</w:t>
      </w:r>
      <w:r w:rsidRPr="004E7577">
        <w:tab/>
        <w:t>another provision prescribed by regulation.</w:t>
      </w:r>
    </w:p>
    <w:p w14:paraId="2C9E0E46" w14:textId="4079B5BC" w:rsidR="007A599F" w:rsidRDefault="00A77596" w:rsidP="004E7577">
      <w:pPr>
        <w:pStyle w:val="Heading4"/>
        <w:keepNext/>
        <w:numPr>
          <w:ilvl w:val="0"/>
          <w:numId w:val="0"/>
        </w:numPr>
        <w:spacing w:after="0" w:line="259" w:lineRule="auto"/>
        <w:ind w:left="864" w:hanging="864"/>
      </w:pPr>
      <w:r>
        <w:lastRenderedPageBreak/>
        <w:t>PROPOSAL LR 5</w:t>
      </w:r>
      <w:r w:rsidR="00157E90">
        <w:t>3</w:t>
      </w:r>
    </w:p>
    <w:p w14:paraId="4E1629E9" w14:textId="3E01FE69" w:rsidR="00B96B07" w:rsidRPr="00157E90" w:rsidRDefault="00A82989" w:rsidP="004E7577">
      <w:pPr>
        <w:keepNext/>
        <w:spacing w:after="0" w:line="259" w:lineRule="auto"/>
        <w:rPr>
          <w:rFonts w:cs="Arial"/>
          <w:b/>
        </w:rPr>
      </w:pPr>
      <w:r w:rsidRPr="00157E90">
        <w:rPr>
          <w:rFonts w:cs="Arial"/>
          <w:b/>
        </w:rPr>
        <w:t>It is proposed to a</w:t>
      </w:r>
      <w:r w:rsidR="001C57B1" w:rsidRPr="00157E90">
        <w:rPr>
          <w:rFonts w:cs="Arial"/>
          <w:b/>
        </w:rPr>
        <w:t xml:space="preserve">mend section 21J </w:t>
      </w:r>
      <w:r w:rsidR="00AF7CF0" w:rsidRPr="00157E90">
        <w:rPr>
          <w:rFonts w:cs="Arial"/>
          <w:b/>
        </w:rPr>
        <w:t>to</w:t>
      </w:r>
      <w:r w:rsidR="00C97ED6" w:rsidRPr="00157E90">
        <w:rPr>
          <w:rFonts w:cs="Arial"/>
          <w:b/>
        </w:rPr>
        <w:t xml:space="preserve"> simplify</w:t>
      </w:r>
      <w:r w:rsidR="00A0316B" w:rsidRPr="00157E90">
        <w:rPr>
          <w:rFonts w:cs="Arial"/>
          <w:b/>
        </w:rPr>
        <w:t xml:space="preserve"> </w:t>
      </w:r>
      <w:r w:rsidR="008121A6" w:rsidRPr="00157E90">
        <w:rPr>
          <w:rFonts w:cs="Arial"/>
          <w:b/>
        </w:rPr>
        <w:t xml:space="preserve">the </w:t>
      </w:r>
      <w:r w:rsidR="00860CE6" w:rsidRPr="00157E90">
        <w:rPr>
          <w:rFonts w:cs="Arial"/>
          <w:b/>
        </w:rPr>
        <w:t xml:space="preserve">requirements for admissibility of recorded statements </w:t>
      </w:r>
      <w:r w:rsidR="002231D4" w:rsidRPr="00157E90">
        <w:rPr>
          <w:rFonts w:cs="Arial"/>
          <w:b/>
        </w:rPr>
        <w:t>and bring it into line with Part 3</w:t>
      </w:r>
      <w:r w:rsidR="00CF5092" w:rsidRPr="00157E90">
        <w:rPr>
          <w:rFonts w:cs="Arial"/>
          <w:b/>
        </w:rPr>
        <w:t xml:space="preserve"> along the lines:</w:t>
      </w:r>
    </w:p>
    <w:p w14:paraId="38BB1A04" w14:textId="7C73824D" w:rsidR="00C97ED6" w:rsidRPr="00157E90" w:rsidRDefault="00860CE6" w:rsidP="004E7577">
      <w:pPr>
        <w:pStyle w:val="ListParagraph"/>
        <w:spacing w:line="259" w:lineRule="auto"/>
        <w:ind w:left="567"/>
        <w:rPr>
          <w:rFonts w:cs="Arial"/>
          <w:b/>
        </w:rPr>
      </w:pPr>
      <w:r w:rsidRPr="00157E90">
        <w:rPr>
          <w:rFonts w:cs="Arial"/>
          <w:b/>
        </w:rPr>
        <w:t>To be admissible, a recorded statement must be made as soon as practicable after the events mentioned in the statement occurred</w:t>
      </w:r>
      <w:r w:rsidR="001C57B1" w:rsidRPr="00157E90">
        <w:rPr>
          <w:rFonts w:cs="Arial"/>
          <w:b/>
        </w:rPr>
        <w:t xml:space="preserve">, with the consent of the complainant, </w:t>
      </w:r>
      <w:r w:rsidRPr="00157E90">
        <w:rPr>
          <w:rFonts w:cs="Arial"/>
          <w:b/>
        </w:rPr>
        <w:t>an</w:t>
      </w:r>
      <w:r w:rsidR="001C57B1" w:rsidRPr="00157E90">
        <w:rPr>
          <w:rFonts w:cs="Arial"/>
          <w:b/>
        </w:rPr>
        <w:t xml:space="preserve">d in compliance with section 20 of the </w:t>
      </w:r>
      <w:r w:rsidR="001C57B1" w:rsidRPr="00157E90">
        <w:rPr>
          <w:rFonts w:asciiTheme="minorHAnsi" w:hAnsiTheme="minorHAnsi"/>
          <w:b/>
          <w:i/>
        </w:rPr>
        <w:t>Oaths, Affidavits and Declarations Act 2010</w:t>
      </w:r>
      <w:r w:rsidR="002231D4" w:rsidRPr="00157E90">
        <w:rPr>
          <w:rFonts w:asciiTheme="minorHAnsi" w:hAnsiTheme="minorHAnsi"/>
          <w:b/>
          <w:i/>
        </w:rPr>
        <w:t>.</w:t>
      </w:r>
    </w:p>
    <w:p w14:paraId="46914E16" w14:textId="162DB910" w:rsidR="00827316" w:rsidRPr="00A0316B" w:rsidRDefault="00827316" w:rsidP="0066376B">
      <w:pPr>
        <w:pStyle w:val="Heading3"/>
      </w:pPr>
      <w:bookmarkStart w:id="89" w:name="_Toc112051873"/>
      <w:r w:rsidRPr="00A0316B">
        <w:t>Expert evidence on DFV</w:t>
      </w:r>
      <w:bookmarkEnd w:id="89"/>
    </w:p>
    <w:p w14:paraId="58CB1710" w14:textId="54C4AB7F" w:rsidR="005C7C99" w:rsidRDefault="001414FC" w:rsidP="00827316">
      <w:r>
        <w:t>Myths and misconceptions</w:t>
      </w:r>
      <w:r w:rsidR="00C95CFC">
        <w:t xml:space="preserve"> about DFV and coercive control</w:t>
      </w:r>
      <w:r>
        <w:t xml:space="preserve"> frequently form part of the evidence and submissions in criminal proceedings and influence the </w:t>
      </w:r>
      <w:r w:rsidR="002B4B59">
        <w:t xml:space="preserve">deliberations of judges and jury members. </w:t>
      </w:r>
      <w:r w:rsidR="004E7577">
        <w:t xml:space="preserve"> </w:t>
      </w:r>
      <w:r w:rsidR="002B4B59">
        <w:t>This reflects misconceptions that persist in the broader community.</w:t>
      </w:r>
      <w:r w:rsidR="006F6806">
        <w:t xml:space="preserve"> </w:t>
      </w:r>
      <w:r w:rsidR="004E7577">
        <w:t xml:space="preserve"> </w:t>
      </w:r>
      <w:r w:rsidR="006F6806">
        <w:t xml:space="preserve">For example, </w:t>
      </w:r>
      <w:r w:rsidR="006F6806" w:rsidRPr="00A95F68">
        <w:t>nearly one in three Australians (32</w:t>
      </w:r>
      <w:r w:rsidR="004E7577">
        <w:t> per cent</w:t>
      </w:r>
      <w:r w:rsidR="006F6806" w:rsidRPr="00A95F68">
        <w:t>) believe that women who do not leave a relationship in which violence is occurring hold some responsibility for the abuse continuing</w:t>
      </w:r>
      <w:r w:rsidR="006F6806">
        <w:t>.</w:t>
      </w:r>
      <w:r w:rsidR="006F6806" w:rsidRPr="00C95CFC">
        <w:rPr>
          <w:vertAlign w:val="superscript"/>
        </w:rPr>
        <w:footnoteReference w:id="190"/>
      </w:r>
    </w:p>
    <w:p w14:paraId="760606B7" w14:textId="76A4FA1A" w:rsidR="00827316" w:rsidRDefault="00DE3105" w:rsidP="00827316">
      <w:r w:rsidRPr="00A0316B">
        <w:t xml:space="preserve">Stakeholders </w:t>
      </w:r>
      <w:r w:rsidR="00F12143">
        <w:t>have argued</w:t>
      </w:r>
      <w:r w:rsidRPr="00A0316B">
        <w:t xml:space="preserve"> that </w:t>
      </w:r>
      <w:r w:rsidR="002B4B59">
        <w:t xml:space="preserve">the </w:t>
      </w:r>
      <w:r w:rsidRPr="00A0316B">
        <w:t>increase</w:t>
      </w:r>
      <w:r w:rsidR="00F12143">
        <w:t>d</w:t>
      </w:r>
      <w:r w:rsidRPr="00A0316B">
        <w:t xml:space="preserve"> use of expert evidence on DFV and coercive control could make a valuable contribution to countering these myths and misconceptions. </w:t>
      </w:r>
    </w:p>
    <w:p w14:paraId="1A16E4AF" w14:textId="57F0A99A" w:rsidR="00565369" w:rsidRPr="00A0316B" w:rsidRDefault="00565369" w:rsidP="004E7577">
      <w:pPr>
        <w:spacing w:after="120"/>
      </w:pPr>
      <w:r w:rsidRPr="00A0316B">
        <w:t>Section 79</w:t>
      </w:r>
      <w:r w:rsidR="00B0309F" w:rsidRPr="00A0316B">
        <w:t>(1)</w:t>
      </w:r>
      <w:r w:rsidRPr="00A0316B">
        <w:t xml:space="preserve"> of the </w:t>
      </w:r>
      <w:r w:rsidRPr="00F53D74">
        <w:rPr>
          <w:i/>
        </w:rPr>
        <w:t>Evidence (National Uniform Legislation) Act 2011</w:t>
      </w:r>
      <w:r w:rsidRPr="00A0316B">
        <w:t xml:space="preserve"> </w:t>
      </w:r>
      <w:r w:rsidR="00F12143">
        <w:t xml:space="preserve">provides for expert evidence in criminal proceedings in the NT. </w:t>
      </w:r>
      <w:r w:rsidR="004E7577">
        <w:t xml:space="preserve"> </w:t>
      </w:r>
      <w:r w:rsidR="00F12143">
        <w:t>Section 79(1) provides:</w:t>
      </w:r>
    </w:p>
    <w:p w14:paraId="00AE4F5F" w14:textId="06A94EC1" w:rsidR="00046B02" w:rsidRPr="004E7577" w:rsidRDefault="00B0309F" w:rsidP="004E7577">
      <w:pPr>
        <w:pStyle w:val="Subsection"/>
        <w:ind w:left="567" w:firstLine="0"/>
        <w:rPr>
          <w:rFonts w:asciiTheme="minorHAnsi" w:hAnsiTheme="minorHAnsi"/>
          <w:sz w:val="22"/>
          <w:szCs w:val="22"/>
        </w:rPr>
      </w:pPr>
      <w:r w:rsidRPr="004E7577">
        <w:rPr>
          <w:rFonts w:asciiTheme="minorHAnsi" w:hAnsiTheme="minorHAnsi"/>
          <w:sz w:val="22"/>
          <w:szCs w:val="22"/>
        </w:rPr>
        <w:t>If a person has specialised knowledge based on the person's training, study or experience, the opinion rule does not apply to evidence of an opinion of that person that is wholly or substantially based on that knowledge.</w:t>
      </w:r>
    </w:p>
    <w:p w14:paraId="061A6B78" w14:textId="182A775C" w:rsidR="00DE3105" w:rsidRPr="00A0316B" w:rsidRDefault="00DE3105" w:rsidP="000E530C">
      <w:pPr>
        <w:spacing w:after="120"/>
      </w:pPr>
      <w:r w:rsidRPr="00A0316B">
        <w:t xml:space="preserve">The Queensland Women’s Safety and Justice Taskforce recommended amendments to the </w:t>
      </w:r>
      <w:r w:rsidRPr="00F53D74">
        <w:rPr>
          <w:i/>
        </w:rPr>
        <w:t xml:space="preserve">Evidence Act 1977 (Qld) </w:t>
      </w:r>
      <w:r w:rsidRPr="00A0316B">
        <w:t>to allow relevant expert evidence to be admitted in criminal proceedings about the nature and effects</w:t>
      </w:r>
      <w:r w:rsidR="009F27AD">
        <w:t xml:space="preserve"> of DFV</w:t>
      </w:r>
      <w:r w:rsidRPr="00A0316B">
        <w:t xml:space="preserve"> including coercive control:</w:t>
      </w:r>
    </w:p>
    <w:p w14:paraId="584ECEED" w14:textId="7D69416E" w:rsidR="00DE3105" w:rsidRPr="00A0316B" w:rsidRDefault="004E7577" w:rsidP="0067521E">
      <w:pPr>
        <w:pStyle w:val="ListParagraph"/>
        <w:numPr>
          <w:ilvl w:val="0"/>
          <w:numId w:val="125"/>
        </w:numPr>
        <w:ind w:left="993" w:hanging="426"/>
      </w:pPr>
      <w:r w:rsidRPr="00A0316B">
        <w:t>generally</w:t>
      </w:r>
      <w:r w:rsidR="00DE3105" w:rsidRPr="00A0316B">
        <w:t>, on any person; and</w:t>
      </w:r>
    </w:p>
    <w:p w14:paraId="72D9929C" w14:textId="4E6A0D11" w:rsidR="00DE3105" w:rsidRPr="00A0316B" w:rsidRDefault="004E7577" w:rsidP="0067521E">
      <w:pPr>
        <w:pStyle w:val="ListParagraph"/>
        <w:numPr>
          <w:ilvl w:val="0"/>
          <w:numId w:val="125"/>
        </w:numPr>
        <w:ind w:left="993" w:hanging="426"/>
      </w:pPr>
      <w:r w:rsidRPr="00A0316B">
        <w:t xml:space="preserve">on </w:t>
      </w:r>
      <w:r w:rsidR="00DE3105" w:rsidRPr="00A0316B">
        <w:t>a particular person who has been the subject of domestic violence.</w:t>
      </w:r>
      <w:r w:rsidR="00DE3105" w:rsidRPr="00A0316B">
        <w:rPr>
          <w:rStyle w:val="FootnoteReference"/>
        </w:rPr>
        <w:footnoteReference w:id="191"/>
      </w:r>
    </w:p>
    <w:p w14:paraId="058850E2" w14:textId="2D3D23D7" w:rsidR="00DE3105" w:rsidRPr="00A0316B" w:rsidRDefault="00DE3105" w:rsidP="004E7577">
      <w:pPr>
        <w:spacing w:after="120"/>
      </w:pPr>
      <w:r w:rsidRPr="00A0316B">
        <w:t xml:space="preserve">The Taskforce recommended that the provision be modelled on section 39 of the </w:t>
      </w:r>
      <w:r w:rsidRPr="00F53D74">
        <w:rPr>
          <w:i/>
        </w:rPr>
        <w:t xml:space="preserve">Evidence Act 1906 (WA) </w:t>
      </w:r>
      <w:r w:rsidRPr="00A0316B">
        <w:t>which provides:</w:t>
      </w:r>
    </w:p>
    <w:p w14:paraId="1A133F5E" w14:textId="376F32E1" w:rsidR="00DE3105" w:rsidRPr="004E7577" w:rsidRDefault="007854A2" w:rsidP="004E7577">
      <w:pPr>
        <w:spacing w:after="0"/>
        <w:rPr>
          <w:b/>
        </w:rPr>
      </w:pPr>
      <w:r w:rsidRPr="004E7577">
        <w:rPr>
          <w:b/>
        </w:rPr>
        <w:t>E</w:t>
      </w:r>
      <w:r w:rsidR="00DE3105" w:rsidRPr="004E7577">
        <w:rPr>
          <w:b/>
        </w:rPr>
        <w:t>xpert evidence of family violence</w:t>
      </w:r>
    </w:p>
    <w:p w14:paraId="6F72A9B3" w14:textId="77777777" w:rsidR="00DE3105" w:rsidRPr="004E7577" w:rsidRDefault="00DE3105" w:rsidP="004E7577">
      <w:pPr>
        <w:spacing w:after="0"/>
        <w:ind w:left="567" w:hanging="567"/>
      </w:pPr>
      <w:r w:rsidRPr="004E7577">
        <w:t>(1)</w:t>
      </w:r>
      <w:r w:rsidRPr="004E7577">
        <w:tab/>
        <w:t>This section applies to any criminal proceedings where evidence of family violence is relevant to a fact in issue.</w:t>
      </w:r>
    </w:p>
    <w:p w14:paraId="1EF614D7" w14:textId="134D238B" w:rsidR="00DE3105" w:rsidRPr="004E7577" w:rsidRDefault="00DE3105" w:rsidP="004E7577">
      <w:pPr>
        <w:spacing w:after="0"/>
        <w:ind w:left="567" w:hanging="567"/>
      </w:pPr>
      <w:r w:rsidRPr="004E7577">
        <w:t>(2)</w:t>
      </w:r>
      <w:r w:rsidRPr="004E7577">
        <w:tab/>
        <w:t>The evidence of an expert on the subject of family violence is admissible in relation to any matter that may constitute evidence of f</w:t>
      </w:r>
      <w:r w:rsidR="007854A2" w:rsidRPr="004E7577">
        <w:t>amily violence.</w:t>
      </w:r>
    </w:p>
    <w:p w14:paraId="618A42B0" w14:textId="77777777" w:rsidR="00DE3105" w:rsidRPr="004E7577" w:rsidRDefault="00DE3105" w:rsidP="004E7577">
      <w:pPr>
        <w:spacing w:after="0"/>
        <w:ind w:left="567" w:hanging="567"/>
      </w:pPr>
      <w:r w:rsidRPr="004E7577">
        <w:t>(3)</w:t>
      </w:r>
      <w:r w:rsidRPr="004E7577">
        <w:tab/>
        <w:t>Evidence given by the expert may include —</w:t>
      </w:r>
    </w:p>
    <w:p w14:paraId="102D37D3" w14:textId="77777777" w:rsidR="00DE3105" w:rsidRPr="004E7577" w:rsidRDefault="00DE3105" w:rsidP="004E7577">
      <w:pPr>
        <w:spacing w:after="0"/>
        <w:ind w:left="1134" w:hanging="567"/>
      </w:pPr>
      <w:r w:rsidRPr="004E7577">
        <w:t>(a)</w:t>
      </w:r>
      <w:r w:rsidRPr="004E7577">
        <w:tab/>
        <w:t>evidence about the nature and effects of family violence on any person; and</w:t>
      </w:r>
    </w:p>
    <w:p w14:paraId="31C363FB" w14:textId="77777777" w:rsidR="00DE3105" w:rsidRPr="004E7577" w:rsidRDefault="00DE3105" w:rsidP="004E7577">
      <w:pPr>
        <w:spacing w:after="0"/>
        <w:ind w:left="1134" w:hanging="567"/>
      </w:pPr>
      <w:r w:rsidRPr="004E7577">
        <w:t>(b)</w:t>
      </w:r>
      <w:r w:rsidRPr="004E7577">
        <w:tab/>
        <w:t>evidence about the effect of family violence on a particular person who has been the subject of family violence.</w:t>
      </w:r>
    </w:p>
    <w:p w14:paraId="11AA3430" w14:textId="51B18462" w:rsidR="00DE3105" w:rsidRPr="004E7577" w:rsidRDefault="00DE3105" w:rsidP="004E7577">
      <w:pPr>
        <w:spacing w:after="0"/>
        <w:ind w:left="567" w:hanging="567"/>
      </w:pPr>
      <w:r w:rsidRPr="004E7577">
        <w:t>(4)</w:t>
      </w:r>
      <w:r w:rsidRPr="004E7577">
        <w:tab/>
        <w:t>For the purposes of this section, an expert on the subject of family violence includes a person who can demonstrate specialised knowledge, gained by training, study or experience, of any matter that may constitu</w:t>
      </w:r>
      <w:r w:rsidR="008662F4" w:rsidRPr="004E7577">
        <w:t>te evidence of family violence.</w:t>
      </w:r>
    </w:p>
    <w:p w14:paraId="4E83DF14" w14:textId="38DAAF5E" w:rsidR="000D206B" w:rsidRPr="00A0316B" w:rsidRDefault="00A77596" w:rsidP="004E7577">
      <w:pPr>
        <w:pStyle w:val="Heading4"/>
        <w:keepNext/>
        <w:numPr>
          <w:ilvl w:val="0"/>
          <w:numId w:val="0"/>
        </w:numPr>
        <w:spacing w:after="0" w:line="259" w:lineRule="auto"/>
      </w:pPr>
      <w:r>
        <w:t>PROPOSAL 5</w:t>
      </w:r>
      <w:r w:rsidR="00D1213D">
        <w:t>4</w:t>
      </w:r>
    </w:p>
    <w:p w14:paraId="3562A5FC" w14:textId="4CE7877B" w:rsidR="00DE3105" w:rsidRPr="00D1213D" w:rsidRDefault="00DE32FC" w:rsidP="004E7577">
      <w:pPr>
        <w:spacing w:after="0" w:line="259" w:lineRule="auto"/>
        <w:rPr>
          <w:b/>
        </w:rPr>
      </w:pPr>
      <w:r w:rsidRPr="00D1213D">
        <w:rPr>
          <w:b/>
        </w:rPr>
        <w:t xml:space="preserve">It is proposed to amend the </w:t>
      </w:r>
      <w:r w:rsidRPr="00D1213D">
        <w:rPr>
          <w:b/>
          <w:i/>
        </w:rPr>
        <w:t>Evidence Act 1939</w:t>
      </w:r>
      <w:r w:rsidRPr="00D1213D">
        <w:rPr>
          <w:b/>
        </w:rPr>
        <w:t xml:space="preserve"> along the lines of section 39 of the </w:t>
      </w:r>
      <w:r w:rsidRPr="00D1213D">
        <w:rPr>
          <w:b/>
          <w:i/>
        </w:rPr>
        <w:t>Evidence Act 1906 (WA)</w:t>
      </w:r>
      <w:r w:rsidRPr="00D1213D">
        <w:rPr>
          <w:b/>
        </w:rPr>
        <w:t xml:space="preserve"> to allow expert evidence of family violence to be admissible where evidence of family violence is relevant to a fact in issue.</w:t>
      </w:r>
    </w:p>
    <w:p w14:paraId="351682AC" w14:textId="6C807D59" w:rsidR="00AC557C" w:rsidRDefault="00AC557C" w:rsidP="000E530C">
      <w:pPr>
        <w:pStyle w:val="Heading3"/>
        <w:keepNext/>
      </w:pPr>
      <w:bookmarkStart w:id="90" w:name="_Toc112051874"/>
      <w:r>
        <w:lastRenderedPageBreak/>
        <w:t>Jury directions on DFV</w:t>
      </w:r>
      <w:bookmarkEnd w:id="90"/>
    </w:p>
    <w:p w14:paraId="57C01BA7" w14:textId="3914B0D9" w:rsidR="00BA3F26" w:rsidRDefault="00BA3F26" w:rsidP="00AC557C">
      <w:r>
        <w:t>Directions to the jury provides another way to counter the myths and misconceptions associated with DFV that find their way into criminal proceedings and may potentially lead to unjust outcomes.</w:t>
      </w:r>
    </w:p>
    <w:p w14:paraId="0E888998" w14:textId="79C97326" w:rsidR="00291F46" w:rsidRDefault="00BA3F26" w:rsidP="00AC557C">
      <w:r>
        <w:t>T</w:t>
      </w:r>
      <w:r w:rsidR="005336EB">
        <w:t>he Queensland Women’s Safety and Justice Taskforce recommended</w:t>
      </w:r>
      <w:r w:rsidR="002D021D">
        <w:t xml:space="preserve"> that</w:t>
      </w:r>
      <w:r w:rsidR="00291F46">
        <w:t xml:space="preserve"> the Minister:</w:t>
      </w:r>
    </w:p>
    <w:p w14:paraId="27135739" w14:textId="77777777" w:rsidR="00D224CE" w:rsidRPr="000E530C" w:rsidRDefault="00291F46" w:rsidP="000E530C">
      <w:pPr>
        <w:ind w:left="567"/>
      </w:pPr>
      <w:r w:rsidRPr="000E530C">
        <w:t>“…immediately prog</w:t>
      </w:r>
      <w:r w:rsidR="00D224CE" w:rsidRPr="000E530C">
        <w:t>r</w:t>
      </w:r>
      <w:r w:rsidRPr="000E530C">
        <w:t xml:space="preserve">ess amendments to the to the </w:t>
      </w:r>
      <w:r w:rsidRPr="000E530C">
        <w:rPr>
          <w:i/>
        </w:rPr>
        <w:t>Evidence Act 1997</w:t>
      </w:r>
      <w:r w:rsidRPr="000E530C">
        <w:t xml:space="preserve"> modelled on section 38,</w:t>
      </w:r>
      <w:r w:rsidR="00D224CE" w:rsidRPr="000E530C">
        <w:t xml:space="preserve"> </w:t>
      </w:r>
      <w:r w:rsidRPr="000E530C">
        <w:t xml:space="preserve">39C-39F of the </w:t>
      </w:r>
      <w:r w:rsidRPr="000E530C">
        <w:rPr>
          <w:i/>
        </w:rPr>
        <w:t>Evidence Act 1906</w:t>
      </w:r>
      <w:r w:rsidRPr="000E530C">
        <w:t xml:space="preserve"> (WA) to provide for jury directions to be made in proceedings for domestic violence related offences and where domestic violence has been raised in evidence during a trial to address stereotypes and misconceptions about family violence. </w:t>
      </w:r>
    </w:p>
    <w:p w14:paraId="2C05F8BB" w14:textId="727C6313" w:rsidR="00291F46" w:rsidRPr="000E530C" w:rsidRDefault="00D224CE" w:rsidP="000E530C">
      <w:pPr>
        <w:ind w:left="567"/>
      </w:pPr>
      <w:r w:rsidRPr="000E530C">
        <w:t>“</w:t>
      </w:r>
      <w:r w:rsidR="00E02380" w:rsidRPr="000E530C">
        <w:t>This will enable</w:t>
      </w:r>
      <w:r w:rsidR="00291F46" w:rsidRPr="000E530C">
        <w:t xml:space="preserve"> juries to be better informed and able to consider the evidence that has been raised during the trial.” (</w:t>
      </w:r>
      <w:r w:rsidR="000E530C" w:rsidRPr="000E530C">
        <w:t xml:space="preserve">recommendation </w:t>
      </w:r>
      <w:r w:rsidR="00291F46" w:rsidRPr="000E530C">
        <w:t>65)</w:t>
      </w:r>
    </w:p>
    <w:p w14:paraId="7C23DB4C" w14:textId="3BB1915F" w:rsidR="00291F46" w:rsidRPr="000E530C" w:rsidRDefault="00894B17" w:rsidP="00291F46">
      <w:r>
        <w:t>The provision</w:t>
      </w:r>
      <w:r w:rsidR="000E530C">
        <w:t>s in sections 38 and</w:t>
      </w:r>
      <w:r w:rsidRPr="00894B17">
        <w:t xml:space="preserve"> 39C-39F of the </w:t>
      </w:r>
      <w:r w:rsidRPr="000E530C">
        <w:rPr>
          <w:i/>
        </w:rPr>
        <w:t>Evidence Act 1906</w:t>
      </w:r>
      <w:r w:rsidRPr="000E530C">
        <w:t xml:space="preserve"> (WA)</w:t>
      </w:r>
      <w:r w:rsidR="00D224CE" w:rsidRPr="000E530C">
        <w:t xml:space="preserve"> </w:t>
      </w:r>
      <w:r w:rsidRPr="000E530C">
        <w:t xml:space="preserve">are set out in </w:t>
      </w:r>
      <w:r w:rsidR="00803043" w:rsidRPr="000E530C">
        <w:t>Attachment</w:t>
      </w:r>
      <w:r w:rsidR="000E530C">
        <w:t> </w:t>
      </w:r>
      <w:r w:rsidR="008A4C9F">
        <w:t>7</w:t>
      </w:r>
      <w:r w:rsidR="00803043" w:rsidRPr="000E530C">
        <w:t>.5</w:t>
      </w:r>
      <w:r w:rsidRPr="000E530C">
        <w:t>.</w:t>
      </w:r>
    </w:p>
    <w:p w14:paraId="06A0E9C0" w14:textId="7529FCF3" w:rsidR="00291F46" w:rsidRDefault="00291F46" w:rsidP="00291F46">
      <w:r w:rsidRPr="000E530C">
        <w:t xml:space="preserve">Victoria also has mandatory jury directions on DFV set out in sections 55-59 and section 60 of the </w:t>
      </w:r>
      <w:r w:rsidRPr="000E530C">
        <w:rPr>
          <w:rFonts w:cs="Arial"/>
          <w:i/>
          <w:lang w:val="en-US"/>
        </w:rPr>
        <w:t>Jury Directions Act 2015</w:t>
      </w:r>
      <w:r w:rsidRPr="000E530C">
        <w:rPr>
          <w:rFonts w:cs="Arial"/>
          <w:lang w:val="en-US"/>
        </w:rPr>
        <w:t xml:space="preserve"> (Vic).</w:t>
      </w:r>
      <w:r w:rsidR="00352179" w:rsidRPr="000E530C">
        <w:rPr>
          <w:rFonts w:cs="Arial"/>
          <w:lang w:val="en-US"/>
        </w:rPr>
        <w:t xml:space="preserve">  These are set out in </w:t>
      </w:r>
      <w:r w:rsidR="008A4C9F">
        <w:rPr>
          <w:rFonts w:cs="Arial"/>
          <w:lang w:val="en-US"/>
        </w:rPr>
        <w:t>Attachment 7</w:t>
      </w:r>
      <w:r w:rsidR="00803043" w:rsidRPr="000E530C">
        <w:rPr>
          <w:rFonts w:cs="Arial"/>
          <w:lang w:val="en-US"/>
        </w:rPr>
        <w:t>.6</w:t>
      </w:r>
      <w:r w:rsidR="00352179" w:rsidRPr="000E530C">
        <w:rPr>
          <w:rFonts w:cs="Arial"/>
          <w:lang w:val="en-US"/>
        </w:rPr>
        <w:t>.</w:t>
      </w:r>
    </w:p>
    <w:p w14:paraId="66341708" w14:textId="38FE8152" w:rsidR="005336EB" w:rsidRDefault="00A77596" w:rsidP="000E530C">
      <w:pPr>
        <w:pStyle w:val="Heading4"/>
        <w:keepNext/>
        <w:numPr>
          <w:ilvl w:val="0"/>
          <w:numId w:val="0"/>
        </w:numPr>
        <w:spacing w:after="0" w:line="259" w:lineRule="auto"/>
      </w:pPr>
      <w:r>
        <w:t>PROPOSAL LR 5</w:t>
      </w:r>
      <w:r w:rsidR="00D1213D">
        <w:t>5</w:t>
      </w:r>
    </w:p>
    <w:p w14:paraId="773FC2E1" w14:textId="73E6BBD6" w:rsidR="00C85943" w:rsidRPr="00D1213D" w:rsidRDefault="003F006C" w:rsidP="000E530C">
      <w:pPr>
        <w:spacing w:after="0" w:line="259" w:lineRule="auto"/>
        <w:rPr>
          <w:b/>
        </w:rPr>
      </w:pPr>
      <w:r w:rsidRPr="00D1213D">
        <w:rPr>
          <w:b/>
        </w:rPr>
        <w:t xml:space="preserve">It is proposed that the NT adopt mandatory jury directions in relation to DFV, </w:t>
      </w:r>
      <w:r w:rsidR="00AC72AA" w:rsidRPr="00D1213D">
        <w:rPr>
          <w:b/>
        </w:rPr>
        <w:t xml:space="preserve">including coercive control, </w:t>
      </w:r>
      <w:r w:rsidRPr="00D1213D">
        <w:rPr>
          <w:b/>
        </w:rPr>
        <w:t xml:space="preserve">and establish a working group </w:t>
      </w:r>
      <w:r w:rsidR="004B4FBB" w:rsidRPr="00D1213D">
        <w:rPr>
          <w:b/>
        </w:rPr>
        <w:t xml:space="preserve">with appropriate </w:t>
      </w:r>
      <w:r w:rsidR="00AC72AA" w:rsidRPr="00D1213D">
        <w:rPr>
          <w:b/>
        </w:rPr>
        <w:t xml:space="preserve">DFV </w:t>
      </w:r>
      <w:r w:rsidR="004B4FBB" w:rsidRPr="00D1213D">
        <w:rPr>
          <w:b/>
        </w:rPr>
        <w:t xml:space="preserve">expertise </w:t>
      </w:r>
      <w:r w:rsidR="00AC72AA" w:rsidRPr="00D1213D">
        <w:rPr>
          <w:b/>
        </w:rPr>
        <w:t xml:space="preserve">and criminal law expertise </w:t>
      </w:r>
      <w:r w:rsidRPr="00D1213D">
        <w:rPr>
          <w:b/>
        </w:rPr>
        <w:t>to advise on the content of the directions for the NT</w:t>
      </w:r>
      <w:r w:rsidR="004B4FBB" w:rsidRPr="00D1213D">
        <w:rPr>
          <w:b/>
        </w:rPr>
        <w:t>.</w:t>
      </w:r>
    </w:p>
    <w:p w14:paraId="71FF0F57" w14:textId="15411990" w:rsidR="00CD77F2" w:rsidRDefault="005B7C35" w:rsidP="000E530C">
      <w:pPr>
        <w:pStyle w:val="Heading2"/>
        <w:ind w:left="1134"/>
      </w:pPr>
      <w:bookmarkStart w:id="91" w:name="_Toc112051875"/>
      <w:r>
        <w:t>Proposed a</w:t>
      </w:r>
      <w:r w:rsidR="00CD77F2" w:rsidRPr="00CA572E">
        <w:t>mendments</w:t>
      </w:r>
      <w:r w:rsidR="00CD77F2" w:rsidRPr="00E30D72">
        <w:t xml:space="preserve"> to the </w:t>
      </w:r>
      <w:r w:rsidR="00CD77F2" w:rsidRPr="00803043">
        <w:rPr>
          <w:i/>
        </w:rPr>
        <w:t>Evidence (National Uniform Legislation) Act 2011</w:t>
      </w:r>
      <w:bookmarkEnd w:id="91"/>
    </w:p>
    <w:p w14:paraId="60FC6E7F" w14:textId="77777777" w:rsidR="00CD77F2" w:rsidRPr="006538F6" w:rsidRDefault="00CD77F2" w:rsidP="00CD77F2">
      <w:r w:rsidRPr="006538F6">
        <w:t xml:space="preserve">Section 18 of the </w:t>
      </w:r>
      <w:r w:rsidRPr="00F53D74">
        <w:rPr>
          <w:i/>
        </w:rPr>
        <w:t>Evidence (National Uniform Legislation) Act</w:t>
      </w:r>
      <w:r w:rsidRPr="00173C5D">
        <w:t xml:space="preserve"> 2011 </w:t>
      </w:r>
      <w:r w:rsidRPr="006538F6">
        <w:t xml:space="preserve">provides that a spouse, de facto partner, parent or child (a ‘family victim’) of the defendant may object to being required to give evidence against the defendant in criminal proceedings (but not for a contravention of a DVO).   </w:t>
      </w:r>
    </w:p>
    <w:p w14:paraId="4F27DB92" w14:textId="77777777" w:rsidR="00CD77F2" w:rsidRPr="006538F6" w:rsidRDefault="00CD77F2" w:rsidP="000E530C">
      <w:pPr>
        <w:spacing w:after="120"/>
      </w:pPr>
      <w:r w:rsidRPr="006538F6">
        <w:t>Upon the witness making an objection under section 18, the presiding judge must determine whether the witness should be required to give evidence by considering:</w:t>
      </w:r>
    </w:p>
    <w:p w14:paraId="471F5D49" w14:textId="77777777" w:rsidR="00CD77F2" w:rsidRPr="006538F6" w:rsidRDefault="00CD77F2" w:rsidP="0067521E">
      <w:pPr>
        <w:pStyle w:val="ListParagraph"/>
        <w:numPr>
          <w:ilvl w:val="0"/>
          <w:numId w:val="78"/>
        </w:numPr>
        <w:ind w:left="567" w:hanging="567"/>
      </w:pPr>
      <w:r w:rsidRPr="006538F6">
        <w:t>the likelihood that harm would or might be caused (whether directly or indirectly) to the person, or to the relationship between the person and the defendant, if the person gives evidence; and</w:t>
      </w:r>
    </w:p>
    <w:p w14:paraId="194A8CEB" w14:textId="77777777" w:rsidR="00CD77F2" w:rsidRPr="006538F6" w:rsidRDefault="00CD77F2" w:rsidP="0067521E">
      <w:pPr>
        <w:pStyle w:val="ListParagraph"/>
        <w:numPr>
          <w:ilvl w:val="0"/>
          <w:numId w:val="78"/>
        </w:numPr>
        <w:spacing w:after="200"/>
        <w:ind w:left="567" w:hanging="567"/>
      </w:pPr>
      <w:r w:rsidRPr="006538F6">
        <w:t>whether the nature and extent of the harm outweighs the desirability of having the evidence given.</w:t>
      </w:r>
    </w:p>
    <w:p w14:paraId="5C0CCD37" w14:textId="501F4899" w:rsidR="00CD77F2" w:rsidRDefault="00CD77F2" w:rsidP="00CD77F2">
      <w:r w:rsidRPr="006538F6">
        <w:t>Many stakeholders are of view tha</w:t>
      </w:r>
      <w:r>
        <w:t xml:space="preserve">t this provision </w:t>
      </w:r>
      <w:r w:rsidRPr="006538F6">
        <w:t xml:space="preserve">is </w:t>
      </w:r>
      <w:r w:rsidR="008B44FB">
        <w:t>extremely confusing to complainants</w:t>
      </w:r>
      <w:r w:rsidR="004A4444">
        <w:t xml:space="preserve"> in</w:t>
      </w:r>
      <w:r w:rsidRPr="006538F6">
        <w:t xml:space="preserve"> DFV</w:t>
      </w:r>
      <w:r w:rsidR="004A4444">
        <w:t>-related proceedings</w:t>
      </w:r>
      <w:r w:rsidRPr="006538F6">
        <w:t xml:space="preserve"> </w:t>
      </w:r>
      <w:r>
        <w:t xml:space="preserve">and poorly implemented </w:t>
      </w:r>
      <w:r w:rsidR="008B44FB">
        <w:t>(ie. the complainant has</w:t>
      </w:r>
      <w:r w:rsidRPr="006538F6">
        <w:t xml:space="preserve"> a right to object which they might not find out about until the d</w:t>
      </w:r>
      <w:r w:rsidR="008B44FB">
        <w:t xml:space="preserve">ay of the hearing and even if they opt to object, the </w:t>
      </w:r>
      <w:r w:rsidR="000E530C">
        <w:t>c</w:t>
      </w:r>
      <w:r w:rsidR="000E530C" w:rsidRPr="006538F6">
        <w:t xml:space="preserve">ourt </w:t>
      </w:r>
      <w:r w:rsidR="008B44FB">
        <w:t xml:space="preserve">may </w:t>
      </w:r>
      <w:r w:rsidR="00DF7721">
        <w:t xml:space="preserve">decide to </w:t>
      </w:r>
      <w:r w:rsidR="008B44FB">
        <w:t>override their objection</w:t>
      </w:r>
      <w:r w:rsidRPr="006538F6">
        <w:t>)</w:t>
      </w:r>
      <w:r>
        <w:t>.</w:t>
      </w:r>
    </w:p>
    <w:p w14:paraId="72299982" w14:textId="7EDC83BB" w:rsidR="00DE5795" w:rsidRPr="004834C4" w:rsidRDefault="00DE5795" w:rsidP="000E530C">
      <w:pPr>
        <w:pStyle w:val="Heading4"/>
        <w:keepNext/>
        <w:ind w:left="862" w:hanging="862"/>
      </w:pPr>
      <w:r w:rsidRPr="007331E6">
        <w:t xml:space="preserve">Arguments </w:t>
      </w:r>
      <w:r>
        <w:t>in favour of retaining</w:t>
      </w:r>
      <w:r w:rsidR="00C85943">
        <w:t xml:space="preserve"> the </w:t>
      </w:r>
      <w:r w:rsidRPr="007331E6">
        <w:t>right to object</w:t>
      </w:r>
      <w:r w:rsidR="00414EDA">
        <w:t xml:space="preserve"> for DFV matters</w:t>
      </w:r>
    </w:p>
    <w:p w14:paraId="40F30AF6" w14:textId="47CBD2C1" w:rsidR="00DE5795" w:rsidRDefault="00DE5795" w:rsidP="000E530C">
      <w:pPr>
        <w:pStyle w:val="ListParagraph"/>
        <w:jc w:val="both"/>
        <w:rPr>
          <w:rFonts w:cs="Arial"/>
        </w:rPr>
      </w:pPr>
      <w:r>
        <w:rPr>
          <w:rFonts w:cs="Arial"/>
        </w:rPr>
        <w:t>There are a number of arguments i</w:t>
      </w:r>
      <w:r w:rsidR="00C85943">
        <w:rPr>
          <w:rFonts w:cs="Arial"/>
        </w:rPr>
        <w:t xml:space="preserve">n favour of retaining the </w:t>
      </w:r>
      <w:r w:rsidR="008B44FB">
        <w:rPr>
          <w:rFonts w:cs="Arial"/>
        </w:rPr>
        <w:t>right to object for complainants</w:t>
      </w:r>
      <w:r w:rsidR="00803043">
        <w:rPr>
          <w:rFonts w:cs="Arial"/>
        </w:rPr>
        <w:t xml:space="preserve"> in DFV</w:t>
      </w:r>
      <w:r>
        <w:rPr>
          <w:rFonts w:cs="Arial"/>
        </w:rPr>
        <w:t xml:space="preserve"> related criminal proceedings.  These have been raised in previous consultations</w:t>
      </w:r>
      <w:r w:rsidR="00731D19">
        <w:rPr>
          <w:rFonts w:cs="Arial"/>
        </w:rPr>
        <w:t xml:space="preserve"> and discussions</w:t>
      </w:r>
      <w:r>
        <w:rPr>
          <w:rFonts w:cs="Arial"/>
        </w:rPr>
        <w:t xml:space="preserve">. </w:t>
      </w:r>
    </w:p>
    <w:p w14:paraId="46F84739" w14:textId="2C7DF6D9" w:rsidR="00DE5795" w:rsidRDefault="008B44FB" w:rsidP="0067521E">
      <w:pPr>
        <w:numPr>
          <w:ilvl w:val="0"/>
          <w:numId w:val="98"/>
        </w:numPr>
        <w:spacing w:after="120"/>
        <w:ind w:left="567" w:hanging="567"/>
      </w:pPr>
      <w:r>
        <w:rPr>
          <w:rFonts w:cs="Arial"/>
        </w:rPr>
        <w:t>When a complainant</w:t>
      </w:r>
      <w:r w:rsidR="00C85943">
        <w:rPr>
          <w:rFonts w:cs="Arial"/>
        </w:rPr>
        <w:t xml:space="preserve"> exercises a </w:t>
      </w:r>
      <w:r w:rsidR="00DE5795">
        <w:rPr>
          <w:rFonts w:cs="Arial"/>
        </w:rPr>
        <w:t>right to object</w:t>
      </w:r>
      <w:r w:rsidR="00C85943">
        <w:rPr>
          <w:rFonts w:cs="Arial"/>
        </w:rPr>
        <w:t xml:space="preserve"> pursuant to section 18</w:t>
      </w:r>
      <w:r w:rsidR="00DE5795">
        <w:rPr>
          <w:rFonts w:cs="Arial"/>
        </w:rPr>
        <w:t xml:space="preserve">, the current provisions allow the </w:t>
      </w:r>
      <w:r w:rsidR="000E530C">
        <w:rPr>
          <w:rFonts w:cs="Arial"/>
        </w:rPr>
        <w:t xml:space="preserve">court </w:t>
      </w:r>
      <w:r w:rsidR="00DE5795">
        <w:rPr>
          <w:rFonts w:cs="Arial"/>
        </w:rPr>
        <w:t xml:space="preserve">to consider the </w:t>
      </w:r>
      <w:r w:rsidR="00731D19">
        <w:t>likelihood of harm to the complainant</w:t>
      </w:r>
      <w:r w:rsidR="00DE5795">
        <w:t xml:space="preserve"> (and the relationship) and </w:t>
      </w:r>
      <w:r w:rsidR="00DE5795">
        <w:lastRenderedPageBreak/>
        <w:t xml:space="preserve">for the </w:t>
      </w:r>
      <w:r w:rsidR="000E530C">
        <w:t xml:space="preserve">court </w:t>
      </w:r>
      <w:r w:rsidR="00DE5795">
        <w:t xml:space="preserve">to weigh the nature and extent of </w:t>
      </w:r>
      <w:r w:rsidR="00DE5795" w:rsidRPr="00A949D1">
        <w:t xml:space="preserve">harm </w:t>
      </w:r>
      <w:r w:rsidR="00DE5795">
        <w:t xml:space="preserve">against </w:t>
      </w:r>
      <w:r w:rsidR="00DE5795" w:rsidRPr="00A949D1">
        <w:t>the desirability of having the evidence given.</w:t>
      </w:r>
      <w:r w:rsidR="00DE5795">
        <w:t xml:space="preserve">  This weighing by the </w:t>
      </w:r>
      <w:r w:rsidR="000E530C">
        <w:t xml:space="preserve">court </w:t>
      </w:r>
      <w:r w:rsidR="00DE5795">
        <w:t>in each individual case is considered appropriate by many stakeholders to ensure the interests of justice are met withou</w:t>
      </w:r>
      <w:r w:rsidR="00731D19">
        <w:t>t unnecessary harm to the complainant</w:t>
      </w:r>
      <w:r w:rsidR="00DE5795">
        <w:t xml:space="preserve">. Section 18(7) provides for the factors that the </w:t>
      </w:r>
      <w:r w:rsidR="000E530C">
        <w:t xml:space="preserve">court </w:t>
      </w:r>
      <w:r w:rsidR="00DE5795">
        <w:t xml:space="preserve">must consider.  This allows the </w:t>
      </w:r>
      <w:r w:rsidR="000E530C">
        <w:t xml:space="preserve">court </w:t>
      </w:r>
      <w:r w:rsidR="00DE5795">
        <w:t>to reach a decision in the circumstances of each case.</w:t>
      </w:r>
    </w:p>
    <w:p w14:paraId="3DD136F7" w14:textId="77777777" w:rsidR="00DE5795" w:rsidRDefault="00DE5795" w:rsidP="0067521E">
      <w:pPr>
        <w:numPr>
          <w:ilvl w:val="0"/>
          <w:numId w:val="98"/>
        </w:numPr>
        <w:spacing w:after="120"/>
        <w:ind w:left="567" w:hanging="567"/>
      </w:pPr>
      <w:r>
        <w:t>If the right</w:t>
      </w:r>
      <w:r w:rsidR="00731D19">
        <w:t xml:space="preserve"> to object is removed and complainant</w:t>
      </w:r>
      <w:r>
        <w:t>s are required to give evidence they may experience repercussions, threats or violence from the defendant or his supporters or family members.  This may increase the harm, injury, stress and trauma to victims</w:t>
      </w:r>
      <w:r w:rsidR="00731D19">
        <w:t xml:space="preserve"> of DFV</w:t>
      </w:r>
      <w:r>
        <w:t xml:space="preserve">. </w:t>
      </w:r>
    </w:p>
    <w:p w14:paraId="1E3672BB" w14:textId="77777777" w:rsidR="00DE5795" w:rsidRDefault="00DE5795" w:rsidP="0067521E">
      <w:pPr>
        <w:numPr>
          <w:ilvl w:val="0"/>
          <w:numId w:val="98"/>
        </w:numPr>
        <w:spacing w:after="120"/>
        <w:ind w:left="567" w:hanging="567"/>
      </w:pPr>
      <w:r>
        <w:t xml:space="preserve">If the right </w:t>
      </w:r>
      <w:r w:rsidR="00F637B0">
        <w:t>to object is removed and complainants</w:t>
      </w:r>
      <w:r>
        <w:t xml:space="preserve"> are required to give evide</w:t>
      </w:r>
      <w:r w:rsidR="00F637B0">
        <w:t>nce this may dissuade complainants of DFV</w:t>
      </w:r>
      <w:r>
        <w:t xml:space="preserve"> from reporting further incidences of violence or seeking assistance.  They may effectively ‘opt out’ of the legal system and place themselves at risk of further harm by avoiding contacting police or other services if they face future instances of violence.</w:t>
      </w:r>
    </w:p>
    <w:p w14:paraId="29DC30F9" w14:textId="77777777" w:rsidR="00DE5795" w:rsidRDefault="00DE5795" w:rsidP="0067521E">
      <w:pPr>
        <w:numPr>
          <w:ilvl w:val="0"/>
          <w:numId w:val="98"/>
        </w:numPr>
        <w:spacing w:after="120"/>
        <w:ind w:left="567" w:hanging="567"/>
      </w:pPr>
      <w:r>
        <w:t xml:space="preserve">The removal of the right to object may contribute to a range of undesirable legal </w:t>
      </w:r>
      <w:r w:rsidR="00F637B0">
        <w:t>consequences for complainant</w:t>
      </w:r>
      <w:r>
        <w:t xml:space="preserve">s who remain determined not to provide evidence against the defendant (or if compelled to testify determined to give false or inconsistent evidence to avoid the defendant being convicted). </w:t>
      </w:r>
      <w:r w:rsidR="00F637B0">
        <w:t xml:space="preserve"> For many complainant</w:t>
      </w:r>
      <w:r>
        <w:t>s the fear of the defendant (or love for him and desire to retain a relationship with him) may be greater than their fear of legal consequences.  Some stakeholders have descr</w:t>
      </w:r>
      <w:r w:rsidR="00F637B0">
        <w:t>ibed this as a ‘criminalisation</w:t>
      </w:r>
      <w:r>
        <w:t xml:space="preserve"> of the victim</w:t>
      </w:r>
      <w:r w:rsidR="00F637B0">
        <w:t>’</w:t>
      </w:r>
      <w:r>
        <w:t>:</w:t>
      </w:r>
    </w:p>
    <w:p w14:paraId="7F4F8D68" w14:textId="456662BC" w:rsidR="00DE5795" w:rsidRDefault="00F637B0" w:rsidP="0067521E">
      <w:pPr>
        <w:pStyle w:val="ListParagraph"/>
        <w:numPr>
          <w:ilvl w:val="1"/>
          <w:numId w:val="97"/>
        </w:numPr>
        <w:ind w:left="1134" w:hanging="567"/>
      </w:pPr>
      <w:r>
        <w:t>Complainant</w:t>
      </w:r>
      <w:r w:rsidR="00DE5795">
        <w:t xml:space="preserve">s who fail to attend, or give evidence or answer questions in </w:t>
      </w:r>
      <w:r w:rsidR="000E530C">
        <w:t xml:space="preserve">court </w:t>
      </w:r>
      <w:r w:rsidR="00DE5795">
        <w:t xml:space="preserve">may face charges of contempt of Court (see section 45 of the </w:t>
      </w:r>
      <w:r w:rsidR="00DE5795" w:rsidRPr="00891922">
        <w:rPr>
          <w:i/>
        </w:rPr>
        <w:t>Local Court Act 2015</w:t>
      </w:r>
      <w:r w:rsidR="00DE5795">
        <w:rPr>
          <w:i/>
        </w:rPr>
        <w:t xml:space="preserve"> </w:t>
      </w:r>
      <w:r w:rsidR="00DE5795" w:rsidRPr="00891922">
        <w:t>with a maximum penalty of 6 months or a fine of 100 penalty units</w:t>
      </w:r>
      <w:r w:rsidR="00DE5795">
        <w:t>).</w:t>
      </w:r>
    </w:p>
    <w:p w14:paraId="29F0BD87" w14:textId="77777777" w:rsidR="00DE5795" w:rsidRDefault="00F637B0" w:rsidP="0067521E">
      <w:pPr>
        <w:pStyle w:val="ListParagraph"/>
        <w:numPr>
          <w:ilvl w:val="1"/>
          <w:numId w:val="97"/>
        </w:numPr>
        <w:ind w:left="1134" w:hanging="567"/>
      </w:pPr>
      <w:r>
        <w:t>Complainant</w:t>
      </w:r>
      <w:r w:rsidR="00DE5795">
        <w:t xml:space="preserve">s who provide false evidence may be charged with perjury (section 96 of the </w:t>
      </w:r>
      <w:r w:rsidR="00DE5795" w:rsidRPr="00C72A9A">
        <w:rPr>
          <w:i/>
        </w:rPr>
        <w:t>Criminal Code Act 1983</w:t>
      </w:r>
      <w:r w:rsidR="00DE5795">
        <w:t>, with a maximum penalty of 14 years).</w:t>
      </w:r>
    </w:p>
    <w:p w14:paraId="13A3A981" w14:textId="77777777" w:rsidR="00DE5795" w:rsidRPr="00F44F62" w:rsidRDefault="00DE5795" w:rsidP="0067521E">
      <w:pPr>
        <w:numPr>
          <w:ilvl w:val="0"/>
          <w:numId w:val="98"/>
        </w:numPr>
        <w:spacing w:after="120"/>
        <w:ind w:left="567" w:hanging="567"/>
      </w:pPr>
      <w:r w:rsidRPr="006C5693">
        <w:rPr>
          <w:rFonts w:cs="Arial"/>
        </w:rPr>
        <w:t>Stakeholders have argued</w:t>
      </w:r>
      <w:r>
        <w:rPr>
          <w:rFonts w:cs="Arial"/>
        </w:rPr>
        <w:t xml:space="preserve"> that compelling </w:t>
      </w:r>
      <w:r w:rsidR="00F637B0">
        <w:rPr>
          <w:rFonts w:cs="Arial"/>
        </w:rPr>
        <w:t>complainants</w:t>
      </w:r>
      <w:r w:rsidRPr="006C5693">
        <w:rPr>
          <w:rFonts w:cs="Arial"/>
        </w:rPr>
        <w:t xml:space="preserve"> </w:t>
      </w:r>
      <w:r w:rsidR="00F637B0">
        <w:rPr>
          <w:rFonts w:cs="Arial"/>
        </w:rPr>
        <w:t>in DFV-related criminal proceedings</w:t>
      </w:r>
      <w:r>
        <w:rPr>
          <w:rFonts w:cs="Arial"/>
        </w:rPr>
        <w:t xml:space="preserve"> </w:t>
      </w:r>
      <w:r w:rsidRPr="006C5693">
        <w:rPr>
          <w:rFonts w:cs="Arial"/>
        </w:rPr>
        <w:t xml:space="preserve">to give evidence </w:t>
      </w:r>
      <w:r>
        <w:rPr>
          <w:rFonts w:cs="Arial"/>
        </w:rPr>
        <w:t>against the defendant is inherently disempowering and t</w:t>
      </w:r>
      <w:r w:rsidR="00F637B0">
        <w:rPr>
          <w:rFonts w:cs="Arial"/>
        </w:rPr>
        <w:t>akes agency away from the complainant</w:t>
      </w:r>
      <w:r>
        <w:rPr>
          <w:rFonts w:cs="Arial"/>
        </w:rPr>
        <w:t xml:space="preserve">.  In this sense it can be said to further </w:t>
      </w:r>
      <w:r w:rsidR="00F637B0">
        <w:rPr>
          <w:rFonts w:cs="Arial"/>
        </w:rPr>
        <w:t>‘</w:t>
      </w:r>
      <w:r>
        <w:rPr>
          <w:rFonts w:cs="Arial"/>
        </w:rPr>
        <w:t>victimise the victims</w:t>
      </w:r>
      <w:r w:rsidR="00F637B0">
        <w:rPr>
          <w:rFonts w:cs="Arial"/>
        </w:rPr>
        <w:t>’</w:t>
      </w:r>
      <w:r>
        <w:rPr>
          <w:rFonts w:cs="Arial"/>
        </w:rPr>
        <w:t>.  However, the argument about which option is more empowering is not straight forward.</w:t>
      </w:r>
    </w:p>
    <w:p w14:paraId="08AA7BF4" w14:textId="2A117C51" w:rsidR="00DE5795" w:rsidRDefault="00DE5795" w:rsidP="0067521E">
      <w:pPr>
        <w:numPr>
          <w:ilvl w:val="1"/>
          <w:numId w:val="98"/>
        </w:numPr>
        <w:spacing w:after="120"/>
        <w:ind w:left="1134" w:hanging="567"/>
      </w:pPr>
      <w:r>
        <w:t>Some stakeh</w:t>
      </w:r>
      <w:r w:rsidR="00F637B0">
        <w:t>olders argue that complainant</w:t>
      </w:r>
      <w:r>
        <w:t>s are in the best position to assess the nature and extent of harm to them that may arise from giving evidence and will be the ones to suffer the consequences.  Ena</w:t>
      </w:r>
      <w:r w:rsidR="00F637B0">
        <w:t>bling complainant</w:t>
      </w:r>
      <w:r>
        <w:t xml:space="preserve">s to object, and the </w:t>
      </w:r>
      <w:r w:rsidR="000E530C">
        <w:t xml:space="preserve">court </w:t>
      </w:r>
      <w:r>
        <w:t xml:space="preserve">to then weigh up the issues, can therefore contribute to victim safety. </w:t>
      </w:r>
      <w:r w:rsidR="000E530C">
        <w:t xml:space="preserve"> </w:t>
      </w:r>
      <w:r>
        <w:t>The justice</w:t>
      </w:r>
      <w:r w:rsidR="00F637B0">
        <w:t xml:space="preserve"> system should not place complainants</w:t>
      </w:r>
      <w:r>
        <w:t xml:space="preserve"> at risk of harm, stress and trauma where there is other evidence that can be drawn on.</w:t>
      </w:r>
    </w:p>
    <w:p w14:paraId="0F61FB10" w14:textId="77777777" w:rsidR="00DE5795" w:rsidRPr="002F2E2A" w:rsidRDefault="00F637B0" w:rsidP="0067521E">
      <w:pPr>
        <w:numPr>
          <w:ilvl w:val="1"/>
          <w:numId w:val="98"/>
        </w:numPr>
        <w:spacing w:after="120"/>
        <w:ind w:left="1134" w:hanging="567"/>
      </w:pPr>
      <w:r>
        <w:rPr>
          <w:rFonts w:cs="Arial"/>
        </w:rPr>
        <w:t xml:space="preserve">Other stakeholders argue that victim-survivors </w:t>
      </w:r>
      <w:r w:rsidR="00DE5795">
        <w:rPr>
          <w:rFonts w:cs="Arial"/>
        </w:rPr>
        <w:t xml:space="preserve">in </w:t>
      </w:r>
      <w:r w:rsidR="00DE5795" w:rsidRPr="007114BA">
        <w:rPr>
          <w:rFonts w:cs="Arial"/>
        </w:rPr>
        <w:t>domestic violence relationship</w:t>
      </w:r>
      <w:r w:rsidR="00DE5795">
        <w:rPr>
          <w:rFonts w:cs="Arial"/>
        </w:rPr>
        <w:t>s are</w:t>
      </w:r>
      <w:r w:rsidR="00DE5795" w:rsidRPr="007114BA">
        <w:rPr>
          <w:rFonts w:cs="Arial"/>
        </w:rPr>
        <w:t xml:space="preserve"> </w:t>
      </w:r>
      <w:r w:rsidR="00DE5795">
        <w:rPr>
          <w:rFonts w:cs="Arial"/>
        </w:rPr>
        <w:t xml:space="preserve">often </w:t>
      </w:r>
      <w:r w:rsidR="00DE5795" w:rsidRPr="007114BA">
        <w:rPr>
          <w:rFonts w:cs="Arial"/>
        </w:rPr>
        <w:t xml:space="preserve">already disempowered, </w:t>
      </w:r>
      <w:r w:rsidR="00DE5795">
        <w:rPr>
          <w:rFonts w:cs="Arial"/>
        </w:rPr>
        <w:t xml:space="preserve">and may be </w:t>
      </w:r>
      <w:r w:rsidR="00DE5795" w:rsidRPr="007114BA">
        <w:rPr>
          <w:rFonts w:cs="Arial"/>
        </w:rPr>
        <w:t>highly reliant on the defendant, emotionally enmeshed in the relationship and fearful of the consequences.  The section 18 right to object is a double-edged sword.  It may give</w:t>
      </w:r>
      <w:r>
        <w:rPr>
          <w:rFonts w:cs="Arial"/>
        </w:rPr>
        <w:t xml:space="preserve"> the complainant</w:t>
      </w:r>
      <w:r w:rsidR="00DE5795" w:rsidRPr="007114BA">
        <w:rPr>
          <w:rFonts w:cs="Arial"/>
        </w:rPr>
        <w:t xml:space="preserve"> the power in the legal system to choose whether to object or not, but on the other hand, </w:t>
      </w:r>
      <w:r w:rsidR="00DE5795">
        <w:rPr>
          <w:rFonts w:cs="Arial"/>
        </w:rPr>
        <w:t>b</w:t>
      </w:r>
      <w:r>
        <w:rPr>
          <w:rFonts w:cs="Arial"/>
        </w:rPr>
        <w:t>y not giving evidence the complainant</w:t>
      </w:r>
      <w:r w:rsidR="00DE5795">
        <w:rPr>
          <w:rFonts w:cs="Arial"/>
        </w:rPr>
        <w:t xml:space="preserve"> may be enabling the defendant to escape conviction and </w:t>
      </w:r>
      <w:r>
        <w:rPr>
          <w:rFonts w:cs="Arial"/>
        </w:rPr>
        <w:t>the legal consequences of their</w:t>
      </w:r>
      <w:r w:rsidR="00DE5795">
        <w:rPr>
          <w:rFonts w:cs="Arial"/>
        </w:rPr>
        <w:t xml:space="preserve"> actions. In the long term this is disempowering, for this particular victim</w:t>
      </w:r>
      <w:r>
        <w:rPr>
          <w:rFonts w:cs="Arial"/>
        </w:rPr>
        <w:t>-survivor</w:t>
      </w:r>
      <w:r w:rsidR="00DE5795">
        <w:rPr>
          <w:rFonts w:cs="Arial"/>
        </w:rPr>
        <w:t>, and victim</w:t>
      </w:r>
      <w:r>
        <w:rPr>
          <w:rFonts w:cs="Arial"/>
        </w:rPr>
        <w:t>-survivor</w:t>
      </w:r>
      <w:r w:rsidR="00DE5795">
        <w:rPr>
          <w:rFonts w:cs="Arial"/>
        </w:rPr>
        <w:t>s generally.</w:t>
      </w:r>
    </w:p>
    <w:p w14:paraId="6927A58E" w14:textId="5646D2D6" w:rsidR="00CA572E" w:rsidRDefault="00DE5795" w:rsidP="0067521E">
      <w:pPr>
        <w:numPr>
          <w:ilvl w:val="1"/>
          <w:numId w:val="98"/>
        </w:numPr>
        <w:ind w:left="1134" w:hanging="567"/>
      </w:pPr>
      <w:r>
        <w:rPr>
          <w:rFonts w:cs="Arial"/>
        </w:rPr>
        <w:t>Some stakeholders argue that it is in the interests of justice and safety for domestic violence related offences to be prosecuted and for all evidence to be put before the court. In the long term this is fundamentally more empowering f</w:t>
      </w:r>
      <w:r w:rsidR="00F637B0">
        <w:rPr>
          <w:rFonts w:cs="Arial"/>
        </w:rPr>
        <w:t>or victim-survivors, although individual complainants</w:t>
      </w:r>
      <w:r>
        <w:rPr>
          <w:rFonts w:cs="Arial"/>
        </w:rPr>
        <w:t xml:space="preserve"> may lose the right to object.  It sends a clear message that violence is unacceptable and it is not up to </w:t>
      </w:r>
      <w:r w:rsidR="00F637B0">
        <w:rPr>
          <w:rFonts w:cs="Arial"/>
        </w:rPr>
        <w:t>individuals</w:t>
      </w:r>
      <w:r>
        <w:rPr>
          <w:rFonts w:cs="Arial"/>
        </w:rPr>
        <w:t xml:space="preserve"> to decide whether to give evidence or not.  There is a society-wide interest in the justice system holding domestic violence offenders to account. </w:t>
      </w:r>
    </w:p>
    <w:p w14:paraId="5CC36DD6" w14:textId="5C484CB0" w:rsidR="00DE5795" w:rsidRPr="007331E6" w:rsidRDefault="00DE5795" w:rsidP="000E530C">
      <w:pPr>
        <w:pStyle w:val="Heading4"/>
        <w:keepNext/>
        <w:ind w:left="862" w:hanging="862"/>
      </w:pPr>
      <w:r w:rsidRPr="007331E6">
        <w:lastRenderedPageBreak/>
        <w:t>Arguments in</w:t>
      </w:r>
      <w:r w:rsidR="00C85943">
        <w:t xml:space="preserve"> favour of removing the </w:t>
      </w:r>
      <w:r w:rsidRPr="007331E6">
        <w:t>right to object</w:t>
      </w:r>
      <w:r>
        <w:t xml:space="preserve"> (ie. compell</w:t>
      </w:r>
      <w:r w:rsidR="008B44FB">
        <w:t>ing DFV complainants</w:t>
      </w:r>
      <w:r>
        <w:t xml:space="preserve"> to give evidence)</w:t>
      </w:r>
    </w:p>
    <w:p w14:paraId="5059A0AE" w14:textId="77777777" w:rsidR="00DE5795" w:rsidRDefault="00DE5795" w:rsidP="000E530C">
      <w:pPr>
        <w:pStyle w:val="ListParagraph"/>
        <w:keepNext/>
        <w:jc w:val="both"/>
        <w:rPr>
          <w:rFonts w:cs="Arial"/>
        </w:rPr>
      </w:pPr>
      <w:r>
        <w:rPr>
          <w:rFonts w:cs="Arial"/>
        </w:rPr>
        <w:t xml:space="preserve">Arguments in favour </w:t>
      </w:r>
      <w:r w:rsidR="00F637B0">
        <w:rPr>
          <w:rFonts w:cs="Arial"/>
        </w:rPr>
        <w:t>of compelling</w:t>
      </w:r>
      <w:r>
        <w:rPr>
          <w:rFonts w:cs="Arial"/>
        </w:rPr>
        <w:t xml:space="preserve"> </w:t>
      </w:r>
      <w:r w:rsidR="00F637B0">
        <w:rPr>
          <w:rFonts w:cs="Arial"/>
        </w:rPr>
        <w:t>complainants in DFV-related criminal proceedings</w:t>
      </w:r>
      <w:r>
        <w:rPr>
          <w:rFonts w:cs="Arial"/>
        </w:rPr>
        <w:t xml:space="preserve"> to give evidence by removing the current righ</w:t>
      </w:r>
      <w:r w:rsidR="00F637B0">
        <w:rPr>
          <w:rFonts w:cs="Arial"/>
        </w:rPr>
        <w:t xml:space="preserve">t to object </w:t>
      </w:r>
      <w:r>
        <w:rPr>
          <w:rFonts w:cs="Arial"/>
        </w:rPr>
        <w:t>include:</w:t>
      </w:r>
    </w:p>
    <w:p w14:paraId="1976094E" w14:textId="77777777" w:rsidR="00DE5795" w:rsidRDefault="00DE5795" w:rsidP="0067521E">
      <w:pPr>
        <w:pStyle w:val="ListParagraph"/>
        <w:numPr>
          <w:ilvl w:val="0"/>
          <w:numId w:val="99"/>
        </w:numPr>
        <w:ind w:left="567" w:hanging="567"/>
        <w:rPr>
          <w:rFonts w:cs="Arial"/>
        </w:rPr>
      </w:pPr>
      <w:r>
        <w:rPr>
          <w:rFonts w:cs="Arial"/>
        </w:rPr>
        <w:t>It sends a strong message t</w:t>
      </w:r>
      <w:r w:rsidR="00F637B0">
        <w:rPr>
          <w:rFonts w:cs="Arial"/>
        </w:rPr>
        <w:t>hat DFV</w:t>
      </w:r>
      <w:r>
        <w:rPr>
          <w:rFonts w:cs="Arial"/>
        </w:rPr>
        <w:t xml:space="preserve"> is unacceptable and that every effort will be made to prosecute matters and put evidence before the courts.</w:t>
      </w:r>
    </w:p>
    <w:p w14:paraId="604FC3DC" w14:textId="12D6C1B0" w:rsidR="00DE5795" w:rsidRDefault="00A44C18" w:rsidP="0067521E">
      <w:pPr>
        <w:pStyle w:val="ListParagraph"/>
        <w:numPr>
          <w:ilvl w:val="0"/>
          <w:numId w:val="99"/>
        </w:numPr>
        <w:ind w:left="567" w:hanging="567"/>
        <w:rPr>
          <w:rFonts w:cs="Arial"/>
        </w:rPr>
      </w:pPr>
      <w:r>
        <w:rPr>
          <w:rFonts w:cs="Arial"/>
        </w:rPr>
        <w:t>DFV</w:t>
      </w:r>
      <w:r w:rsidR="00DE5795">
        <w:rPr>
          <w:rFonts w:cs="Arial"/>
        </w:rPr>
        <w:t xml:space="preserve"> often occurs behind closed doors with few witnesses outside the family. </w:t>
      </w:r>
      <w:r w:rsidR="000E530C">
        <w:rPr>
          <w:rFonts w:cs="Arial"/>
        </w:rPr>
        <w:t xml:space="preserve"> </w:t>
      </w:r>
      <w:r w:rsidR="00DE5795">
        <w:rPr>
          <w:rFonts w:cs="Arial"/>
        </w:rPr>
        <w:t>Pr</w:t>
      </w:r>
      <w:r>
        <w:rPr>
          <w:rFonts w:cs="Arial"/>
        </w:rPr>
        <w:t>osecutions for DFV</w:t>
      </w:r>
      <w:r w:rsidR="000E530C">
        <w:rPr>
          <w:rFonts w:cs="Arial"/>
        </w:rPr>
        <w:noBreakHyphen/>
      </w:r>
      <w:r w:rsidR="00DE5795">
        <w:rPr>
          <w:rFonts w:cs="Arial"/>
        </w:rPr>
        <w:t>related crimes are therefore often heavily reliant o</w:t>
      </w:r>
      <w:r>
        <w:rPr>
          <w:rFonts w:cs="Arial"/>
        </w:rPr>
        <w:t xml:space="preserve">n the </w:t>
      </w:r>
      <w:r w:rsidR="00DE5795">
        <w:rPr>
          <w:rFonts w:cs="Arial"/>
        </w:rPr>
        <w:t>complainant’s evidence in order to secure a conviction</w:t>
      </w:r>
      <w:r>
        <w:rPr>
          <w:rFonts w:cs="Arial"/>
        </w:rPr>
        <w:t xml:space="preserve">. </w:t>
      </w:r>
      <w:r w:rsidR="000E530C">
        <w:rPr>
          <w:rFonts w:cs="Arial"/>
        </w:rPr>
        <w:t xml:space="preserve"> </w:t>
      </w:r>
      <w:r>
        <w:rPr>
          <w:rFonts w:cs="Arial"/>
        </w:rPr>
        <w:t xml:space="preserve">If </w:t>
      </w:r>
      <w:r w:rsidR="00DE5795">
        <w:rPr>
          <w:rFonts w:cs="Arial"/>
        </w:rPr>
        <w:t>complain</w:t>
      </w:r>
      <w:r>
        <w:rPr>
          <w:rFonts w:cs="Arial"/>
        </w:rPr>
        <w:t>an</w:t>
      </w:r>
      <w:r w:rsidR="00DE5795">
        <w:rPr>
          <w:rFonts w:cs="Arial"/>
        </w:rPr>
        <w:t>ts successfully object to giving evidence under section</w:t>
      </w:r>
      <w:r w:rsidR="000E530C">
        <w:rPr>
          <w:rFonts w:cs="Arial"/>
        </w:rPr>
        <w:t> </w:t>
      </w:r>
      <w:r w:rsidR="00DE5795">
        <w:rPr>
          <w:rFonts w:cs="Arial"/>
        </w:rPr>
        <w:t>18 fewer guilty verdicts may be obtained and justice may not be served.</w:t>
      </w:r>
    </w:p>
    <w:p w14:paraId="6F19B68C" w14:textId="19EDC084" w:rsidR="00DE5795" w:rsidRDefault="00DE5795" w:rsidP="0067521E">
      <w:pPr>
        <w:pStyle w:val="ListParagraph"/>
        <w:numPr>
          <w:ilvl w:val="0"/>
          <w:numId w:val="99"/>
        </w:numPr>
        <w:ind w:left="567" w:hanging="567"/>
        <w:rPr>
          <w:rFonts w:cs="Arial"/>
        </w:rPr>
      </w:pPr>
      <w:r>
        <w:rPr>
          <w:rFonts w:cs="Arial"/>
        </w:rPr>
        <w:t>Pressure by the defe</w:t>
      </w:r>
      <w:r w:rsidR="00867D3E">
        <w:rPr>
          <w:rFonts w:cs="Arial"/>
        </w:rPr>
        <w:t>ndant and their</w:t>
      </w:r>
      <w:r w:rsidR="00A44C18">
        <w:rPr>
          <w:rFonts w:cs="Arial"/>
        </w:rPr>
        <w:t xml:space="preserve"> family on </w:t>
      </w:r>
      <w:r>
        <w:rPr>
          <w:rFonts w:cs="Arial"/>
        </w:rPr>
        <w:t xml:space="preserve">complainants not to give evidence against the defendant is </w:t>
      </w:r>
      <w:r w:rsidR="00A44C18">
        <w:rPr>
          <w:rFonts w:cs="Arial"/>
        </w:rPr>
        <w:t>very common in DFV</w:t>
      </w:r>
      <w:r>
        <w:rPr>
          <w:rFonts w:cs="Arial"/>
        </w:rPr>
        <w:t xml:space="preserve"> related matters. </w:t>
      </w:r>
      <w:r w:rsidR="000E530C">
        <w:rPr>
          <w:rFonts w:cs="Arial"/>
        </w:rPr>
        <w:t xml:space="preserve"> </w:t>
      </w:r>
      <w:r>
        <w:rPr>
          <w:rFonts w:cs="Arial"/>
        </w:rPr>
        <w:t>It is a continuation of the abuse and attempts to control the victim. It has been argued that c</w:t>
      </w:r>
      <w:r w:rsidR="00A44C18">
        <w:rPr>
          <w:rFonts w:cs="Arial"/>
        </w:rPr>
        <w:t xml:space="preserve">ompelling the </w:t>
      </w:r>
      <w:r>
        <w:rPr>
          <w:rFonts w:cs="Arial"/>
        </w:rPr>
        <w:t>complainant to give evidence removes the burden on th</w:t>
      </w:r>
      <w:r w:rsidR="00A44C18">
        <w:rPr>
          <w:rFonts w:cs="Arial"/>
        </w:rPr>
        <w:t xml:space="preserve">e complainant to decide whether </w:t>
      </w:r>
      <w:r>
        <w:rPr>
          <w:rFonts w:cs="Arial"/>
        </w:rPr>
        <w:t xml:space="preserve">to give evidence or </w:t>
      </w:r>
      <w:r w:rsidR="00A44C18">
        <w:rPr>
          <w:rFonts w:cs="Arial"/>
        </w:rPr>
        <w:t>not (ie. whether to exercise the</w:t>
      </w:r>
      <w:r>
        <w:rPr>
          <w:rFonts w:cs="Arial"/>
        </w:rPr>
        <w:t xml:space="preserve"> right under section 18 to object).</w:t>
      </w:r>
      <w:r w:rsidR="00A44C18">
        <w:rPr>
          <w:rFonts w:cs="Arial"/>
        </w:rPr>
        <w:t xml:space="preserve">  Removing the</w:t>
      </w:r>
      <w:r>
        <w:rPr>
          <w:rFonts w:cs="Arial"/>
        </w:rPr>
        <w:t xml:space="preserve"> r</w:t>
      </w:r>
      <w:r w:rsidR="00A44C18">
        <w:rPr>
          <w:rFonts w:cs="Arial"/>
        </w:rPr>
        <w:t>ight to object allows the complainant</w:t>
      </w:r>
      <w:r>
        <w:rPr>
          <w:rFonts w:cs="Arial"/>
        </w:rPr>
        <w:t xml:space="preserve"> to incontrovertibly affirm </w:t>
      </w:r>
      <w:r w:rsidR="00A44C18">
        <w:rPr>
          <w:rFonts w:cs="Arial"/>
        </w:rPr>
        <w:t>to the defendant or the defendant’s family that the complainant</w:t>
      </w:r>
      <w:r>
        <w:rPr>
          <w:rFonts w:cs="Arial"/>
        </w:rPr>
        <w:t xml:space="preserve"> has absolutely no choice but to give evidence.  In doing so it removes any tactical benefit to the defendant of pr</w:t>
      </w:r>
      <w:r w:rsidR="00A44C18">
        <w:rPr>
          <w:rFonts w:cs="Arial"/>
        </w:rPr>
        <w:t xml:space="preserve">essuring or bullying the </w:t>
      </w:r>
      <w:r>
        <w:rPr>
          <w:rFonts w:cs="Arial"/>
        </w:rPr>
        <w:t>complain</w:t>
      </w:r>
      <w:r w:rsidR="00A44C18">
        <w:rPr>
          <w:rFonts w:cs="Arial"/>
        </w:rPr>
        <w:t>ant to prevent the complainant’s</w:t>
      </w:r>
      <w:r>
        <w:rPr>
          <w:rFonts w:cs="Arial"/>
        </w:rPr>
        <w:t xml:space="preserve"> evidence being presented.</w:t>
      </w:r>
    </w:p>
    <w:p w14:paraId="487CFAB7" w14:textId="6810AD25" w:rsidR="00DE5795" w:rsidRDefault="00A44C18" w:rsidP="0067521E">
      <w:pPr>
        <w:pStyle w:val="ListParagraph"/>
        <w:numPr>
          <w:ilvl w:val="0"/>
          <w:numId w:val="99"/>
        </w:numPr>
        <w:ind w:left="567" w:hanging="567"/>
      </w:pPr>
      <w:r>
        <w:t>C</w:t>
      </w:r>
      <w:r w:rsidR="00DE5795">
        <w:t xml:space="preserve">omplainants are currently compelled to give evidence in criminal proceedings for breach of a DVO due to the </w:t>
      </w:r>
      <w:r w:rsidR="00803043">
        <w:t>exemption in section 19(b)</w:t>
      </w:r>
      <w:r w:rsidR="00DE5795">
        <w:t>.  This creates</w:t>
      </w:r>
      <w:r w:rsidR="00735A6F">
        <w:t xml:space="preserve"> an anomaly in that the c</w:t>
      </w:r>
      <w:r w:rsidR="00DE5795">
        <w:t xml:space="preserve">omplainant may object to giving evidence against the defendant for an assault charge but is compelled to give evidence against the defendant for a breach of a DVO charge, but both may arise on the same set of facts.  It is arguable that there are good policy reasons for removing this anomaly which doesn’t serve any purpose. </w:t>
      </w:r>
      <w:r w:rsidR="000E530C">
        <w:t xml:space="preserve"> </w:t>
      </w:r>
      <w:r w:rsidR="00DE5795">
        <w:t>Some stakeholders have argue</w:t>
      </w:r>
      <w:r w:rsidR="000E530C">
        <w:t>d that the existence of section </w:t>
      </w:r>
      <w:r w:rsidR="00DE5795">
        <w:t>19(b) is evidence that section 18 was never intend</w:t>
      </w:r>
      <w:r w:rsidR="00735A6F">
        <w:t>ed to apply in DFV</w:t>
      </w:r>
      <w:r w:rsidR="000E530C">
        <w:noBreakHyphen/>
      </w:r>
      <w:r w:rsidR="00DE5795">
        <w:t>related matters.</w:t>
      </w:r>
    </w:p>
    <w:p w14:paraId="7DAB2102" w14:textId="0203747C" w:rsidR="00DE5795" w:rsidRDefault="00735A6F" w:rsidP="0067521E">
      <w:pPr>
        <w:pStyle w:val="ListParagraph"/>
        <w:numPr>
          <w:ilvl w:val="0"/>
          <w:numId w:val="99"/>
        </w:numPr>
        <w:ind w:left="567" w:hanging="567"/>
      </w:pPr>
      <w:r>
        <w:t>Many complainants</w:t>
      </w:r>
      <w:r w:rsidR="00DE5795">
        <w:t xml:space="preserve"> find the right to object confusing.  They may have reported the violence to police purely to secure their immediate safety without considering </w:t>
      </w:r>
      <w:r w:rsidR="00803043">
        <w:t>the legal proceedings that may</w:t>
      </w:r>
      <w:r w:rsidR="00DE5795">
        <w:t xml:space="preserve"> follo</w:t>
      </w:r>
      <w:r>
        <w:t xml:space="preserve">w. </w:t>
      </w:r>
      <w:r w:rsidR="000E530C">
        <w:t xml:space="preserve"> </w:t>
      </w:r>
      <w:r>
        <w:t>Many complainants</w:t>
      </w:r>
      <w:r w:rsidR="00DE5795">
        <w:t xml:space="preserve"> find court proceedings stressful and will not want to give evidence for a host of reasons (including fear of the defendant, fear and stress related to the </w:t>
      </w:r>
      <w:r w:rsidR="000E530C">
        <w:t xml:space="preserve">court </w:t>
      </w:r>
      <w:r w:rsidR="00DE5795">
        <w:t xml:space="preserve">process, a desire to maintain a relationship with the defendant and other factors).  Explaining to the </w:t>
      </w:r>
      <w:r w:rsidR="000E530C">
        <w:t xml:space="preserve">judge </w:t>
      </w:r>
      <w:r w:rsidR="00DE5795">
        <w:t>why they do</w:t>
      </w:r>
      <w:r w:rsidR="000E530C">
        <w:t xml:space="preserve"> </w:t>
      </w:r>
      <w:r w:rsidR="00DE5795">
        <w:t>n</w:t>
      </w:r>
      <w:r w:rsidR="000E530C">
        <w:t>o</w:t>
      </w:r>
      <w:r w:rsidR="00DE5795">
        <w:t>t want to give evidence can be extremely stressful</w:t>
      </w:r>
      <w:r>
        <w:t xml:space="preserve"> on complainants.</w:t>
      </w:r>
      <w:r w:rsidR="000E530C">
        <w:t xml:space="preserve"> </w:t>
      </w:r>
      <w:r>
        <w:t xml:space="preserve"> In some cases</w:t>
      </w:r>
      <w:r w:rsidR="000E530C">
        <w:t>,</w:t>
      </w:r>
      <w:r>
        <w:t xml:space="preserve"> complainants</w:t>
      </w:r>
      <w:r w:rsidR="00DE5795">
        <w:t xml:space="preserve"> have been denied access to the vulnerable witness facilities to do so.  They may experience the prosecution’s desire to proceed with the case as pressure.  They may exercise their right to object under section 18 but the </w:t>
      </w:r>
      <w:r w:rsidR="000E530C">
        <w:t xml:space="preserve">court </w:t>
      </w:r>
      <w:r w:rsidR="00DE5795">
        <w:t xml:space="preserve">may nevertheless decide that they must give evidence, which adds to their confusion.  All this might occur at the last minute, at the door of the courtroom, </w:t>
      </w:r>
      <w:r w:rsidR="008B44FB">
        <w:t>depending on when a prosecutor is allocated to the case.</w:t>
      </w:r>
    </w:p>
    <w:p w14:paraId="291E4476" w14:textId="6B454C41" w:rsidR="00DE5795" w:rsidRPr="00A44C18" w:rsidRDefault="00DE5795" w:rsidP="0067521E">
      <w:pPr>
        <w:pStyle w:val="ListParagraph"/>
        <w:numPr>
          <w:ilvl w:val="0"/>
          <w:numId w:val="99"/>
        </w:numPr>
        <w:spacing w:after="200"/>
        <w:ind w:left="567" w:hanging="567"/>
      </w:pPr>
      <w:r>
        <w:t>It has been noted that t</w:t>
      </w:r>
      <w:r w:rsidR="00735A6F">
        <w:rPr>
          <w:rFonts w:cs="Arial"/>
        </w:rPr>
        <w:t>he complainants’</w:t>
      </w:r>
      <w:r w:rsidRPr="001B603B">
        <w:rPr>
          <w:rFonts w:cs="Arial"/>
        </w:rPr>
        <w:t xml:space="preserve"> views about giving evidence may change </w:t>
      </w:r>
      <w:r>
        <w:rPr>
          <w:rFonts w:cs="Arial"/>
        </w:rPr>
        <w:t xml:space="preserve">over time </w:t>
      </w:r>
      <w:r w:rsidRPr="001B603B">
        <w:rPr>
          <w:rFonts w:cs="Arial"/>
        </w:rPr>
        <w:t>depending on which stage in the cycle of domestic viole</w:t>
      </w:r>
      <w:r w:rsidR="00735A6F">
        <w:rPr>
          <w:rFonts w:cs="Arial"/>
        </w:rPr>
        <w:t>nce the defendant and the complainant</w:t>
      </w:r>
      <w:r w:rsidRPr="001B603B">
        <w:rPr>
          <w:rFonts w:cs="Arial"/>
        </w:rPr>
        <w:t xml:space="preserve"> are in at a given time (ie. </w:t>
      </w:r>
      <w:r w:rsidR="000E530C">
        <w:rPr>
          <w:rFonts w:cs="Arial"/>
        </w:rPr>
        <w:t xml:space="preserve">the </w:t>
      </w:r>
      <w:r>
        <w:rPr>
          <w:rFonts w:cs="Arial"/>
        </w:rPr>
        <w:t xml:space="preserve">cycle goes through stages of </w:t>
      </w:r>
      <w:r w:rsidRPr="001B603B">
        <w:rPr>
          <w:rFonts w:cs="Arial"/>
        </w:rPr>
        <w:t>violence, remorse, reconciliation, honeymoon and tension mounting</w:t>
      </w:r>
      <w:r>
        <w:rPr>
          <w:rFonts w:cs="Arial"/>
        </w:rPr>
        <w:t xml:space="preserve"> before a new episode of violence occurs</w:t>
      </w:r>
      <w:r w:rsidRPr="001B603B">
        <w:rPr>
          <w:rFonts w:cs="Arial"/>
        </w:rPr>
        <w:t xml:space="preserve">).  </w:t>
      </w:r>
    </w:p>
    <w:p w14:paraId="52EF3549" w14:textId="640F17B9" w:rsidR="00D27EFA" w:rsidRDefault="00CA572E" w:rsidP="00D27EFA">
      <w:r>
        <w:t>The DPP Guidelines</w:t>
      </w:r>
      <w:r w:rsidR="00D27EFA">
        <w:t xml:space="preserve"> indicate that ‘Generally where there is a reasonable prospect of conviction, it is in the public interest to continue to with a domestic violence prosecution’ (</w:t>
      </w:r>
      <w:r w:rsidR="000E530C">
        <w:t xml:space="preserve">paragraph </w:t>
      </w:r>
      <w:r w:rsidR="00D27EFA">
        <w:t>21.8)</w:t>
      </w:r>
      <w:r w:rsidR="000E530C">
        <w:t>.</w:t>
      </w:r>
    </w:p>
    <w:p w14:paraId="00CF5743" w14:textId="7C0B702B" w:rsidR="00D27EFA" w:rsidRDefault="00D27EFA" w:rsidP="00D27EFA">
      <w:r>
        <w:t>Where a victim indicates that they do not wish to give evidence</w:t>
      </w:r>
      <w:r w:rsidR="000E530C">
        <w:t>,</w:t>
      </w:r>
      <w:r>
        <w:t xml:space="preserve"> the prosecutor must assess the ongoing risk to the victim taking into account factors set out in paragraph 21.9 of the guidelines.</w:t>
      </w:r>
      <w:r w:rsidR="00582AC0">
        <w:t xml:space="preserve">  ‘Any decision to compel a victim to give evidence against his/her will require serious consideration and will be used infrequently’ (</w:t>
      </w:r>
      <w:r w:rsidR="000E530C">
        <w:t xml:space="preserve">paragraph </w:t>
      </w:r>
      <w:r w:rsidR="00582AC0">
        <w:t>21.10).</w:t>
      </w:r>
    </w:p>
    <w:p w14:paraId="57B4DC76" w14:textId="35AA6C7F" w:rsidR="00CD77F2" w:rsidRDefault="00D27EFA" w:rsidP="00D670DC">
      <w:r>
        <w:lastRenderedPageBreak/>
        <w:t xml:space="preserve">Having considered this issue over a number of years, and weighed up the </w:t>
      </w:r>
      <w:r w:rsidR="00582AC0">
        <w:t xml:space="preserve">complex </w:t>
      </w:r>
      <w:r>
        <w:t>considerations</w:t>
      </w:r>
      <w:r w:rsidR="00582AC0">
        <w:t xml:space="preserve"> above</w:t>
      </w:r>
      <w:r>
        <w:t>, AGD is of the view that the right to object provided by section 18 should not apply to proceedings for DFV related offences.</w:t>
      </w:r>
    </w:p>
    <w:p w14:paraId="66110CD1" w14:textId="5086D09C" w:rsidR="00D670DC" w:rsidRDefault="00A77596" w:rsidP="000E530C">
      <w:pPr>
        <w:pStyle w:val="Heading4"/>
        <w:keepNext/>
        <w:numPr>
          <w:ilvl w:val="0"/>
          <w:numId w:val="0"/>
        </w:numPr>
        <w:spacing w:after="0" w:line="259" w:lineRule="auto"/>
        <w:ind w:left="862" w:hanging="862"/>
      </w:pPr>
      <w:r>
        <w:t>PROPOSAL LR 5</w:t>
      </w:r>
      <w:r w:rsidR="00891C0A">
        <w:t>6</w:t>
      </w:r>
    </w:p>
    <w:p w14:paraId="507A923A" w14:textId="306A7659" w:rsidR="0055286F" w:rsidRDefault="008B44FB" w:rsidP="000E530C">
      <w:pPr>
        <w:spacing w:line="259" w:lineRule="auto"/>
        <w:rPr>
          <w:b/>
        </w:rPr>
      </w:pPr>
      <w:r w:rsidRPr="00D670DC">
        <w:rPr>
          <w:b/>
        </w:rPr>
        <w:t>It is proposed to a</w:t>
      </w:r>
      <w:r w:rsidR="0055286F" w:rsidRPr="00D670DC">
        <w:rPr>
          <w:b/>
        </w:rPr>
        <w:t>mend section 19</w:t>
      </w:r>
      <w:r w:rsidR="00735A6F" w:rsidRPr="00D670DC">
        <w:rPr>
          <w:b/>
        </w:rPr>
        <w:t xml:space="preserve"> of the</w:t>
      </w:r>
      <w:r w:rsidR="0055286F" w:rsidRPr="00D670DC">
        <w:rPr>
          <w:b/>
        </w:rPr>
        <w:t xml:space="preserve"> </w:t>
      </w:r>
      <w:r w:rsidR="00735A6F" w:rsidRPr="00D670DC">
        <w:rPr>
          <w:b/>
          <w:i/>
        </w:rPr>
        <w:t xml:space="preserve">Evidence (National Uniform Legislation) Act 2011 </w:t>
      </w:r>
      <w:r w:rsidR="0055286F" w:rsidRPr="00D670DC">
        <w:rPr>
          <w:b/>
        </w:rPr>
        <w:t>so that section 18 does not apply in a proceeding for a domestic violence related offence</w:t>
      </w:r>
      <w:r w:rsidR="00735A6F" w:rsidRPr="00D670DC">
        <w:rPr>
          <w:b/>
        </w:rPr>
        <w:t>, just as it does not apply for a breach of a DVO</w:t>
      </w:r>
      <w:r w:rsidR="0055286F" w:rsidRPr="00D670DC">
        <w:rPr>
          <w:b/>
        </w:rPr>
        <w:t>.</w:t>
      </w:r>
    </w:p>
    <w:p w14:paraId="0948A27A" w14:textId="77777777" w:rsidR="0055286F" w:rsidRPr="00891C0A" w:rsidRDefault="0055286F" w:rsidP="0055286F">
      <w:r w:rsidRPr="00891C0A">
        <w:t xml:space="preserve">Domestic violence offence is defined in accordance with section 21G of the </w:t>
      </w:r>
      <w:r w:rsidRPr="00F53D74">
        <w:rPr>
          <w:i/>
        </w:rPr>
        <w:t>Evidence Act 1939</w:t>
      </w:r>
      <w:r w:rsidRPr="00173C5D">
        <w:t>.</w:t>
      </w:r>
    </w:p>
    <w:p w14:paraId="428DC8E9" w14:textId="4194FFC5" w:rsidR="00980983" w:rsidRPr="00173C5D" w:rsidRDefault="0055286F" w:rsidP="0055286F">
      <w:r w:rsidRPr="00891C0A">
        <w:t xml:space="preserve">Domestic violence is </w:t>
      </w:r>
      <w:r w:rsidR="00D670DC" w:rsidRPr="00891C0A">
        <w:t xml:space="preserve">proposed to be </w:t>
      </w:r>
      <w:r w:rsidRPr="00891C0A">
        <w:t xml:space="preserve">defined in accordance with section 5 of the </w:t>
      </w:r>
      <w:r w:rsidR="00B4679E">
        <w:t>DFV</w:t>
      </w:r>
      <w:r w:rsidR="000E530C">
        <w:t> </w:t>
      </w:r>
      <w:r w:rsidR="00B4679E">
        <w:t>A</w:t>
      </w:r>
      <w:r w:rsidR="000E530C">
        <w:t>ct</w:t>
      </w:r>
      <w:r w:rsidR="00B4679E">
        <w:t>.</w:t>
      </w:r>
    </w:p>
    <w:p w14:paraId="71F9902E" w14:textId="29A494C7" w:rsidR="006432D8" w:rsidRPr="00980983" w:rsidRDefault="005B7C35" w:rsidP="00693A7B">
      <w:pPr>
        <w:pStyle w:val="Heading2"/>
        <w:keepNext/>
        <w:ind w:left="1134"/>
      </w:pPr>
      <w:bookmarkStart w:id="92" w:name="_Toc112051876"/>
      <w:r>
        <w:t>Proposed a</w:t>
      </w:r>
      <w:r w:rsidR="006432D8">
        <w:t xml:space="preserve">mendments to the </w:t>
      </w:r>
      <w:r w:rsidR="006432D8" w:rsidRPr="00631CC3">
        <w:rPr>
          <w:i/>
        </w:rPr>
        <w:t>Local Court (Criminal Procedure) Act 1928</w:t>
      </w:r>
      <w:bookmarkEnd w:id="92"/>
    </w:p>
    <w:p w14:paraId="66E3F87F" w14:textId="1E4983B7" w:rsidR="00631CC3" w:rsidRPr="00693A7B" w:rsidRDefault="008C04F1" w:rsidP="00693A7B">
      <w:pPr>
        <w:keepNext/>
        <w:spacing w:after="120"/>
      </w:pPr>
      <w:r w:rsidRPr="00693A7B">
        <w:t>Section 341</w:t>
      </w:r>
      <w:r w:rsidR="002C3F50" w:rsidRPr="00693A7B">
        <w:t>(1)</w:t>
      </w:r>
      <w:r w:rsidRPr="00693A7B">
        <w:t xml:space="preserve"> of the Criminal Code</w:t>
      </w:r>
      <w:r w:rsidR="002C3F50" w:rsidRPr="00693A7B">
        <w:t xml:space="preserve"> provides for separate trials where there are two or more charges against the same person in the following terms:</w:t>
      </w:r>
    </w:p>
    <w:p w14:paraId="52C10DAE" w14:textId="38E3BBB9" w:rsidR="00631CC3" w:rsidRPr="00693A7B" w:rsidRDefault="00631CC3" w:rsidP="00693A7B">
      <w:pPr>
        <w:pStyle w:val="Subsection"/>
        <w:tabs>
          <w:tab w:val="clear" w:pos="902"/>
        </w:tabs>
        <w:spacing w:after="200"/>
        <w:ind w:left="567" w:firstLine="0"/>
        <w:rPr>
          <w:rFonts w:asciiTheme="minorHAnsi" w:hAnsiTheme="minorHAnsi"/>
          <w:sz w:val="22"/>
          <w:szCs w:val="22"/>
        </w:rPr>
      </w:pPr>
      <w:r w:rsidRPr="00693A7B">
        <w:rPr>
          <w:rFonts w:asciiTheme="minorHAnsi" w:hAnsiTheme="minorHAnsi"/>
          <w:sz w:val="22"/>
          <w:szCs w:val="22"/>
        </w:rPr>
        <w:t>Where before a trial or at any time during a trial the court is of opinion that the accused person may be prejudiced or embarrassed in his defence by reason of his being charged with more than one offence in the same indictment or that for any other reason it is desirable to direct that the person should be tried separately for any offence or offences charged in an indictment the court may order a separate trial of any count or counts in the indictment.</w:t>
      </w:r>
    </w:p>
    <w:p w14:paraId="0340642D" w14:textId="4898253A" w:rsidR="00631CC3" w:rsidRDefault="00502F68" w:rsidP="00693A7B">
      <w:pPr>
        <w:pStyle w:val="Subsection"/>
        <w:keepNext/>
        <w:tabs>
          <w:tab w:val="clear" w:pos="902"/>
        </w:tabs>
        <w:spacing w:after="120"/>
        <w:ind w:left="0" w:firstLine="0"/>
        <w:rPr>
          <w:rFonts w:asciiTheme="minorHAnsi" w:hAnsiTheme="minorHAnsi"/>
          <w:sz w:val="22"/>
          <w:szCs w:val="22"/>
        </w:rPr>
      </w:pPr>
      <w:r w:rsidRPr="00502F68">
        <w:rPr>
          <w:rFonts w:asciiTheme="minorHAnsi" w:hAnsiTheme="minorHAnsi"/>
          <w:sz w:val="22"/>
          <w:szCs w:val="22"/>
        </w:rPr>
        <w:t xml:space="preserve">However, this is subject to section </w:t>
      </w:r>
      <w:r w:rsidR="00631CC3" w:rsidRPr="00502F68">
        <w:rPr>
          <w:rFonts w:asciiTheme="minorHAnsi" w:hAnsiTheme="minorHAnsi"/>
          <w:sz w:val="22"/>
          <w:szCs w:val="22"/>
        </w:rPr>
        <w:t>341A</w:t>
      </w:r>
      <w:r>
        <w:rPr>
          <w:rFonts w:asciiTheme="minorHAnsi" w:hAnsiTheme="minorHAnsi"/>
          <w:sz w:val="22"/>
          <w:szCs w:val="22"/>
        </w:rPr>
        <w:t xml:space="preserve"> which provides a presumption for a joint trial of sexual offences</w:t>
      </w:r>
      <w:r w:rsidR="002B22DE">
        <w:rPr>
          <w:rFonts w:asciiTheme="minorHAnsi" w:hAnsiTheme="minorHAnsi"/>
          <w:sz w:val="22"/>
          <w:szCs w:val="22"/>
        </w:rPr>
        <w:t>:</w:t>
      </w:r>
      <w:r>
        <w:rPr>
          <w:rFonts w:asciiTheme="minorHAnsi" w:hAnsiTheme="minorHAnsi"/>
          <w:sz w:val="22"/>
          <w:szCs w:val="22"/>
        </w:rPr>
        <w:t xml:space="preserve"> </w:t>
      </w:r>
    </w:p>
    <w:p w14:paraId="584FCBF7" w14:textId="08CC6340" w:rsidR="00631CC3" w:rsidRPr="00693A7B" w:rsidRDefault="00631CC3" w:rsidP="00693A7B">
      <w:pPr>
        <w:pStyle w:val="Subsection"/>
        <w:tabs>
          <w:tab w:val="clear" w:pos="902"/>
        </w:tabs>
        <w:spacing w:after="120"/>
        <w:ind w:left="567" w:hanging="567"/>
        <w:rPr>
          <w:rFonts w:asciiTheme="minorHAnsi" w:hAnsiTheme="minorHAnsi"/>
          <w:sz w:val="22"/>
          <w:szCs w:val="22"/>
        </w:rPr>
      </w:pPr>
      <w:r w:rsidRPr="00693A7B">
        <w:rPr>
          <w:rFonts w:asciiTheme="minorHAnsi" w:hAnsiTheme="minorHAnsi"/>
          <w:sz w:val="22"/>
          <w:szCs w:val="22"/>
        </w:rPr>
        <w:t>(1)</w:t>
      </w:r>
      <w:r w:rsidRPr="00693A7B">
        <w:rPr>
          <w:rFonts w:asciiTheme="minorHAnsi" w:hAnsiTheme="minorHAnsi"/>
          <w:sz w:val="22"/>
          <w:szCs w:val="22"/>
        </w:rPr>
        <w:tab/>
        <w:t>Despite any rule of law to the contrary, if an accused person is charged with more than one sexual offence in the same indictment, it is presumed that the charges are to be tried together.</w:t>
      </w:r>
    </w:p>
    <w:p w14:paraId="0850B6BA" w14:textId="3D309F3B" w:rsidR="00631CC3" w:rsidRPr="00693A7B" w:rsidRDefault="00631CC3" w:rsidP="00693A7B">
      <w:pPr>
        <w:pStyle w:val="Subsection"/>
        <w:tabs>
          <w:tab w:val="clear" w:pos="902"/>
        </w:tabs>
        <w:spacing w:after="0"/>
        <w:ind w:left="567" w:hanging="567"/>
        <w:rPr>
          <w:rFonts w:asciiTheme="minorHAnsi" w:hAnsiTheme="minorHAnsi"/>
          <w:sz w:val="22"/>
          <w:szCs w:val="22"/>
        </w:rPr>
      </w:pPr>
      <w:r w:rsidRPr="00693A7B">
        <w:rPr>
          <w:rFonts w:asciiTheme="minorHAnsi" w:hAnsiTheme="minorHAnsi"/>
          <w:sz w:val="22"/>
          <w:szCs w:val="22"/>
        </w:rPr>
        <w:t>(2)</w:t>
      </w:r>
      <w:r w:rsidRPr="00693A7B">
        <w:rPr>
          <w:rFonts w:asciiTheme="minorHAnsi" w:hAnsiTheme="minorHAnsi"/>
          <w:sz w:val="22"/>
          <w:szCs w:val="22"/>
        </w:rPr>
        <w:tab/>
        <w:t>The presumption is not rebutted merely because:</w:t>
      </w:r>
    </w:p>
    <w:p w14:paraId="1B7EA895" w14:textId="77777777" w:rsidR="00631CC3" w:rsidRPr="00693A7B" w:rsidRDefault="00631CC3" w:rsidP="00693A7B">
      <w:pPr>
        <w:pStyle w:val="Paragraph"/>
        <w:spacing w:after="0"/>
        <w:ind w:left="1134"/>
        <w:rPr>
          <w:rFonts w:asciiTheme="minorHAnsi" w:hAnsiTheme="minorHAnsi"/>
          <w:sz w:val="22"/>
          <w:szCs w:val="22"/>
        </w:rPr>
      </w:pPr>
      <w:r w:rsidRPr="00693A7B">
        <w:rPr>
          <w:rFonts w:asciiTheme="minorHAnsi" w:hAnsiTheme="minorHAnsi"/>
          <w:sz w:val="22"/>
          <w:szCs w:val="22"/>
        </w:rPr>
        <w:t>(a)</w:t>
      </w:r>
      <w:r w:rsidRPr="00693A7B">
        <w:rPr>
          <w:rFonts w:asciiTheme="minorHAnsi" w:hAnsiTheme="minorHAnsi"/>
          <w:sz w:val="22"/>
          <w:szCs w:val="22"/>
        </w:rPr>
        <w:tab/>
        <w:t>evidence on one charge is not admissible on another charge; or</w:t>
      </w:r>
    </w:p>
    <w:p w14:paraId="651619A5" w14:textId="77777777" w:rsidR="00631CC3" w:rsidRPr="00693A7B" w:rsidRDefault="00631CC3" w:rsidP="00693A7B">
      <w:pPr>
        <w:pStyle w:val="Paragraph"/>
        <w:spacing w:after="120"/>
        <w:ind w:left="1134"/>
        <w:rPr>
          <w:rFonts w:asciiTheme="minorHAnsi" w:hAnsiTheme="minorHAnsi"/>
          <w:sz w:val="22"/>
          <w:szCs w:val="22"/>
        </w:rPr>
      </w:pPr>
      <w:r w:rsidRPr="00693A7B">
        <w:rPr>
          <w:rFonts w:asciiTheme="minorHAnsi" w:hAnsiTheme="minorHAnsi"/>
          <w:sz w:val="22"/>
          <w:szCs w:val="22"/>
        </w:rPr>
        <w:t>(b)</w:t>
      </w:r>
      <w:r w:rsidRPr="00693A7B">
        <w:rPr>
          <w:rFonts w:asciiTheme="minorHAnsi" w:hAnsiTheme="minorHAnsi"/>
          <w:sz w:val="22"/>
          <w:szCs w:val="22"/>
        </w:rPr>
        <w:tab/>
        <w:t>there is a possibility that evidence may be the result of collusion or suggestion.</w:t>
      </w:r>
    </w:p>
    <w:p w14:paraId="1BE2ADA7" w14:textId="607FF7A3" w:rsidR="00631CC3" w:rsidRPr="00693A7B" w:rsidRDefault="00631CC3" w:rsidP="00693A7B">
      <w:pPr>
        <w:pStyle w:val="Subsection"/>
        <w:spacing w:after="0"/>
        <w:ind w:left="567" w:hanging="567"/>
        <w:rPr>
          <w:rFonts w:asciiTheme="minorHAnsi" w:hAnsiTheme="minorHAnsi"/>
          <w:sz w:val="22"/>
          <w:szCs w:val="22"/>
        </w:rPr>
      </w:pPr>
      <w:r w:rsidRPr="00693A7B">
        <w:rPr>
          <w:rFonts w:asciiTheme="minorHAnsi" w:hAnsiTheme="minorHAnsi"/>
          <w:sz w:val="22"/>
          <w:szCs w:val="22"/>
        </w:rPr>
        <w:t>(3)</w:t>
      </w:r>
      <w:r w:rsidRPr="00693A7B">
        <w:rPr>
          <w:rFonts w:asciiTheme="minorHAnsi" w:hAnsiTheme="minorHAnsi"/>
          <w:sz w:val="22"/>
          <w:szCs w:val="22"/>
        </w:rPr>
        <w:tab/>
        <w:t>In this section:</w:t>
      </w:r>
    </w:p>
    <w:p w14:paraId="2A3BA1D9" w14:textId="6EABA59A" w:rsidR="00631CC3" w:rsidRPr="00693A7B" w:rsidRDefault="00631CC3" w:rsidP="00693A7B">
      <w:pPr>
        <w:pStyle w:val="Definition"/>
        <w:spacing w:after="200"/>
        <w:ind w:left="567"/>
        <w:rPr>
          <w:rFonts w:asciiTheme="minorHAnsi" w:hAnsiTheme="minorHAnsi"/>
          <w:sz w:val="22"/>
        </w:rPr>
      </w:pPr>
      <w:r w:rsidRPr="00693A7B">
        <w:rPr>
          <w:rFonts w:asciiTheme="minorHAnsi" w:hAnsiTheme="minorHAnsi"/>
          <w:i/>
          <w:sz w:val="22"/>
        </w:rPr>
        <w:t>sexual offence</w:t>
      </w:r>
      <w:r w:rsidRPr="00693A7B">
        <w:rPr>
          <w:rFonts w:asciiTheme="minorHAnsi" w:hAnsiTheme="minorHAnsi"/>
          <w:sz w:val="22"/>
        </w:rPr>
        <w:t xml:space="preserve">, see section 3 of the </w:t>
      </w:r>
      <w:r w:rsidRPr="00693A7B">
        <w:rPr>
          <w:rFonts w:asciiTheme="minorHAnsi" w:hAnsiTheme="minorHAnsi"/>
          <w:i/>
          <w:sz w:val="22"/>
        </w:rPr>
        <w:t>Sexual Offences (Evidence and Procedure) Act 1983</w:t>
      </w:r>
      <w:r w:rsidRPr="00693A7B">
        <w:rPr>
          <w:rFonts w:asciiTheme="minorHAnsi" w:hAnsiTheme="minorHAnsi"/>
          <w:sz w:val="22"/>
        </w:rPr>
        <w:t>.</w:t>
      </w:r>
    </w:p>
    <w:p w14:paraId="10E63B19" w14:textId="1BCFA19B" w:rsidR="002B22DE" w:rsidRPr="00F53D74" w:rsidRDefault="00BB1CA2" w:rsidP="00173C5D">
      <w:pPr>
        <w:pStyle w:val="Subsection"/>
        <w:tabs>
          <w:tab w:val="clear" w:pos="902"/>
        </w:tabs>
        <w:spacing w:after="0"/>
        <w:ind w:left="0" w:firstLine="0"/>
        <w:rPr>
          <w:rFonts w:asciiTheme="minorHAnsi" w:hAnsiTheme="minorHAnsi"/>
          <w:sz w:val="22"/>
        </w:rPr>
      </w:pPr>
      <w:r w:rsidRPr="00173C5D">
        <w:rPr>
          <w:rFonts w:asciiTheme="minorHAnsi" w:hAnsiTheme="minorHAnsi"/>
          <w:sz w:val="22"/>
          <w:szCs w:val="22"/>
        </w:rPr>
        <w:t xml:space="preserve">The </w:t>
      </w:r>
      <w:r w:rsidRPr="00173C5D">
        <w:rPr>
          <w:rFonts w:asciiTheme="minorHAnsi" w:hAnsiTheme="minorHAnsi"/>
          <w:i/>
          <w:sz w:val="22"/>
          <w:szCs w:val="22"/>
        </w:rPr>
        <w:t xml:space="preserve">Local Court (Criminal Procedure) Act </w:t>
      </w:r>
      <w:r w:rsidRPr="00173C5D">
        <w:rPr>
          <w:rFonts w:asciiTheme="minorHAnsi" w:hAnsiTheme="minorHAnsi"/>
          <w:sz w:val="22"/>
          <w:szCs w:val="22"/>
        </w:rPr>
        <w:t>1928 which provides for</w:t>
      </w:r>
      <w:r w:rsidR="00344A8B" w:rsidRPr="00173C5D">
        <w:rPr>
          <w:rFonts w:asciiTheme="minorHAnsi" w:hAnsiTheme="minorHAnsi"/>
          <w:sz w:val="22"/>
          <w:szCs w:val="22"/>
        </w:rPr>
        <w:t xml:space="preserve"> procedures in relation</w:t>
      </w:r>
      <w:r w:rsidRPr="00173C5D">
        <w:rPr>
          <w:rFonts w:asciiTheme="minorHAnsi" w:hAnsiTheme="minorHAnsi"/>
          <w:sz w:val="22"/>
          <w:szCs w:val="22"/>
        </w:rPr>
        <w:t xml:space="preserve"> the Local Court’s criminal jurisdiction</w:t>
      </w:r>
      <w:r w:rsidR="00BB3CDB" w:rsidRPr="00173C5D">
        <w:rPr>
          <w:rFonts w:asciiTheme="minorHAnsi" w:hAnsiTheme="minorHAnsi"/>
          <w:sz w:val="22"/>
          <w:szCs w:val="22"/>
        </w:rPr>
        <w:t xml:space="preserve"> </w:t>
      </w:r>
      <w:r w:rsidRPr="00173C5D">
        <w:rPr>
          <w:rFonts w:asciiTheme="minorHAnsi" w:hAnsiTheme="minorHAnsi"/>
          <w:sz w:val="22"/>
          <w:szCs w:val="22"/>
        </w:rPr>
        <w:t xml:space="preserve">does not contain a similar presumption that </w:t>
      </w:r>
      <w:r w:rsidR="00A3020D" w:rsidRPr="00173C5D">
        <w:rPr>
          <w:rFonts w:asciiTheme="minorHAnsi" w:hAnsiTheme="minorHAnsi"/>
          <w:sz w:val="22"/>
          <w:szCs w:val="22"/>
        </w:rPr>
        <w:t>charges</w:t>
      </w:r>
      <w:r w:rsidRPr="00173C5D">
        <w:rPr>
          <w:rFonts w:asciiTheme="minorHAnsi" w:hAnsiTheme="minorHAnsi"/>
          <w:sz w:val="22"/>
          <w:szCs w:val="22"/>
        </w:rPr>
        <w:t xml:space="preserve"> for sexual offences</w:t>
      </w:r>
      <w:r w:rsidR="00A3020D" w:rsidRPr="00173C5D">
        <w:rPr>
          <w:rFonts w:asciiTheme="minorHAnsi" w:hAnsiTheme="minorHAnsi"/>
          <w:sz w:val="22"/>
          <w:szCs w:val="22"/>
        </w:rPr>
        <w:t xml:space="preserve"> will be heard together</w:t>
      </w:r>
      <w:r w:rsidRPr="00173C5D">
        <w:rPr>
          <w:rFonts w:asciiTheme="minorHAnsi" w:hAnsiTheme="minorHAnsi"/>
          <w:sz w:val="22"/>
          <w:szCs w:val="22"/>
        </w:rPr>
        <w:t>.</w:t>
      </w:r>
    </w:p>
    <w:p w14:paraId="705B7712" w14:textId="2A7E3BB7" w:rsidR="006432D8" w:rsidRDefault="00A77596" w:rsidP="00693A7B">
      <w:pPr>
        <w:pStyle w:val="Heading4"/>
        <w:keepNext/>
        <w:numPr>
          <w:ilvl w:val="0"/>
          <w:numId w:val="0"/>
        </w:numPr>
        <w:spacing w:after="0" w:line="259" w:lineRule="auto"/>
        <w:ind w:left="862" w:hanging="862"/>
        <w:rPr>
          <w:lang w:eastAsia="en-AU"/>
        </w:rPr>
      </w:pPr>
      <w:r>
        <w:rPr>
          <w:lang w:eastAsia="en-AU"/>
        </w:rPr>
        <w:t>PROPOSAL LR 5</w:t>
      </w:r>
      <w:r w:rsidR="00891C0A">
        <w:rPr>
          <w:lang w:eastAsia="en-AU"/>
        </w:rPr>
        <w:t>7</w:t>
      </w:r>
    </w:p>
    <w:p w14:paraId="694A1F56" w14:textId="56BE033E" w:rsidR="00693A7B" w:rsidRDefault="006432D8" w:rsidP="00693A7B">
      <w:pPr>
        <w:spacing w:after="0" w:line="259" w:lineRule="auto"/>
        <w:rPr>
          <w:b/>
          <w:lang w:eastAsia="en-AU"/>
        </w:rPr>
      </w:pPr>
      <w:r w:rsidRPr="00A77596">
        <w:rPr>
          <w:b/>
          <w:lang w:eastAsia="en-AU"/>
        </w:rPr>
        <w:t xml:space="preserve">It is proposed to amend the </w:t>
      </w:r>
      <w:r w:rsidRPr="00A77596">
        <w:rPr>
          <w:b/>
          <w:i/>
          <w:lang w:eastAsia="en-AU"/>
        </w:rPr>
        <w:t>Local Court (Criminal Procedure) Act 1928</w:t>
      </w:r>
      <w:r w:rsidR="00631CC3" w:rsidRPr="00A77596">
        <w:rPr>
          <w:b/>
          <w:lang w:eastAsia="en-AU"/>
        </w:rPr>
        <w:t xml:space="preserve"> to create a presumption that if an accused is charged with more than one sexual offence, it is presumed that the charges are heard together, </w:t>
      </w:r>
      <w:r w:rsidR="00A3020D" w:rsidRPr="00A77596">
        <w:rPr>
          <w:b/>
          <w:lang w:eastAsia="en-AU"/>
        </w:rPr>
        <w:t>along the lines of the presumption</w:t>
      </w:r>
      <w:r w:rsidR="00631CC3" w:rsidRPr="00A77596">
        <w:rPr>
          <w:b/>
          <w:lang w:eastAsia="en-AU"/>
        </w:rPr>
        <w:t xml:space="preserve"> </w:t>
      </w:r>
      <w:r w:rsidR="00A3020D" w:rsidRPr="00A77596">
        <w:rPr>
          <w:b/>
          <w:lang w:eastAsia="en-AU"/>
        </w:rPr>
        <w:t>for</w:t>
      </w:r>
      <w:r w:rsidR="00631CC3" w:rsidRPr="00A77596">
        <w:rPr>
          <w:b/>
          <w:lang w:eastAsia="en-AU"/>
        </w:rPr>
        <w:t xml:space="preserve"> indictable matters in sec</w:t>
      </w:r>
      <w:r w:rsidR="00A77596" w:rsidRPr="00A77596">
        <w:rPr>
          <w:b/>
          <w:lang w:eastAsia="en-AU"/>
        </w:rPr>
        <w:t>tion 341A of the Criminal Code.</w:t>
      </w:r>
    </w:p>
    <w:p w14:paraId="528F5117" w14:textId="77777777" w:rsidR="004C35C6" w:rsidRPr="00A77596" w:rsidRDefault="004C35C6" w:rsidP="00693A7B">
      <w:pPr>
        <w:spacing w:after="0" w:line="259" w:lineRule="auto"/>
        <w:rPr>
          <w:b/>
          <w:lang w:eastAsia="en-AU"/>
        </w:rPr>
      </w:pPr>
    </w:p>
    <w:p w14:paraId="5C75DF70" w14:textId="5855445F" w:rsidR="00582AC0" w:rsidRDefault="00582AC0" w:rsidP="00693A7B">
      <w:pPr>
        <w:spacing w:line="259" w:lineRule="auto"/>
        <w:rPr>
          <w:b/>
          <w:lang w:eastAsia="en-AU"/>
        </w:rPr>
      </w:pPr>
      <w:r w:rsidRPr="00A77596">
        <w:rPr>
          <w:b/>
          <w:lang w:eastAsia="en-AU"/>
        </w:rPr>
        <w:t>In addition, it is proposed to give further consideration to whether there should also be a presumption that DFV-related offences are heard together.</w:t>
      </w:r>
    </w:p>
    <w:p w14:paraId="30C74827" w14:textId="77777777" w:rsidR="00693A7B" w:rsidRDefault="00693A7B">
      <w:pPr>
        <w:rPr>
          <w:rFonts w:asciiTheme="majorHAnsi" w:eastAsiaTheme="majorEastAsia" w:hAnsiTheme="majorHAnsi" w:cstheme="majorBidi"/>
          <w:bCs/>
          <w:iCs/>
          <w:color w:val="454347"/>
          <w:sz w:val="32"/>
          <w:szCs w:val="32"/>
          <w:lang w:eastAsia="en-AU"/>
        </w:rPr>
      </w:pPr>
      <w:r>
        <w:rPr>
          <w:lang w:eastAsia="en-AU"/>
        </w:rPr>
        <w:br w:type="page"/>
      </w:r>
    </w:p>
    <w:p w14:paraId="4069896C" w14:textId="581B7794" w:rsidR="004A4525" w:rsidRDefault="00E63B8C" w:rsidP="00693A7B">
      <w:pPr>
        <w:pStyle w:val="Heading2"/>
        <w:ind w:left="1134"/>
        <w:rPr>
          <w:lang w:eastAsia="en-AU"/>
        </w:rPr>
      </w:pPr>
      <w:bookmarkStart w:id="93" w:name="_Toc112051877"/>
      <w:r>
        <w:rPr>
          <w:lang w:eastAsia="en-AU"/>
        </w:rPr>
        <w:lastRenderedPageBreak/>
        <w:t>Questions</w:t>
      </w:r>
      <w:r w:rsidR="004A4525">
        <w:rPr>
          <w:lang w:eastAsia="en-AU"/>
        </w:rPr>
        <w:t xml:space="preserve"> – Legislative reforms</w:t>
      </w:r>
      <w:bookmarkEnd w:id="93"/>
    </w:p>
    <w:p w14:paraId="01BCD710" w14:textId="77777777" w:rsidR="004A4525" w:rsidRDefault="004A4525" w:rsidP="00693A7B">
      <w:pPr>
        <w:rPr>
          <w:lang w:eastAsia="en-AU"/>
        </w:rPr>
      </w:pPr>
      <w:r>
        <w:rPr>
          <w:lang w:eastAsia="en-AU"/>
        </w:rPr>
        <w:t>The following questions are for consideration:</w:t>
      </w:r>
    </w:p>
    <w:p w14:paraId="44931FD5" w14:textId="5C7670A6" w:rsidR="004A4525" w:rsidRDefault="004A4525" w:rsidP="0067521E">
      <w:pPr>
        <w:pStyle w:val="ListParagraph"/>
        <w:numPr>
          <w:ilvl w:val="0"/>
          <w:numId w:val="165"/>
        </w:numPr>
        <w:spacing w:after="200"/>
        <w:ind w:left="567" w:hanging="567"/>
        <w:rPr>
          <w:lang w:eastAsia="en-AU"/>
        </w:rPr>
      </w:pPr>
      <w:r>
        <w:rPr>
          <w:lang w:eastAsia="en-AU"/>
        </w:rPr>
        <w:t xml:space="preserve">Which of the proposed legislative reforms do you support? </w:t>
      </w:r>
      <w:r w:rsidR="00693A7B">
        <w:rPr>
          <w:lang w:eastAsia="en-AU"/>
        </w:rPr>
        <w:t xml:space="preserve"> </w:t>
      </w:r>
      <w:r>
        <w:rPr>
          <w:lang w:eastAsia="en-AU"/>
        </w:rPr>
        <w:t>Which do you consider to be a priority?</w:t>
      </w:r>
    </w:p>
    <w:p w14:paraId="5B390FDD" w14:textId="3AB5FE69" w:rsidR="004A4525" w:rsidRDefault="004A4525" w:rsidP="0067521E">
      <w:pPr>
        <w:pStyle w:val="ListParagraph"/>
        <w:numPr>
          <w:ilvl w:val="0"/>
          <w:numId w:val="165"/>
        </w:numPr>
        <w:spacing w:after="200"/>
        <w:ind w:left="567" w:hanging="567"/>
        <w:rPr>
          <w:lang w:eastAsia="en-AU"/>
        </w:rPr>
      </w:pPr>
      <w:r>
        <w:rPr>
          <w:lang w:eastAsia="en-AU"/>
        </w:rPr>
        <w:t>Which of the proposed legislative reforms do you not support?</w:t>
      </w:r>
    </w:p>
    <w:p w14:paraId="372267D4" w14:textId="616EC121" w:rsidR="004A4525" w:rsidRDefault="004A4525" w:rsidP="0067521E">
      <w:pPr>
        <w:pStyle w:val="ListParagraph"/>
        <w:numPr>
          <w:ilvl w:val="0"/>
          <w:numId w:val="165"/>
        </w:numPr>
        <w:spacing w:after="200"/>
        <w:ind w:left="567" w:hanging="567"/>
        <w:rPr>
          <w:lang w:eastAsia="en-AU"/>
        </w:rPr>
      </w:pPr>
      <w:r>
        <w:rPr>
          <w:lang w:eastAsia="en-AU"/>
        </w:rPr>
        <w:t>Do you have suggestions to strengthen any of the proposals?</w:t>
      </w:r>
    </w:p>
    <w:p w14:paraId="70F408BE" w14:textId="13F0555C" w:rsidR="004A4525" w:rsidRDefault="004A4525" w:rsidP="0067521E">
      <w:pPr>
        <w:pStyle w:val="ListParagraph"/>
        <w:numPr>
          <w:ilvl w:val="0"/>
          <w:numId w:val="165"/>
        </w:numPr>
        <w:spacing w:after="200"/>
        <w:ind w:left="567" w:hanging="567"/>
        <w:rPr>
          <w:lang w:eastAsia="en-AU"/>
        </w:rPr>
      </w:pPr>
      <w:r>
        <w:rPr>
          <w:lang w:eastAsia="en-AU"/>
        </w:rPr>
        <w:t>Have you identified any unintended consequences</w:t>
      </w:r>
      <w:r w:rsidR="00C557C5">
        <w:rPr>
          <w:lang w:eastAsia="en-AU"/>
        </w:rPr>
        <w:t xml:space="preserve"> of any</w:t>
      </w:r>
      <w:r>
        <w:rPr>
          <w:lang w:eastAsia="en-AU"/>
        </w:rPr>
        <w:t xml:space="preserve"> proposals?</w:t>
      </w:r>
    </w:p>
    <w:p w14:paraId="21B715D0" w14:textId="5DF7D6BE" w:rsidR="004A4525" w:rsidRDefault="00693A7B" w:rsidP="004A4525">
      <w:pPr>
        <w:rPr>
          <w:lang w:eastAsia="en-AU"/>
        </w:rPr>
      </w:pPr>
      <w:r>
        <w:rPr>
          <w:lang w:eastAsia="en-AU"/>
        </w:rPr>
        <w:t xml:space="preserve">AGD </w:t>
      </w:r>
      <w:r w:rsidR="004A4525">
        <w:rPr>
          <w:lang w:eastAsia="en-AU"/>
        </w:rPr>
        <w:t xml:space="preserve">provides these questions for guidance only. </w:t>
      </w:r>
      <w:r>
        <w:rPr>
          <w:lang w:eastAsia="en-AU"/>
        </w:rPr>
        <w:t xml:space="preserve"> </w:t>
      </w:r>
      <w:r w:rsidR="004A4525">
        <w:rPr>
          <w:lang w:eastAsia="en-AU"/>
        </w:rPr>
        <w:t>Submissions are not required to address all, or any, of these questions.  Stakeholders are welcome to provide any views relevant to improving legislation and the justice response to DFV in the NT.</w:t>
      </w:r>
    </w:p>
    <w:p w14:paraId="3EC56EE3" w14:textId="57415F3F" w:rsidR="00631CC3" w:rsidRDefault="00631CC3" w:rsidP="006432D8">
      <w:pPr>
        <w:rPr>
          <w:lang w:eastAsia="en-AU"/>
        </w:rPr>
      </w:pPr>
    </w:p>
    <w:p w14:paraId="33B90260" w14:textId="01B5C9CA" w:rsidR="00631CC3" w:rsidRDefault="00631CC3">
      <w:pPr>
        <w:rPr>
          <w:lang w:eastAsia="en-AU"/>
        </w:rPr>
      </w:pPr>
      <w:r>
        <w:rPr>
          <w:lang w:eastAsia="en-AU"/>
        </w:rPr>
        <w:br w:type="page"/>
      </w:r>
    </w:p>
    <w:p w14:paraId="35EDE0DA" w14:textId="3C783028" w:rsidR="00401014" w:rsidRPr="00170009" w:rsidRDefault="00D335D7" w:rsidP="00693A7B">
      <w:pPr>
        <w:pStyle w:val="Heading1"/>
        <w:keepNext/>
        <w:ind w:left="431" w:hanging="431"/>
        <w:rPr>
          <w:lang w:eastAsia="en-AU"/>
        </w:rPr>
      </w:pPr>
      <w:bookmarkStart w:id="94" w:name="_Toc112051878"/>
      <w:r>
        <w:rPr>
          <w:lang w:eastAsia="en-AU"/>
        </w:rPr>
        <w:lastRenderedPageBreak/>
        <w:t>Systemic</w:t>
      </w:r>
      <w:r w:rsidR="00E650AD" w:rsidRPr="00170009">
        <w:rPr>
          <w:lang w:eastAsia="en-AU"/>
        </w:rPr>
        <w:t xml:space="preserve"> </w:t>
      </w:r>
      <w:r w:rsidR="006321A2" w:rsidRPr="00170009">
        <w:rPr>
          <w:lang w:eastAsia="en-AU"/>
        </w:rPr>
        <w:t>reform</w:t>
      </w:r>
      <w:r w:rsidR="000C2B33">
        <w:rPr>
          <w:lang w:eastAsia="en-AU"/>
        </w:rPr>
        <w:t>s</w:t>
      </w:r>
      <w:r w:rsidR="006F02C6">
        <w:rPr>
          <w:lang w:eastAsia="en-AU"/>
        </w:rPr>
        <w:t xml:space="preserve"> to address DFV</w:t>
      </w:r>
      <w:bookmarkEnd w:id="94"/>
    </w:p>
    <w:p w14:paraId="3FF4558E" w14:textId="6DC782C1" w:rsidR="006F21EB" w:rsidRDefault="00273265" w:rsidP="006F21EB">
      <w:pPr>
        <w:rPr>
          <w:lang w:eastAsia="en-AU"/>
        </w:rPr>
      </w:pPr>
      <w:r>
        <w:rPr>
          <w:lang w:eastAsia="en-AU"/>
        </w:rPr>
        <w:t>Legislative change alone</w:t>
      </w:r>
      <w:r w:rsidR="006F21EB">
        <w:rPr>
          <w:lang w:eastAsia="en-AU"/>
        </w:rPr>
        <w:t xml:space="preserve"> will not </w:t>
      </w:r>
      <w:r w:rsidR="00EC530F">
        <w:rPr>
          <w:lang w:eastAsia="en-AU"/>
        </w:rPr>
        <w:t xml:space="preserve">improve </w:t>
      </w:r>
      <w:r>
        <w:rPr>
          <w:lang w:eastAsia="en-AU"/>
        </w:rPr>
        <w:t>the justice response</w:t>
      </w:r>
      <w:r w:rsidR="00EC530F">
        <w:rPr>
          <w:lang w:eastAsia="en-AU"/>
        </w:rPr>
        <w:t xml:space="preserve"> to DFV</w:t>
      </w:r>
      <w:r>
        <w:rPr>
          <w:lang w:eastAsia="en-AU"/>
        </w:rPr>
        <w:t>,</w:t>
      </w:r>
      <w:r w:rsidR="00EC530F">
        <w:rPr>
          <w:lang w:eastAsia="en-AU"/>
        </w:rPr>
        <w:t xml:space="preserve"> or </w:t>
      </w:r>
      <w:r w:rsidR="00BF0FBA">
        <w:rPr>
          <w:lang w:eastAsia="en-AU"/>
        </w:rPr>
        <w:t>increase the safety of</w:t>
      </w:r>
      <w:r w:rsidR="00840FC6">
        <w:rPr>
          <w:lang w:eastAsia="en-AU"/>
        </w:rPr>
        <w:t xml:space="preserve"> women and ch</w:t>
      </w:r>
      <w:r w:rsidR="00BA11DA">
        <w:rPr>
          <w:lang w:eastAsia="en-AU"/>
        </w:rPr>
        <w:t>ildren in the NT</w:t>
      </w:r>
      <w:r w:rsidR="00BF0FBA">
        <w:rPr>
          <w:lang w:eastAsia="en-AU"/>
        </w:rPr>
        <w:t>.</w:t>
      </w:r>
      <w:r w:rsidR="00756A00">
        <w:rPr>
          <w:lang w:eastAsia="en-AU"/>
        </w:rPr>
        <w:t xml:space="preserve"> </w:t>
      </w:r>
      <w:r w:rsidR="00693A7B">
        <w:rPr>
          <w:lang w:eastAsia="en-AU"/>
        </w:rPr>
        <w:t xml:space="preserve"> </w:t>
      </w:r>
      <w:r w:rsidR="00756A00">
        <w:rPr>
          <w:lang w:eastAsia="en-AU"/>
        </w:rPr>
        <w:t xml:space="preserve">There is universal agreement that legislative change must be accompanied by </w:t>
      </w:r>
      <w:r w:rsidR="00F26093">
        <w:rPr>
          <w:lang w:eastAsia="en-AU"/>
        </w:rPr>
        <w:t>a sui</w:t>
      </w:r>
      <w:r w:rsidR="00CF1770">
        <w:rPr>
          <w:lang w:eastAsia="en-AU"/>
        </w:rPr>
        <w:t xml:space="preserve">te of non-legislative or </w:t>
      </w:r>
      <w:r w:rsidR="00B4679E">
        <w:rPr>
          <w:lang w:eastAsia="en-AU"/>
        </w:rPr>
        <w:t>systemic</w:t>
      </w:r>
      <w:r w:rsidR="00CF1770">
        <w:rPr>
          <w:lang w:eastAsia="en-AU"/>
        </w:rPr>
        <w:t xml:space="preserve"> reforms</w:t>
      </w:r>
      <w:r w:rsidR="00F26093">
        <w:rPr>
          <w:lang w:eastAsia="en-AU"/>
        </w:rPr>
        <w:t xml:space="preserve">.  This includes </w:t>
      </w:r>
      <w:r w:rsidR="00756A00">
        <w:rPr>
          <w:lang w:eastAsia="en-AU"/>
        </w:rPr>
        <w:t>greater alignment in the policies, procedures and practice to focus on victim safety and offender accountability, improved specialist training on DFV</w:t>
      </w:r>
      <w:r w:rsidR="00F26093">
        <w:rPr>
          <w:lang w:eastAsia="en-AU"/>
        </w:rPr>
        <w:t xml:space="preserve">, </w:t>
      </w:r>
      <w:r w:rsidR="00756A00">
        <w:rPr>
          <w:lang w:eastAsia="en-AU"/>
        </w:rPr>
        <w:t xml:space="preserve">effective </w:t>
      </w:r>
      <w:r w:rsidR="00F26093">
        <w:rPr>
          <w:lang w:eastAsia="en-AU"/>
        </w:rPr>
        <w:t>programs</w:t>
      </w:r>
      <w:r w:rsidR="000C2B33">
        <w:rPr>
          <w:lang w:eastAsia="en-AU"/>
        </w:rPr>
        <w:t>,</w:t>
      </w:r>
      <w:r w:rsidR="00F26093">
        <w:rPr>
          <w:lang w:eastAsia="en-AU"/>
        </w:rPr>
        <w:t xml:space="preserve"> services and </w:t>
      </w:r>
      <w:r w:rsidR="000C2B33">
        <w:rPr>
          <w:lang w:eastAsia="en-AU"/>
        </w:rPr>
        <w:t xml:space="preserve">institutional responses, and </w:t>
      </w:r>
      <w:r w:rsidR="00F26093">
        <w:rPr>
          <w:lang w:eastAsia="en-AU"/>
        </w:rPr>
        <w:t>strong education and prevention initiatives.</w:t>
      </w:r>
    </w:p>
    <w:p w14:paraId="2DF18BA2" w14:textId="7F9D1F3F" w:rsidR="00AD01D4" w:rsidRDefault="00BA11DA" w:rsidP="00BA11DA">
      <w:pPr>
        <w:rPr>
          <w:lang w:eastAsia="en-AU"/>
        </w:rPr>
      </w:pPr>
      <w:r>
        <w:rPr>
          <w:lang w:eastAsia="en-AU"/>
        </w:rPr>
        <w:t>This secti</w:t>
      </w:r>
      <w:r w:rsidR="00F26093">
        <w:rPr>
          <w:lang w:eastAsia="en-AU"/>
        </w:rPr>
        <w:t xml:space="preserve">on of the </w:t>
      </w:r>
      <w:r w:rsidR="000A786C">
        <w:rPr>
          <w:lang w:eastAsia="en-AU"/>
        </w:rPr>
        <w:t>paper</w:t>
      </w:r>
      <w:r w:rsidR="00F26093">
        <w:rPr>
          <w:lang w:eastAsia="en-AU"/>
        </w:rPr>
        <w:t xml:space="preserve"> identifies specific</w:t>
      </w:r>
      <w:r w:rsidR="00756A00">
        <w:rPr>
          <w:lang w:eastAsia="en-AU"/>
        </w:rPr>
        <w:t xml:space="preserve"> </w:t>
      </w:r>
      <w:r w:rsidR="00B4679E">
        <w:rPr>
          <w:lang w:eastAsia="en-AU"/>
        </w:rPr>
        <w:t>systemic</w:t>
      </w:r>
      <w:r w:rsidR="00CF1770">
        <w:rPr>
          <w:lang w:eastAsia="en-AU"/>
        </w:rPr>
        <w:t xml:space="preserve"> </w:t>
      </w:r>
      <w:r w:rsidR="00A77596">
        <w:rPr>
          <w:lang w:eastAsia="en-AU"/>
        </w:rPr>
        <w:t>reforms (SR)</w:t>
      </w:r>
      <w:r>
        <w:rPr>
          <w:lang w:eastAsia="en-AU"/>
        </w:rPr>
        <w:t xml:space="preserve"> </w:t>
      </w:r>
      <w:r w:rsidR="00756A00">
        <w:rPr>
          <w:lang w:eastAsia="en-AU"/>
        </w:rPr>
        <w:t xml:space="preserve">to </w:t>
      </w:r>
      <w:r>
        <w:rPr>
          <w:lang w:eastAsia="en-AU"/>
        </w:rPr>
        <w:t xml:space="preserve">accompany the legislative reforms </w:t>
      </w:r>
      <w:r w:rsidR="00A77596">
        <w:rPr>
          <w:lang w:eastAsia="en-AU"/>
        </w:rPr>
        <w:t xml:space="preserve">(LR) </w:t>
      </w:r>
      <w:r>
        <w:rPr>
          <w:lang w:eastAsia="en-AU"/>
        </w:rPr>
        <w:t xml:space="preserve">proposed in </w:t>
      </w:r>
      <w:r w:rsidR="00693A7B">
        <w:rPr>
          <w:lang w:eastAsia="en-AU"/>
        </w:rPr>
        <w:t xml:space="preserve">Part </w:t>
      </w:r>
      <w:r w:rsidR="00EC6348">
        <w:rPr>
          <w:lang w:eastAsia="en-AU"/>
        </w:rPr>
        <w:t xml:space="preserve">4 </w:t>
      </w:r>
      <w:r w:rsidR="00A77596">
        <w:rPr>
          <w:lang w:eastAsia="en-AU"/>
        </w:rPr>
        <w:t>of this paper</w:t>
      </w:r>
      <w:r>
        <w:rPr>
          <w:lang w:eastAsia="en-AU"/>
        </w:rPr>
        <w:t xml:space="preserve">. </w:t>
      </w:r>
      <w:r w:rsidR="00C3192B">
        <w:rPr>
          <w:lang w:eastAsia="en-AU"/>
        </w:rPr>
        <w:t xml:space="preserve"> </w:t>
      </w:r>
    </w:p>
    <w:p w14:paraId="5CDCDB16" w14:textId="1C0F07E1" w:rsidR="006F02C6" w:rsidRDefault="00891C0A" w:rsidP="00BB3DEE">
      <w:pPr>
        <w:rPr>
          <w:lang w:eastAsia="en-AU"/>
        </w:rPr>
      </w:pPr>
      <w:r>
        <w:rPr>
          <w:lang w:eastAsia="en-AU"/>
        </w:rPr>
        <w:t>This section</w:t>
      </w:r>
      <w:r w:rsidR="00BA11DA">
        <w:rPr>
          <w:lang w:eastAsia="en-AU"/>
        </w:rPr>
        <w:t xml:space="preserve"> focuses predominantly on the justice response and the justice system.  However, it is acknowledged that the justice response</w:t>
      </w:r>
      <w:r w:rsidR="00AD01D4">
        <w:rPr>
          <w:lang w:eastAsia="en-AU"/>
        </w:rPr>
        <w:t xml:space="preserve"> overlaps with</w:t>
      </w:r>
      <w:r w:rsidR="00BA11DA">
        <w:rPr>
          <w:lang w:eastAsia="en-AU"/>
        </w:rPr>
        <w:t xml:space="preserve"> </w:t>
      </w:r>
      <w:r w:rsidR="00AD01D4">
        <w:rPr>
          <w:lang w:eastAsia="en-AU"/>
        </w:rPr>
        <w:t xml:space="preserve">other responses </w:t>
      </w:r>
      <w:r w:rsidR="003E2A86">
        <w:rPr>
          <w:lang w:eastAsia="en-AU"/>
        </w:rPr>
        <w:t>and to some extent they must be considered together.</w:t>
      </w:r>
    </w:p>
    <w:p w14:paraId="4AE2590D" w14:textId="2D393CDA" w:rsidR="00F26093" w:rsidRDefault="00F26093" w:rsidP="00693A7B">
      <w:pPr>
        <w:pStyle w:val="Heading2"/>
        <w:ind w:left="1134"/>
        <w:rPr>
          <w:lang w:eastAsia="en-AU"/>
        </w:rPr>
      </w:pPr>
      <w:bookmarkStart w:id="95" w:name="_Toc112051879"/>
      <w:r>
        <w:rPr>
          <w:lang w:eastAsia="en-AU"/>
        </w:rPr>
        <w:t>The primacy of implementation</w:t>
      </w:r>
      <w:bookmarkEnd w:id="95"/>
    </w:p>
    <w:p w14:paraId="47F095AC" w14:textId="0F3F389A" w:rsidR="00F26093" w:rsidRDefault="00F26093" w:rsidP="00F26093">
      <w:pPr>
        <w:rPr>
          <w:lang w:eastAsia="en-AU"/>
        </w:rPr>
      </w:pPr>
      <w:r>
        <w:rPr>
          <w:lang w:eastAsia="en-AU"/>
        </w:rPr>
        <w:t>The importance of implementation has been emphasised in all inquiries into DFV and coercive control that have been undertaken in the past 15 years.  Effective implementation is central to DFV reform, irrespective of whether coercive control is criminalised or not.</w:t>
      </w:r>
    </w:p>
    <w:p w14:paraId="73AAC824" w14:textId="77777777" w:rsidR="00F26093" w:rsidRDefault="00F26093" w:rsidP="00693A7B">
      <w:pPr>
        <w:spacing w:after="120"/>
        <w:rPr>
          <w:lang w:eastAsia="en-AU"/>
        </w:rPr>
      </w:pPr>
      <w:r>
        <w:rPr>
          <w:lang w:eastAsia="en-AU"/>
        </w:rPr>
        <w:t>It was most succinctly put by the NSW Parliamentary Inquiry into Coercive Control:</w:t>
      </w:r>
    </w:p>
    <w:p w14:paraId="79CCF30D" w14:textId="77777777" w:rsidR="00F26093" w:rsidRPr="00693A7B" w:rsidRDefault="00F26093" w:rsidP="00F26093">
      <w:pPr>
        <w:ind w:left="576"/>
        <w:rPr>
          <w:lang w:eastAsia="en-AU"/>
        </w:rPr>
      </w:pPr>
      <w:r w:rsidRPr="00693A7B">
        <w:rPr>
          <w:lang w:eastAsia="en-AU"/>
        </w:rPr>
        <w:t>During the inquiry, the Committee heard calls for a whole of government, whole of community focus on domestic abuse. Laws alone cannot stop violence against women, and it cannot be left to the police and criminal justice system to address.</w:t>
      </w:r>
      <w:r w:rsidRPr="00693A7B">
        <w:rPr>
          <w:rStyle w:val="FootnoteReference"/>
          <w:lang w:eastAsia="en-AU"/>
        </w:rPr>
        <w:footnoteReference w:id="192"/>
      </w:r>
    </w:p>
    <w:p w14:paraId="4695422B" w14:textId="77777777" w:rsidR="00F26093" w:rsidRDefault="00F26093" w:rsidP="00693A7B">
      <w:pPr>
        <w:spacing w:after="120"/>
        <w:rPr>
          <w:lang w:eastAsia="en-AU"/>
        </w:rPr>
      </w:pPr>
      <w:r>
        <w:rPr>
          <w:lang w:eastAsia="en-AU"/>
        </w:rPr>
        <w:t>The NSW Inquiry also emphasised that a comprehensive approach to implementation is what sets Scotland’s approach to coercive control apart from other jurisdictions as the ‘gold standard’:</w:t>
      </w:r>
    </w:p>
    <w:p w14:paraId="67183C9E" w14:textId="77777777" w:rsidR="00F26093" w:rsidRPr="00693A7B" w:rsidRDefault="00F26093" w:rsidP="00693A7B">
      <w:pPr>
        <w:ind w:left="567"/>
        <w:rPr>
          <w:lang w:eastAsia="en-AU"/>
        </w:rPr>
      </w:pPr>
      <w:r w:rsidRPr="00693A7B">
        <w:rPr>
          <w:lang w:eastAsia="en-AU"/>
        </w:rPr>
        <w:t>… the Scottish domestic abuse law is underpinned by the four pillars of a system’s response … protection (legal remedies); provision (effective service delivery); prevention (strategies for stopping domestic violence and reducing reoffending); and participation (by those who have experienced domestic abuse).</w:t>
      </w:r>
      <w:r w:rsidRPr="00693A7B">
        <w:rPr>
          <w:rStyle w:val="FootnoteReference"/>
          <w:lang w:eastAsia="en-AU"/>
        </w:rPr>
        <w:footnoteReference w:id="193"/>
      </w:r>
    </w:p>
    <w:p w14:paraId="27DA60CD" w14:textId="19194B90" w:rsidR="00F26093" w:rsidRDefault="00F26093" w:rsidP="00F26093">
      <w:pPr>
        <w:rPr>
          <w:lang w:eastAsia="en-AU"/>
        </w:rPr>
      </w:pPr>
      <w:r>
        <w:rPr>
          <w:lang w:eastAsia="en-AU"/>
        </w:rPr>
        <w:t>The Queensland Women’s Safety and Justice Taskforce was so convinced of the necessity of implementation that it recommended ‘no new offences to criminalise DFV commence until justice and service responses are improved</w:t>
      </w:r>
      <w:r w:rsidR="00693A7B">
        <w:rPr>
          <w:lang w:eastAsia="en-AU"/>
        </w:rPr>
        <w:t>’</w:t>
      </w:r>
      <w:r w:rsidR="00D05A7A">
        <w:rPr>
          <w:lang w:eastAsia="en-AU"/>
        </w:rPr>
        <w:t>.</w:t>
      </w:r>
      <w:r>
        <w:rPr>
          <w:lang w:eastAsia="en-AU"/>
        </w:rPr>
        <w:t xml:space="preserve"> </w:t>
      </w:r>
      <w:r w:rsidR="00693A7B">
        <w:rPr>
          <w:lang w:eastAsia="en-AU"/>
        </w:rPr>
        <w:t xml:space="preserve"> </w:t>
      </w:r>
      <w:r w:rsidR="00B717A8">
        <w:rPr>
          <w:lang w:eastAsia="en-AU"/>
        </w:rPr>
        <w:t xml:space="preserve">The Taskforce </w:t>
      </w:r>
      <w:r>
        <w:rPr>
          <w:lang w:eastAsia="en-AU"/>
        </w:rPr>
        <w:t>set out a four</w:t>
      </w:r>
      <w:r w:rsidR="004E45EC">
        <w:rPr>
          <w:lang w:eastAsia="en-AU"/>
        </w:rPr>
        <w:t>-</w:t>
      </w:r>
      <w:r>
        <w:rPr>
          <w:lang w:eastAsia="en-AU"/>
        </w:rPr>
        <w:t xml:space="preserve">phase implementation process over </w:t>
      </w:r>
      <w:r w:rsidR="00882F83">
        <w:rPr>
          <w:lang w:eastAsia="en-AU"/>
        </w:rPr>
        <w:t xml:space="preserve">at least </w:t>
      </w:r>
      <w:r>
        <w:rPr>
          <w:lang w:eastAsia="en-AU"/>
        </w:rPr>
        <w:t xml:space="preserve">four years. </w:t>
      </w:r>
      <w:r>
        <w:rPr>
          <w:rStyle w:val="FootnoteReference"/>
          <w:lang w:eastAsia="en-AU"/>
        </w:rPr>
        <w:footnoteReference w:id="194"/>
      </w:r>
    </w:p>
    <w:p w14:paraId="7FC0656C" w14:textId="01FE2CB2" w:rsidR="00F26093" w:rsidRDefault="00882F83" w:rsidP="00F26093">
      <w:pPr>
        <w:rPr>
          <w:i/>
          <w:iCs/>
          <w:lang w:eastAsia="en-AU"/>
        </w:rPr>
      </w:pPr>
      <w:r>
        <w:rPr>
          <w:lang w:eastAsia="en-AU"/>
        </w:rPr>
        <w:t>T</w:t>
      </w:r>
      <w:r w:rsidR="00F26093">
        <w:rPr>
          <w:lang w:eastAsia="en-AU"/>
        </w:rPr>
        <w:t xml:space="preserve">he SA Government released a discussion paper entirely devoted to the question of implementation titled: </w:t>
      </w:r>
      <w:r w:rsidR="00F26093" w:rsidRPr="005A641D">
        <w:rPr>
          <w:i/>
          <w:iCs/>
          <w:lang w:eastAsia="en-AU"/>
        </w:rPr>
        <w:t>Implementation considerations should coercive control be criminalised in South Australia</w:t>
      </w:r>
      <w:r w:rsidR="00F26093">
        <w:rPr>
          <w:i/>
          <w:iCs/>
          <w:lang w:eastAsia="en-AU"/>
        </w:rPr>
        <w:t>.</w:t>
      </w:r>
      <w:r w:rsidR="00F26093">
        <w:rPr>
          <w:rStyle w:val="FootnoteReference"/>
          <w:i/>
          <w:iCs/>
          <w:lang w:eastAsia="en-AU"/>
        </w:rPr>
        <w:footnoteReference w:id="195"/>
      </w:r>
    </w:p>
    <w:p w14:paraId="1462FF50" w14:textId="387E5098" w:rsidR="0015667A" w:rsidRPr="00742E59" w:rsidRDefault="00F26093" w:rsidP="00F26093">
      <w:pPr>
        <w:rPr>
          <w:iCs/>
          <w:lang w:eastAsia="en-AU"/>
        </w:rPr>
      </w:pPr>
      <w:r>
        <w:rPr>
          <w:iCs/>
          <w:lang w:eastAsia="en-AU"/>
        </w:rPr>
        <w:t>The Victorian Royal Commission into Family Violence observed that changing laws has only a symbolic effect</w:t>
      </w:r>
      <w:r w:rsidR="004E45EC">
        <w:rPr>
          <w:iCs/>
          <w:lang w:eastAsia="en-AU"/>
        </w:rPr>
        <w:t xml:space="preserve"> on responses to DFV</w:t>
      </w:r>
      <w:r>
        <w:rPr>
          <w:iCs/>
          <w:lang w:eastAsia="en-AU"/>
        </w:rPr>
        <w:t>, and that changes in practice, training and education are essential.</w:t>
      </w:r>
      <w:r>
        <w:rPr>
          <w:rStyle w:val="FootnoteReference"/>
          <w:iCs/>
          <w:lang w:eastAsia="en-AU"/>
        </w:rPr>
        <w:footnoteReference w:id="196"/>
      </w:r>
    </w:p>
    <w:p w14:paraId="57462301" w14:textId="789B873A" w:rsidR="00756A00" w:rsidRDefault="00F26093" w:rsidP="00693A7B">
      <w:pPr>
        <w:pStyle w:val="Heading2"/>
        <w:keepNext/>
        <w:ind w:left="1134" w:hanging="578"/>
        <w:rPr>
          <w:lang w:eastAsia="en-AU"/>
        </w:rPr>
      </w:pPr>
      <w:bookmarkStart w:id="96" w:name="_Toc112051880"/>
      <w:r>
        <w:rPr>
          <w:lang w:eastAsia="en-AU"/>
        </w:rPr>
        <w:lastRenderedPageBreak/>
        <w:t>Inter-agency co-ordination and reform</w:t>
      </w:r>
      <w:bookmarkEnd w:id="96"/>
    </w:p>
    <w:p w14:paraId="24234404" w14:textId="0815D6CB" w:rsidR="00E91796" w:rsidRDefault="00E64B3B" w:rsidP="00756A00">
      <w:pPr>
        <w:rPr>
          <w:lang w:eastAsia="en-AU"/>
        </w:rPr>
      </w:pPr>
      <w:r>
        <w:rPr>
          <w:lang w:eastAsia="en-AU"/>
        </w:rPr>
        <w:t>This</w:t>
      </w:r>
      <w:r w:rsidR="00F26093">
        <w:rPr>
          <w:lang w:eastAsia="en-AU"/>
        </w:rPr>
        <w:t xml:space="preserve"> review has identified that </w:t>
      </w:r>
      <w:r w:rsidR="00E91796">
        <w:rPr>
          <w:lang w:eastAsia="en-AU"/>
        </w:rPr>
        <w:t xml:space="preserve">changes to the justice response to DFV </w:t>
      </w:r>
      <w:r>
        <w:rPr>
          <w:lang w:eastAsia="en-AU"/>
        </w:rPr>
        <w:t>must occur as part of a co-ordinated inter-agency reform agenda (a whole-of-government,</w:t>
      </w:r>
      <w:r w:rsidR="00693A7B">
        <w:rPr>
          <w:lang w:eastAsia="en-AU"/>
        </w:rPr>
        <w:t xml:space="preserve"> whole-of-community approach).</w:t>
      </w:r>
    </w:p>
    <w:p w14:paraId="38B9C152" w14:textId="2FDF49E9" w:rsidR="00756A00" w:rsidRDefault="00756A00" w:rsidP="00756A00">
      <w:pPr>
        <w:rPr>
          <w:lang w:eastAsia="en-AU"/>
        </w:rPr>
      </w:pPr>
      <w:r>
        <w:rPr>
          <w:lang w:eastAsia="en-AU"/>
        </w:rPr>
        <w:t>The Government is already acting in this regard.</w:t>
      </w:r>
    </w:p>
    <w:p w14:paraId="493A261A" w14:textId="3D182AF5" w:rsidR="00756A00" w:rsidRDefault="00756A00" w:rsidP="00756A00">
      <w:pPr>
        <w:rPr>
          <w:lang w:eastAsia="en-AU"/>
        </w:rPr>
      </w:pPr>
      <w:r>
        <w:rPr>
          <w:lang w:eastAsia="en-AU"/>
        </w:rPr>
        <w:t>In April 2022</w:t>
      </w:r>
      <w:r w:rsidR="00693A7B">
        <w:rPr>
          <w:lang w:eastAsia="en-AU"/>
        </w:rPr>
        <w:t>,</w:t>
      </w:r>
      <w:r>
        <w:rPr>
          <w:lang w:eastAsia="en-AU"/>
        </w:rPr>
        <w:t xml:space="preserve"> the NT Government appointed the Hon Kate Worden MLA as the NT’s first Minister for the Prevention of Domestic, Family and Sexual Violence. </w:t>
      </w:r>
      <w:r w:rsidR="00693A7B">
        <w:rPr>
          <w:lang w:eastAsia="en-AU"/>
        </w:rPr>
        <w:t xml:space="preserve"> </w:t>
      </w:r>
      <w:r>
        <w:rPr>
          <w:lang w:eastAsia="en-AU"/>
        </w:rPr>
        <w:t>This marked a significant strengthening of the whole-of-government inter-agency response to DFV in the NT.</w:t>
      </w:r>
    </w:p>
    <w:p w14:paraId="3AEA9B33" w14:textId="25C83372" w:rsidR="00F26093" w:rsidRDefault="00E91796" w:rsidP="00E91796">
      <w:pPr>
        <w:pStyle w:val="Heading3"/>
        <w:rPr>
          <w:lang w:eastAsia="en-AU"/>
        </w:rPr>
      </w:pPr>
      <w:bookmarkStart w:id="97" w:name="_Toc112051881"/>
      <w:r>
        <w:rPr>
          <w:lang w:eastAsia="en-AU"/>
        </w:rPr>
        <w:t>The Inter-agency Co-ordination and Reform Office (</w:t>
      </w:r>
      <w:r w:rsidR="00E37E7C">
        <w:rPr>
          <w:lang w:eastAsia="en-AU"/>
        </w:rPr>
        <w:t>DFSV-ICRO</w:t>
      </w:r>
      <w:r>
        <w:rPr>
          <w:lang w:eastAsia="en-AU"/>
        </w:rPr>
        <w:t>)</w:t>
      </w:r>
      <w:bookmarkEnd w:id="97"/>
    </w:p>
    <w:p w14:paraId="56D49FF1" w14:textId="7EADD003" w:rsidR="00756A00" w:rsidRDefault="00756A00" w:rsidP="00756A00">
      <w:pPr>
        <w:rPr>
          <w:lang w:eastAsia="en-AU"/>
        </w:rPr>
      </w:pPr>
      <w:r>
        <w:rPr>
          <w:lang w:eastAsia="en-AU"/>
        </w:rPr>
        <w:t xml:space="preserve">The Government has established a </w:t>
      </w:r>
      <w:r w:rsidR="00DF5802">
        <w:rPr>
          <w:lang w:eastAsia="en-AU"/>
        </w:rPr>
        <w:t>twelve</w:t>
      </w:r>
      <w:r w:rsidR="0015667A">
        <w:rPr>
          <w:lang w:eastAsia="en-AU"/>
        </w:rPr>
        <w:t>-</w:t>
      </w:r>
      <w:r w:rsidR="00DF5802">
        <w:rPr>
          <w:lang w:eastAsia="en-AU"/>
        </w:rPr>
        <w:t xml:space="preserve">month </w:t>
      </w:r>
      <w:r>
        <w:rPr>
          <w:lang w:eastAsia="en-AU"/>
        </w:rPr>
        <w:t xml:space="preserve">Domestic Family and Sexual Violence Inter-Agency Co-ordination and Reform Office </w:t>
      </w:r>
      <w:r w:rsidR="00DF5802">
        <w:rPr>
          <w:lang w:eastAsia="en-AU"/>
        </w:rPr>
        <w:t>(</w:t>
      </w:r>
      <w:r w:rsidR="00E37E7C">
        <w:rPr>
          <w:lang w:eastAsia="en-AU"/>
        </w:rPr>
        <w:t>DFSV-ICRO</w:t>
      </w:r>
      <w:r w:rsidR="00C3192B">
        <w:rPr>
          <w:lang w:eastAsia="en-AU"/>
        </w:rPr>
        <w:t xml:space="preserve">) so that </w:t>
      </w:r>
      <w:r>
        <w:rPr>
          <w:lang w:eastAsia="en-AU"/>
        </w:rPr>
        <w:t xml:space="preserve">relevant agencies – police, health, </w:t>
      </w:r>
      <w:r w:rsidR="00C3192B">
        <w:rPr>
          <w:lang w:eastAsia="en-AU"/>
        </w:rPr>
        <w:t>justice and territory families, housing and communities</w:t>
      </w:r>
      <w:r w:rsidR="00B4679E">
        <w:rPr>
          <w:lang w:eastAsia="en-AU"/>
        </w:rPr>
        <w:t xml:space="preserve"> – can </w:t>
      </w:r>
      <w:r>
        <w:rPr>
          <w:lang w:eastAsia="en-AU"/>
        </w:rPr>
        <w:t>work together with a single po</w:t>
      </w:r>
      <w:r w:rsidR="00DF5802">
        <w:rPr>
          <w:lang w:eastAsia="en-AU"/>
        </w:rPr>
        <w:t xml:space="preserve">int of accountability to prevent and respond to </w:t>
      </w:r>
      <w:r>
        <w:rPr>
          <w:lang w:eastAsia="en-AU"/>
        </w:rPr>
        <w:t xml:space="preserve">DFV.  </w:t>
      </w:r>
    </w:p>
    <w:p w14:paraId="67123E64" w14:textId="054DD8CA" w:rsidR="00644EC2" w:rsidRDefault="00756A00" w:rsidP="00756A00">
      <w:pPr>
        <w:rPr>
          <w:lang w:eastAsia="en-AU"/>
        </w:rPr>
      </w:pPr>
      <w:r>
        <w:rPr>
          <w:lang w:eastAsia="en-AU"/>
        </w:rPr>
        <w:t xml:space="preserve">The </w:t>
      </w:r>
      <w:r w:rsidR="00E37E7C">
        <w:rPr>
          <w:lang w:eastAsia="en-AU"/>
        </w:rPr>
        <w:t>DFSV-ICRO</w:t>
      </w:r>
      <w:r w:rsidR="008F47C4">
        <w:rPr>
          <w:lang w:eastAsia="en-AU"/>
        </w:rPr>
        <w:t xml:space="preserve"> is</w:t>
      </w:r>
      <w:r>
        <w:rPr>
          <w:lang w:eastAsia="en-AU"/>
        </w:rPr>
        <w:t xml:space="preserve"> located in the Government’s Reform Management Office </w:t>
      </w:r>
      <w:r w:rsidR="0015667A">
        <w:rPr>
          <w:lang w:eastAsia="en-AU"/>
        </w:rPr>
        <w:t xml:space="preserve">and staffed by representatives from police, health, </w:t>
      </w:r>
      <w:r w:rsidR="00B4679E">
        <w:rPr>
          <w:lang w:eastAsia="en-AU"/>
        </w:rPr>
        <w:t xml:space="preserve">education, </w:t>
      </w:r>
      <w:r w:rsidR="0015667A">
        <w:rPr>
          <w:lang w:eastAsia="en-AU"/>
        </w:rPr>
        <w:t xml:space="preserve">territory families and justice </w:t>
      </w:r>
      <w:r>
        <w:rPr>
          <w:lang w:eastAsia="en-AU"/>
        </w:rPr>
        <w:t xml:space="preserve">to facilitate </w:t>
      </w:r>
      <w:r w:rsidR="0015667A">
        <w:rPr>
          <w:lang w:eastAsia="en-AU"/>
        </w:rPr>
        <w:t xml:space="preserve">a more sophisticated approach to </w:t>
      </w:r>
      <w:r>
        <w:rPr>
          <w:lang w:eastAsia="en-AU"/>
        </w:rPr>
        <w:t>cross-a</w:t>
      </w:r>
      <w:r w:rsidR="00DA0FDD">
        <w:rPr>
          <w:lang w:eastAsia="en-AU"/>
        </w:rPr>
        <w:t>gency engagement and reform</w:t>
      </w:r>
      <w:r w:rsidR="00B4679E">
        <w:rPr>
          <w:lang w:eastAsia="en-AU"/>
        </w:rPr>
        <w:t xml:space="preserve"> than was </w:t>
      </w:r>
      <w:r w:rsidR="0015667A">
        <w:rPr>
          <w:lang w:eastAsia="en-AU"/>
        </w:rPr>
        <w:t>previously</w:t>
      </w:r>
      <w:r w:rsidR="00B4679E">
        <w:rPr>
          <w:lang w:eastAsia="en-AU"/>
        </w:rPr>
        <w:t xml:space="preserve"> possible</w:t>
      </w:r>
      <w:r w:rsidR="0015667A">
        <w:rPr>
          <w:lang w:eastAsia="en-AU"/>
        </w:rPr>
        <w:t>.</w:t>
      </w:r>
    </w:p>
    <w:p w14:paraId="3608BAFD" w14:textId="485965F7" w:rsidR="00756A00" w:rsidRDefault="00DA0FDD" w:rsidP="00693A7B">
      <w:pPr>
        <w:spacing w:after="120"/>
        <w:rPr>
          <w:lang w:eastAsia="en-AU"/>
        </w:rPr>
      </w:pPr>
      <w:r>
        <w:t xml:space="preserve">The </w:t>
      </w:r>
      <w:r w:rsidR="00E37E7C">
        <w:t>DFSV-ICRO</w:t>
      </w:r>
      <w:r w:rsidR="00756A00">
        <w:t xml:space="preserve"> </w:t>
      </w:r>
      <w:r>
        <w:rPr>
          <w:lang w:eastAsia="en-AU"/>
        </w:rPr>
        <w:t>will set</w:t>
      </w:r>
      <w:r w:rsidR="00756A00">
        <w:rPr>
          <w:lang w:eastAsia="en-AU"/>
        </w:rPr>
        <w:t xml:space="preserve"> out a whole-of-government reform agenda for DF</w:t>
      </w:r>
      <w:r w:rsidR="00B4679E">
        <w:rPr>
          <w:lang w:eastAsia="en-AU"/>
        </w:rPr>
        <w:t>S</w:t>
      </w:r>
      <w:r w:rsidR="00756A00">
        <w:rPr>
          <w:lang w:eastAsia="en-AU"/>
        </w:rPr>
        <w:t>V, including:</w:t>
      </w:r>
    </w:p>
    <w:p w14:paraId="07FA5EF8" w14:textId="77777777" w:rsidR="00756A00" w:rsidRDefault="00756A00" w:rsidP="0067521E">
      <w:pPr>
        <w:pStyle w:val="ListParagraph"/>
        <w:numPr>
          <w:ilvl w:val="0"/>
          <w:numId w:val="132"/>
        </w:numPr>
        <w:ind w:left="567" w:hanging="567"/>
      </w:pPr>
      <w:r>
        <w:t>map existing agency initiatives and investment on DFSV across all agencies;</w:t>
      </w:r>
    </w:p>
    <w:p w14:paraId="2B1A0884" w14:textId="77777777" w:rsidR="00756A00" w:rsidRDefault="00756A00" w:rsidP="0067521E">
      <w:pPr>
        <w:pStyle w:val="ListParagraph"/>
        <w:numPr>
          <w:ilvl w:val="0"/>
          <w:numId w:val="132"/>
        </w:numPr>
        <w:ind w:left="567" w:hanging="567"/>
      </w:pPr>
      <w:r>
        <w:t>co-ordinate and align NTG reforms on DFSV;</w:t>
      </w:r>
    </w:p>
    <w:p w14:paraId="20C5812D" w14:textId="77777777" w:rsidR="00756A00" w:rsidRDefault="00756A00" w:rsidP="0067521E">
      <w:pPr>
        <w:pStyle w:val="ListParagraph"/>
        <w:numPr>
          <w:ilvl w:val="0"/>
          <w:numId w:val="132"/>
        </w:numPr>
        <w:ind w:left="567" w:hanging="567"/>
      </w:pPr>
      <w:r>
        <w:t>establish a monitoring and evaluation framework for DFSV reform;</w:t>
      </w:r>
    </w:p>
    <w:p w14:paraId="53F9714A" w14:textId="77777777" w:rsidR="00756A00" w:rsidRDefault="00756A00" w:rsidP="0067521E">
      <w:pPr>
        <w:pStyle w:val="ListParagraph"/>
        <w:numPr>
          <w:ilvl w:val="0"/>
          <w:numId w:val="132"/>
        </w:numPr>
        <w:ind w:left="567" w:hanging="567"/>
      </w:pPr>
      <w:r>
        <w:t>develop a cross-agency funding bid to address gaps and priorities; and</w:t>
      </w:r>
    </w:p>
    <w:p w14:paraId="68B87D3F" w14:textId="768A3113" w:rsidR="00756A00" w:rsidRDefault="00756A00" w:rsidP="0067521E">
      <w:pPr>
        <w:pStyle w:val="ListParagraph"/>
        <w:numPr>
          <w:ilvl w:val="0"/>
          <w:numId w:val="132"/>
        </w:numPr>
        <w:spacing w:after="200"/>
        <w:ind w:left="567" w:hanging="567"/>
      </w:pPr>
      <w:r>
        <w:t>advise on a cross-agency co-ordination and governance mechanism for DFSV going forward.</w:t>
      </w:r>
    </w:p>
    <w:p w14:paraId="08A9BAFF" w14:textId="7DEB3214" w:rsidR="00756A00" w:rsidRDefault="00756A00" w:rsidP="00756A00">
      <w:pPr>
        <w:rPr>
          <w:lang w:eastAsia="en-AU"/>
        </w:rPr>
      </w:pPr>
      <w:r>
        <w:rPr>
          <w:lang w:eastAsia="en-AU"/>
        </w:rPr>
        <w:t xml:space="preserve">The </w:t>
      </w:r>
      <w:r w:rsidR="00E37E7C">
        <w:rPr>
          <w:lang w:eastAsia="en-AU"/>
        </w:rPr>
        <w:t>DFSV-ICRO</w:t>
      </w:r>
      <w:r w:rsidR="00DF5802">
        <w:rPr>
          <w:lang w:eastAsia="en-AU"/>
        </w:rPr>
        <w:t xml:space="preserve"> will strengthen </w:t>
      </w:r>
      <w:r>
        <w:rPr>
          <w:lang w:eastAsia="en-AU"/>
        </w:rPr>
        <w:t xml:space="preserve">full and effective implementation of the NT’s whole-of-government response to DFV through the NT’s </w:t>
      </w:r>
      <w:r w:rsidRPr="00E41D49">
        <w:rPr>
          <w:i/>
          <w:lang w:eastAsia="en-AU"/>
        </w:rPr>
        <w:t>Domestic Family and Sexual Violen</w:t>
      </w:r>
      <w:r w:rsidR="00693A7B">
        <w:rPr>
          <w:i/>
          <w:lang w:eastAsia="en-AU"/>
        </w:rPr>
        <w:t>ce Reduction Framework 2018</w:t>
      </w:r>
      <w:r w:rsidR="00693A7B">
        <w:rPr>
          <w:i/>
          <w:lang w:eastAsia="en-AU"/>
        </w:rPr>
        <w:noBreakHyphen/>
      </w:r>
      <w:r>
        <w:rPr>
          <w:i/>
          <w:lang w:eastAsia="en-AU"/>
        </w:rPr>
        <w:t xml:space="preserve">2028: </w:t>
      </w:r>
      <w:r w:rsidRPr="0014418C">
        <w:rPr>
          <w:i/>
          <w:iCs/>
          <w:lang w:eastAsia="en-AU"/>
        </w:rPr>
        <w:t>Safe, Respected and Free of Violence.</w:t>
      </w:r>
      <w:r>
        <w:rPr>
          <w:i/>
          <w:lang w:eastAsia="en-AU"/>
        </w:rPr>
        <w:t xml:space="preserve">  </w:t>
      </w:r>
    </w:p>
    <w:p w14:paraId="72778BB2" w14:textId="59440CCF" w:rsidR="00756A00" w:rsidRDefault="00756A00" w:rsidP="00693A7B">
      <w:pPr>
        <w:spacing w:after="120"/>
        <w:rPr>
          <w:lang w:eastAsia="en-AU"/>
        </w:rPr>
      </w:pPr>
      <w:r>
        <w:rPr>
          <w:lang w:eastAsia="en-AU"/>
        </w:rPr>
        <w:t>The Framework aims to achieve five outcomes over the ten</w:t>
      </w:r>
      <w:r w:rsidR="0015667A">
        <w:rPr>
          <w:lang w:eastAsia="en-AU"/>
        </w:rPr>
        <w:t>-</w:t>
      </w:r>
      <w:r>
        <w:rPr>
          <w:lang w:eastAsia="en-AU"/>
        </w:rPr>
        <w:t>year life of the plan:</w:t>
      </w:r>
    </w:p>
    <w:p w14:paraId="6F371B4E" w14:textId="77777777" w:rsidR="00756A00" w:rsidRDefault="00756A00" w:rsidP="0067521E">
      <w:pPr>
        <w:pStyle w:val="ListParagraph"/>
        <w:numPr>
          <w:ilvl w:val="0"/>
          <w:numId w:val="133"/>
        </w:numPr>
        <w:ind w:left="567" w:hanging="567"/>
        <w:rPr>
          <w:lang w:eastAsia="en-AU"/>
        </w:rPr>
      </w:pPr>
      <w:r>
        <w:rPr>
          <w:lang w:eastAsia="en-AU"/>
        </w:rPr>
        <w:t>Outcome 1: Domestic, family and sexual violence (DFSV) is prevented and not tolerated.</w:t>
      </w:r>
    </w:p>
    <w:p w14:paraId="301F720D" w14:textId="51BFC7E4" w:rsidR="00756A00" w:rsidRDefault="00756A00" w:rsidP="0067521E">
      <w:pPr>
        <w:pStyle w:val="ListParagraph"/>
        <w:numPr>
          <w:ilvl w:val="0"/>
          <w:numId w:val="133"/>
        </w:numPr>
        <w:ind w:left="567" w:hanging="567"/>
        <w:rPr>
          <w:lang w:eastAsia="en-AU"/>
        </w:rPr>
      </w:pPr>
      <w:r>
        <w:rPr>
          <w:lang w:eastAsia="en-AU"/>
        </w:rPr>
        <w:t>Outcome 2: Territorians at risk of experiencing violence are identified early and provided with effective interventions</w:t>
      </w:r>
      <w:r w:rsidR="00693A7B">
        <w:rPr>
          <w:lang w:eastAsia="en-AU"/>
        </w:rPr>
        <w:t>.</w:t>
      </w:r>
    </w:p>
    <w:p w14:paraId="41673A29" w14:textId="34691AC8" w:rsidR="00756A00" w:rsidRDefault="00756A00" w:rsidP="0067521E">
      <w:pPr>
        <w:pStyle w:val="ListParagraph"/>
        <w:numPr>
          <w:ilvl w:val="0"/>
          <w:numId w:val="133"/>
        </w:numPr>
        <w:ind w:left="567" w:hanging="567"/>
        <w:rPr>
          <w:lang w:eastAsia="en-AU"/>
        </w:rPr>
      </w:pPr>
      <w:r>
        <w:rPr>
          <w:lang w:eastAsia="en-AU"/>
        </w:rPr>
        <w:t>Outcome 3: People experiencing DFSV are protected and helped to recover and thrive</w:t>
      </w:r>
      <w:r w:rsidR="00693A7B">
        <w:rPr>
          <w:lang w:eastAsia="en-AU"/>
        </w:rPr>
        <w:t>.</w:t>
      </w:r>
    </w:p>
    <w:p w14:paraId="302EFDC7" w14:textId="382358B2" w:rsidR="00756A00" w:rsidRDefault="00756A00" w:rsidP="0067521E">
      <w:pPr>
        <w:pStyle w:val="ListParagraph"/>
        <w:numPr>
          <w:ilvl w:val="0"/>
          <w:numId w:val="133"/>
        </w:numPr>
        <w:ind w:left="567" w:hanging="567"/>
        <w:rPr>
          <w:lang w:eastAsia="en-AU"/>
        </w:rPr>
      </w:pPr>
      <w:r>
        <w:rPr>
          <w:lang w:eastAsia="en-AU"/>
        </w:rPr>
        <w:t>Outcome 4: Perpetrators are held accountable and connected early to responses that change their behaviours and reduce violence</w:t>
      </w:r>
      <w:r w:rsidR="00693A7B">
        <w:rPr>
          <w:lang w:eastAsia="en-AU"/>
        </w:rPr>
        <w:t>.</w:t>
      </w:r>
    </w:p>
    <w:p w14:paraId="15CA8EB1" w14:textId="77777777" w:rsidR="00756A00" w:rsidRDefault="00756A00" w:rsidP="0067521E">
      <w:pPr>
        <w:pStyle w:val="ListParagraph"/>
        <w:numPr>
          <w:ilvl w:val="0"/>
          <w:numId w:val="133"/>
        </w:numPr>
        <w:spacing w:after="200"/>
        <w:ind w:left="567" w:hanging="567"/>
        <w:rPr>
          <w:lang w:eastAsia="en-AU"/>
        </w:rPr>
      </w:pPr>
      <w:r>
        <w:rPr>
          <w:lang w:eastAsia="en-AU"/>
        </w:rPr>
        <w:t>Outcome 5: Legislation, police and funding models enable a responsive, high quality and accountable DFSV service system.</w:t>
      </w:r>
    </w:p>
    <w:p w14:paraId="16D0D626" w14:textId="48F9CC2D" w:rsidR="00756A00" w:rsidRDefault="00756A00" w:rsidP="00756A00">
      <w:r>
        <w:t xml:space="preserve">The </w:t>
      </w:r>
      <w:r w:rsidR="00E37E7C">
        <w:t>DFSV-ICRO</w:t>
      </w:r>
      <w:r>
        <w:t xml:space="preserve"> will develop Action Plan 2 under the Framework.  The </w:t>
      </w:r>
      <w:r w:rsidR="00E37E7C">
        <w:t>DFSV-ICRO</w:t>
      </w:r>
      <w:r>
        <w:t xml:space="preserve"> will not take over the work of other agencies in addressing DFV. </w:t>
      </w:r>
      <w:r w:rsidR="00693A7B">
        <w:t xml:space="preserve"> </w:t>
      </w:r>
      <w:r>
        <w:t>Rather it is intended to ensure that DFSV activities undertaken by each agency as part of their normal functions are fully aligned and underpinned by a common policy framework</w:t>
      </w:r>
      <w:r w:rsidR="00644EC2">
        <w:t>, reform agenda</w:t>
      </w:r>
      <w:r>
        <w:t xml:space="preserve"> and implementation plan that represents best practice. </w:t>
      </w:r>
      <w:r w:rsidR="00693A7B">
        <w:t xml:space="preserve"> </w:t>
      </w:r>
      <w:r w:rsidR="00DA0FDD">
        <w:t>It will also provide a common approach to the identification of priorities for investment.</w:t>
      </w:r>
    </w:p>
    <w:p w14:paraId="64B42BF8" w14:textId="759EF445" w:rsidR="00756A00" w:rsidRDefault="00756A00" w:rsidP="00756A00">
      <w:pPr>
        <w:rPr>
          <w:iCs/>
        </w:rPr>
      </w:pPr>
      <w:r>
        <w:rPr>
          <w:iCs/>
        </w:rPr>
        <w:lastRenderedPageBreak/>
        <w:t xml:space="preserve">The proposals </w:t>
      </w:r>
      <w:r w:rsidR="00FA0FA9">
        <w:rPr>
          <w:iCs/>
        </w:rPr>
        <w:t xml:space="preserve">set out </w:t>
      </w:r>
      <w:r>
        <w:rPr>
          <w:iCs/>
        </w:rPr>
        <w:t xml:space="preserve">in this </w:t>
      </w:r>
      <w:r w:rsidR="0015667A">
        <w:rPr>
          <w:iCs/>
        </w:rPr>
        <w:t>paper</w:t>
      </w:r>
      <w:r>
        <w:rPr>
          <w:iCs/>
        </w:rPr>
        <w:t xml:space="preserve"> are aligned with the work of the </w:t>
      </w:r>
      <w:r w:rsidR="00E37E7C">
        <w:rPr>
          <w:iCs/>
        </w:rPr>
        <w:t>DFSV-ICRO</w:t>
      </w:r>
      <w:r>
        <w:rPr>
          <w:iCs/>
        </w:rPr>
        <w:t xml:space="preserve">, and it is expected that priority proposals will be considered and further developed as part of </w:t>
      </w:r>
      <w:r w:rsidR="00E37E7C">
        <w:rPr>
          <w:iCs/>
        </w:rPr>
        <w:t>DFSV-ICRO</w:t>
      </w:r>
      <w:r>
        <w:rPr>
          <w:iCs/>
        </w:rPr>
        <w:t>s work.</w:t>
      </w:r>
    </w:p>
    <w:p w14:paraId="6E0DF1C0" w14:textId="2EDF7F09" w:rsidR="00A77596" w:rsidRPr="006F52FB" w:rsidRDefault="00A77596" w:rsidP="00756A00">
      <w:pPr>
        <w:rPr>
          <w:iCs/>
        </w:rPr>
      </w:pPr>
      <w:r>
        <w:rPr>
          <w:iCs/>
        </w:rPr>
        <w:t>The proposals for systems reforms (SR) are set out below.</w:t>
      </w:r>
    </w:p>
    <w:p w14:paraId="6F07C3D3" w14:textId="79169F18" w:rsidR="00756A00" w:rsidRDefault="00C3192B" w:rsidP="00693A7B">
      <w:pPr>
        <w:pStyle w:val="Heading4"/>
        <w:keepNext/>
        <w:numPr>
          <w:ilvl w:val="0"/>
          <w:numId w:val="0"/>
        </w:numPr>
        <w:spacing w:after="0" w:line="259" w:lineRule="auto"/>
        <w:ind w:left="862" w:hanging="862"/>
        <w:rPr>
          <w:lang w:eastAsia="en-AU"/>
        </w:rPr>
      </w:pPr>
      <w:r>
        <w:rPr>
          <w:lang w:eastAsia="en-AU"/>
        </w:rPr>
        <w:t xml:space="preserve">PROPOSAL </w:t>
      </w:r>
      <w:r w:rsidR="00A77596">
        <w:rPr>
          <w:lang w:eastAsia="en-AU"/>
        </w:rPr>
        <w:t>SR</w:t>
      </w:r>
      <w:r w:rsidR="00CB7055">
        <w:rPr>
          <w:lang w:eastAsia="en-AU"/>
        </w:rPr>
        <w:t xml:space="preserve"> 1</w:t>
      </w:r>
      <w:r>
        <w:rPr>
          <w:lang w:eastAsia="en-AU"/>
        </w:rPr>
        <w:t xml:space="preserve"> </w:t>
      </w:r>
    </w:p>
    <w:p w14:paraId="4786920A" w14:textId="65915AE1" w:rsidR="00C3192B" w:rsidRPr="00630093" w:rsidRDefault="00756A00" w:rsidP="00693A7B">
      <w:pPr>
        <w:spacing w:after="0" w:line="259" w:lineRule="auto"/>
        <w:rPr>
          <w:b/>
        </w:rPr>
      </w:pPr>
      <w:r w:rsidRPr="00630093">
        <w:rPr>
          <w:b/>
        </w:rPr>
        <w:t xml:space="preserve">It is proposed </w:t>
      </w:r>
      <w:r w:rsidR="00A505C7" w:rsidRPr="00630093">
        <w:rPr>
          <w:b/>
        </w:rPr>
        <w:t xml:space="preserve">that the </w:t>
      </w:r>
      <w:r w:rsidR="00B86EE9">
        <w:rPr>
          <w:b/>
        </w:rPr>
        <w:t>systems</w:t>
      </w:r>
      <w:r w:rsidR="00A505C7" w:rsidRPr="00630093">
        <w:rPr>
          <w:b/>
        </w:rPr>
        <w:t xml:space="preserve"> reforms</w:t>
      </w:r>
      <w:r w:rsidR="00822CE9" w:rsidRPr="00630093">
        <w:rPr>
          <w:b/>
        </w:rPr>
        <w:t xml:space="preserve"> identified in </w:t>
      </w:r>
      <w:r w:rsidR="00A505C7" w:rsidRPr="00630093">
        <w:rPr>
          <w:b/>
        </w:rPr>
        <w:t>this review are integrated in</w:t>
      </w:r>
      <w:r w:rsidR="00FA0FA9">
        <w:rPr>
          <w:b/>
        </w:rPr>
        <w:t>to</w:t>
      </w:r>
      <w:r w:rsidRPr="00630093">
        <w:rPr>
          <w:b/>
        </w:rPr>
        <w:t xml:space="preserve"> </w:t>
      </w:r>
      <w:r w:rsidR="00FA0FA9">
        <w:rPr>
          <w:b/>
        </w:rPr>
        <w:t xml:space="preserve">the </w:t>
      </w:r>
      <w:r w:rsidR="00E37E7C">
        <w:rPr>
          <w:b/>
        </w:rPr>
        <w:t>DFSV-ICRO</w:t>
      </w:r>
      <w:r w:rsidR="00FA0FA9">
        <w:rPr>
          <w:b/>
        </w:rPr>
        <w:t xml:space="preserve"> </w:t>
      </w:r>
      <w:r w:rsidR="00A505C7" w:rsidRPr="00630093">
        <w:rPr>
          <w:b/>
        </w:rPr>
        <w:t>reform agenda</w:t>
      </w:r>
      <w:r w:rsidRPr="00630093">
        <w:rPr>
          <w:b/>
        </w:rPr>
        <w:t xml:space="preserve">. </w:t>
      </w:r>
    </w:p>
    <w:p w14:paraId="64D8D12C" w14:textId="338F97BE" w:rsidR="00A80BF3" w:rsidRPr="00F62569" w:rsidRDefault="00756A00" w:rsidP="00756A00">
      <w:pPr>
        <w:pStyle w:val="Heading3"/>
        <w:rPr>
          <w:rStyle w:val="Emphasis"/>
          <w:i w:val="0"/>
          <w:iCs w:val="0"/>
        </w:rPr>
      </w:pPr>
      <w:bookmarkStart w:id="98" w:name="_Toc112051882"/>
      <w:r w:rsidRPr="00A2562C">
        <w:t>Aboriginal Justice Agreement</w:t>
      </w:r>
      <w:r w:rsidR="00693A7B">
        <w:t xml:space="preserve"> (AJA)</w:t>
      </w:r>
      <w:bookmarkEnd w:id="98"/>
    </w:p>
    <w:p w14:paraId="79638535" w14:textId="6054DCA5" w:rsidR="00A60741" w:rsidRDefault="007B4FA4" w:rsidP="00923F64">
      <w:pPr>
        <w:rPr>
          <w:rStyle w:val="Emphasis"/>
          <w:i w:val="0"/>
        </w:rPr>
      </w:pPr>
      <w:r>
        <w:rPr>
          <w:rStyle w:val="Emphasis"/>
          <w:i w:val="0"/>
        </w:rPr>
        <w:t xml:space="preserve">DFV is a major reason why Aboriginal people come into contact with the justice system.  </w:t>
      </w:r>
      <w:r w:rsidR="00ED754B">
        <w:rPr>
          <w:rStyle w:val="Emphasis"/>
          <w:i w:val="0"/>
        </w:rPr>
        <w:t>To improve the justice response</w:t>
      </w:r>
      <w:r w:rsidR="009C6C5B">
        <w:rPr>
          <w:rStyle w:val="Emphasis"/>
          <w:i w:val="0"/>
        </w:rPr>
        <w:t xml:space="preserve"> </w:t>
      </w:r>
      <w:r w:rsidR="00ED754B">
        <w:rPr>
          <w:rStyle w:val="Emphasis"/>
          <w:i w:val="0"/>
        </w:rPr>
        <w:t xml:space="preserve">there is a need to ensure alignment </w:t>
      </w:r>
      <w:r w:rsidR="00923F64">
        <w:rPr>
          <w:rStyle w:val="Emphasis"/>
          <w:i w:val="0"/>
        </w:rPr>
        <w:t xml:space="preserve">between DFV reform and </w:t>
      </w:r>
      <w:r w:rsidR="00693A7B">
        <w:rPr>
          <w:rStyle w:val="Emphasis"/>
          <w:i w:val="0"/>
        </w:rPr>
        <w:t xml:space="preserve">the </w:t>
      </w:r>
      <w:r w:rsidR="00DD5B5A">
        <w:rPr>
          <w:rStyle w:val="Emphasis"/>
          <w:i w:val="0"/>
        </w:rPr>
        <w:t>AJA</w:t>
      </w:r>
      <w:r>
        <w:rPr>
          <w:rStyle w:val="Emphasis"/>
          <w:i w:val="0"/>
        </w:rPr>
        <w:t>.</w:t>
      </w:r>
    </w:p>
    <w:p w14:paraId="77512461" w14:textId="7343BB70" w:rsidR="009C6C5B" w:rsidRDefault="00EE5327" w:rsidP="009C6C5B">
      <w:pPr>
        <w:rPr>
          <w:lang w:eastAsia="en-AU"/>
        </w:rPr>
      </w:pPr>
      <w:r w:rsidRPr="00EE5327">
        <w:rPr>
          <w:rStyle w:val="Emphasis"/>
          <w:i w:val="0"/>
        </w:rPr>
        <w:t>The majority</w:t>
      </w:r>
      <w:r w:rsidR="00570474" w:rsidRPr="00EE5327">
        <w:rPr>
          <w:rStyle w:val="Emphasis"/>
          <w:i w:val="0"/>
        </w:rPr>
        <w:t xml:space="preserve"> of DFV victims in the NT are Aboriginal women.</w:t>
      </w:r>
      <w:r w:rsidR="00570474">
        <w:rPr>
          <w:rStyle w:val="Emphasis"/>
          <w:i w:val="0"/>
        </w:rPr>
        <w:t xml:space="preserve"> </w:t>
      </w:r>
      <w:r w:rsidR="00693A7B">
        <w:rPr>
          <w:rStyle w:val="Emphasis"/>
          <w:i w:val="0"/>
        </w:rPr>
        <w:t xml:space="preserve"> </w:t>
      </w:r>
      <w:r w:rsidR="009C6C5B">
        <w:rPr>
          <w:rStyle w:val="Emphasis"/>
          <w:i w:val="0"/>
        </w:rPr>
        <w:t xml:space="preserve">The </w:t>
      </w:r>
      <w:r w:rsidR="00E929F9">
        <w:rPr>
          <w:rStyle w:val="Emphasis"/>
          <w:i w:val="0"/>
        </w:rPr>
        <w:t xml:space="preserve">Territory </w:t>
      </w:r>
      <w:r w:rsidR="009C6C5B">
        <w:rPr>
          <w:lang w:eastAsia="en-AU"/>
        </w:rPr>
        <w:t>Coroner has identified that from August 2000 through to August 2019 there were 65 Aboriginal women killed by a current or former partner.</w:t>
      </w:r>
      <w:r w:rsidR="009C6C5B">
        <w:rPr>
          <w:rStyle w:val="FootnoteReference"/>
          <w:lang w:eastAsia="en-AU"/>
        </w:rPr>
        <w:footnoteReference w:id="197"/>
      </w:r>
      <w:r w:rsidR="009C6C5B">
        <w:rPr>
          <w:lang w:eastAsia="en-AU"/>
        </w:rPr>
        <w:t xml:space="preserve">  </w:t>
      </w:r>
    </w:p>
    <w:p w14:paraId="65A45431" w14:textId="34BC383E" w:rsidR="00A60741" w:rsidRPr="00A60741" w:rsidRDefault="00923F64" w:rsidP="00A60741">
      <w:pPr>
        <w:rPr>
          <w:iCs/>
        </w:rPr>
      </w:pPr>
      <w:r>
        <w:rPr>
          <w:rStyle w:val="Emphasis"/>
          <w:i w:val="0"/>
        </w:rPr>
        <w:t xml:space="preserve">The majority of defendants in DFV-related criminal matters are also Aboriginal.  </w:t>
      </w:r>
      <w:r w:rsidR="00A60741">
        <w:t xml:space="preserve">The prison census shows that </w:t>
      </w:r>
      <w:r w:rsidR="009C6C5B">
        <w:t xml:space="preserve">on 30 June 2021, </w:t>
      </w:r>
      <w:r w:rsidR="00A60741">
        <w:t>63</w:t>
      </w:r>
      <w:r w:rsidR="00693A7B">
        <w:t> per cent</w:t>
      </w:r>
      <w:r w:rsidR="009C6C5B">
        <w:t xml:space="preserve"> </w:t>
      </w:r>
      <w:r w:rsidR="00A60741">
        <w:t>of NT prisoners were held for DFV related offences</w:t>
      </w:r>
      <w:r w:rsidR="00A60741">
        <w:rPr>
          <w:rStyle w:val="FootnoteReference"/>
          <w:lang w:eastAsia="en-AU"/>
        </w:rPr>
        <w:footnoteReference w:id="198"/>
      </w:r>
      <w:r w:rsidR="00A60741">
        <w:t xml:space="preserve"> and over 90</w:t>
      </w:r>
      <w:r w:rsidR="00693A7B">
        <w:t xml:space="preserve"> per cent </w:t>
      </w:r>
      <w:r w:rsidR="00A60741">
        <w:t xml:space="preserve">of those </w:t>
      </w:r>
      <w:r w:rsidR="009C6C5B">
        <w:t>were</w:t>
      </w:r>
      <w:r w:rsidR="00A60741">
        <w:t xml:space="preserve"> Aboriginal.</w:t>
      </w:r>
      <w:r w:rsidR="00A60741">
        <w:rPr>
          <w:rStyle w:val="FootnoteReference"/>
        </w:rPr>
        <w:footnoteReference w:id="199"/>
      </w:r>
      <w:r w:rsidR="00A60741">
        <w:t xml:space="preserve"> </w:t>
      </w:r>
    </w:p>
    <w:p w14:paraId="1F7B8B28" w14:textId="3E6F1F20" w:rsidR="00756A00" w:rsidRPr="00E22C5D" w:rsidRDefault="00756A00" w:rsidP="00693A7B">
      <w:pPr>
        <w:spacing w:after="120"/>
        <w:rPr>
          <w:rStyle w:val="Emphasis"/>
          <w:i w:val="0"/>
        </w:rPr>
      </w:pPr>
      <w:r w:rsidRPr="00E22C5D">
        <w:rPr>
          <w:rStyle w:val="Emphasis"/>
          <w:i w:val="0"/>
        </w:rPr>
        <w:t>In 2021</w:t>
      </w:r>
      <w:r w:rsidR="00693A7B">
        <w:rPr>
          <w:rStyle w:val="Emphasis"/>
          <w:i w:val="0"/>
        </w:rPr>
        <w:t>,</w:t>
      </w:r>
      <w:r w:rsidRPr="00E22C5D">
        <w:rPr>
          <w:rStyle w:val="Emphasis"/>
          <w:i w:val="0"/>
        </w:rPr>
        <w:t xml:space="preserve"> the Government committed to a seven-year AJA</w:t>
      </w:r>
      <w:r>
        <w:rPr>
          <w:rStyle w:val="FootnoteReference"/>
          <w:iCs/>
        </w:rPr>
        <w:footnoteReference w:id="200"/>
      </w:r>
      <w:r w:rsidRPr="00E22C5D">
        <w:rPr>
          <w:rStyle w:val="Emphasis"/>
          <w:i w:val="0"/>
        </w:rPr>
        <w:t xml:space="preserve"> after an extensive two-year community consultation process across the NT.  The AJA aims to:</w:t>
      </w:r>
    </w:p>
    <w:p w14:paraId="619639B2" w14:textId="74D6306B" w:rsidR="00756A00" w:rsidRPr="00AF1DA4" w:rsidRDefault="00693A7B" w:rsidP="0067521E">
      <w:pPr>
        <w:pStyle w:val="ListParagraph"/>
        <w:numPr>
          <w:ilvl w:val="0"/>
          <w:numId w:val="134"/>
        </w:numPr>
        <w:rPr>
          <w:rStyle w:val="Emphasis"/>
          <w:rFonts w:eastAsia="Calibri"/>
          <w:i w:val="0"/>
          <w:iCs/>
        </w:rPr>
      </w:pPr>
      <w:r w:rsidRPr="00AF1DA4">
        <w:rPr>
          <w:rStyle w:val="Emphasis"/>
          <w:i w:val="0"/>
        </w:rPr>
        <w:t xml:space="preserve">reduce </w:t>
      </w:r>
      <w:r w:rsidR="00756A00" w:rsidRPr="00AF1DA4">
        <w:rPr>
          <w:rStyle w:val="Emphasis"/>
          <w:i w:val="0"/>
        </w:rPr>
        <w:t>offending and imprisonment of Aboriginal Territorians</w:t>
      </w:r>
    </w:p>
    <w:p w14:paraId="5B305C65" w14:textId="550DBE4F" w:rsidR="00756A00" w:rsidRPr="00AF1DA4" w:rsidRDefault="00693A7B" w:rsidP="0067521E">
      <w:pPr>
        <w:pStyle w:val="ListParagraph"/>
        <w:numPr>
          <w:ilvl w:val="0"/>
          <w:numId w:val="134"/>
        </w:numPr>
        <w:rPr>
          <w:rStyle w:val="Emphasis"/>
          <w:i w:val="0"/>
        </w:rPr>
      </w:pPr>
      <w:r w:rsidRPr="00AF1DA4">
        <w:rPr>
          <w:rStyle w:val="Emphasis"/>
          <w:i w:val="0"/>
        </w:rPr>
        <w:t xml:space="preserve">engage </w:t>
      </w:r>
      <w:r w:rsidR="00756A00" w:rsidRPr="00AF1DA4">
        <w:rPr>
          <w:rStyle w:val="Emphasis"/>
          <w:i w:val="0"/>
        </w:rPr>
        <w:t>and support Aboriginal Leadership</w:t>
      </w:r>
    </w:p>
    <w:p w14:paraId="69557CC2" w14:textId="30A9BB2A" w:rsidR="00756A00" w:rsidRPr="00AF1DA4" w:rsidRDefault="00693A7B" w:rsidP="0067521E">
      <w:pPr>
        <w:pStyle w:val="ListParagraph"/>
        <w:numPr>
          <w:ilvl w:val="0"/>
          <w:numId w:val="134"/>
        </w:numPr>
        <w:spacing w:after="200"/>
        <w:ind w:left="714" w:hanging="357"/>
        <w:rPr>
          <w:rStyle w:val="Emphasis"/>
          <w:i w:val="0"/>
        </w:rPr>
      </w:pPr>
      <w:r w:rsidRPr="00AF1DA4">
        <w:rPr>
          <w:rStyle w:val="Emphasis"/>
          <w:i w:val="0"/>
        </w:rPr>
        <w:t xml:space="preserve">improve </w:t>
      </w:r>
      <w:r w:rsidR="00756A00" w:rsidRPr="00AF1DA4">
        <w:rPr>
          <w:rStyle w:val="Emphasis"/>
          <w:i w:val="0"/>
        </w:rPr>
        <w:t>justice responses and services for Aboriginal Territorians.</w:t>
      </w:r>
    </w:p>
    <w:p w14:paraId="50E70BFC" w14:textId="611DF219" w:rsidR="00E408EC" w:rsidRDefault="00756A00" w:rsidP="00756A00">
      <w:pPr>
        <w:rPr>
          <w:lang w:eastAsia="en-AU"/>
        </w:rPr>
      </w:pPr>
      <w:r w:rsidRPr="0004791E">
        <w:rPr>
          <w:rStyle w:val="Emphasis"/>
          <w:i w:val="0"/>
        </w:rPr>
        <w:t>The AJA Action Plan 2021-2022 includes a commitment to reduce DFV offending, particularly through the development of a non-custodial</w:t>
      </w:r>
      <w:r w:rsidRPr="0004791E">
        <w:rPr>
          <w:i/>
          <w:lang w:eastAsia="en-AU"/>
        </w:rPr>
        <w:t xml:space="preserve"> </w:t>
      </w:r>
      <w:r w:rsidRPr="0004791E">
        <w:rPr>
          <w:lang w:eastAsia="en-AU"/>
        </w:rPr>
        <w:t>facility</w:t>
      </w:r>
      <w:r w:rsidRPr="0004791E">
        <w:rPr>
          <w:i/>
          <w:lang w:eastAsia="en-AU"/>
        </w:rPr>
        <w:t xml:space="preserve"> in</w:t>
      </w:r>
      <w:r w:rsidRPr="0004791E">
        <w:rPr>
          <w:lang w:eastAsia="en-AU"/>
        </w:rPr>
        <w:t xml:space="preserve"> Alice Springs to help DFV offenders to change their behaviour and the further development of cultural</w:t>
      </w:r>
      <w:r w:rsidR="00C24BE7">
        <w:rPr>
          <w:lang w:eastAsia="en-AU"/>
        </w:rPr>
        <w:t>ly</w:t>
      </w:r>
      <w:r w:rsidRPr="0004791E">
        <w:rPr>
          <w:lang w:eastAsia="en-AU"/>
        </w:rPr>
        <w:t>-appropriate evidence-based programs which are more accessible to offenders.</w:t>
      </w:r>
    </w:p>
    <w:p w14:paraId="0A7C2BA7" w14:textId="034D359C" w:rsidR="00756A00" w:rsidRDefault="00756A00" w:rsidP="00756A00">
      <w:pPr>
        <w:rPr>
          <w:lang w:eastAsia="en-AU"/>
        </w:rPr>
      </w:pPr>
      <w:r>
        <w:rPr>
          <w:lang w:eastAsia="en-AU"/>
        </w:rPr>
        <w:t xml:space="preserve">Perpetrator programs have remained the most under-developed part of the DFV response in the NT and there </w:t>
      </w:r>
      <w:r w:rsidR="001E5E40">
        <w:rPr>
          <w:lang w:eastAsia="en-AU"/>
        </w:rPr>
        <w:t xml:space="preserve">is </w:t>
      </w:r>
      <w:r>
        <w:rPr>
          <w:lang w:eastAsia="en-AU"/>
        </w:rPr>
        <w:t>a need to expand the number of programs, the number of places and the quality of programs to ensure the safety of victims and the accountability of offenders is prioritised.  Programs that are not rigorously committed to victim safety and offender accountability</w:t>
      </w:r>
      <w:r w:rsidR="001E5E40">
        <w:rPr>
          <w:lang w:eastAsia="en-AU"/>
        </w:rPr>
        <w:t>, or do not create a culturally safe and competent learning environment for participants,</w:t>
      </w:r>
      <w:r>
        <w:rPr>
          <w:lang w:eastAsia="en-AU"/>
        </w:rPr>
        <w:t xml:space="preserve"> may be doing more harm than good.  </w:t>
      </w:r>
    </w:p>
    <w:p w14:paraId="58A3673B" w14:textId="77777777" w:rsidR="00756A00" w:rsidRDefault="00756A00" w:rsidP="00B37B16">
      <w:pPr>
        <w:spacing w:after="120"/>
        <w:rPr>
          <w:lang w:eastAsia="en-AU"/>
        </w:rPr>
      </w:pPr>
      <w:r>
        <w:rPr>
          <w:lang w:eastAsia="en-AU"/>
        </w:rPr>
        <w:t>It is important that DFV reform and reforms under the AJA are properly aligned so that:</w:t>
      </w:r>
    </w:p>
    <w:p w14:paraId="0FBC19CE" w14:textId="77777777" w:rsidR="00756A00" w:rsidRDefault="00756A00" w:rsidP="0067521E">
      <w:pPr>
        <w:pStyle w:val="ListParagraph"/>
        <w:numPr>
          <w:ilvl w:val="0"/>
          <w:numId w:val="135"/>
        </w:numPr>
        <w:ind w:left="567" w:hanging="567"/>
        <w:rPr>
          <w:lang w:eastAsia="en-AU"/>
        </w:rPr>
      </w:pPr>
      <w:r>
        <w:rPr>
          <w:lang w:eastAsia="en-AU"/>
        </w:rPr>
        <w:t xml:space="preserve">DFV reforms are informed by the experiences of Aboriginal people in the NT, and that policies and actions to address DFV are culturally safety and competent; and </w:t>
      </w:r>
    </w:p>
    <w:p w14:paraId="3E369F5F" w14:textId="5E0240DB" w:rsidR="00756A00" w:rsidRDefault="00693A7B" w:rsidP="0067521E">
      <w:pPr>
        <w:pStyle w:val="ListParagraph"/>
        <w:numPr>
          <w:ilvl w:val="0"/>
          <w:numId w:val="135"/>
        </w:numPr>
        <w:ind w:left="567" w:hanging="567"/>
        <w:rPr>
          <w:lang w:eastAsia="en-AU"/>
        </w:rPr>
      </w:pPr>
      <w:r>
        <w:rPr>
          <w:lang w:eastAsia="en-AU"/>
        </w:rPr>
        <w:t xml:space="preserve">reforms </w:t>
      </w:r>
      <w:r w:rsidR="00756A00">
        <w:rPr>
          <w:lang w:eastAsia="en-AU"/>
        </w:rPr>
        <w:t xml:space="preserve">occurring through the AJA are informed by specialist expertise on DFV, so that the safety of Aboriginal victim-survivors </w:t>
      </w:r>
      <w:r w:rsidR="00487E97">
        <w:rPr>
          <w:lang w:eastAsia="en-AU"/>
        </w:rPr>
        <w:t>can be</w:t>
      </w:r>
      <w:r w:rsidR="00756A00">
        <w:rPr>
          <w:lang w:eastAsia="en-AU"/>
        </w:rPr>
        <w:t xml:space="preserve"> prioritised and offenders are supported to take responsibility for their actions.</w:t>
      </w:r>
    </w:p>
    <w:p w14:paraId="57805F8B" w14:textId="100F8BAA" w:rsidR="005F60D8" w:rsidRDefault="00487E97" w:rsidP="00F4057F">
      <w:pPr>
        <w:rPr>
          <w:lang w:eastAsia="en-AU"/>
        </w:rPr>
      </w:pPr>
      <w:r>
        <w:rPr>
          <w:lang w:eastAsia="en-AU"/>
        </w:rPr>
        <w:lastRenderedPageBreak/>
        <w:t xml:space="preserve">Reforms to reduce Aboriginal offending and imprisonment and reforms to reduce DFV need to occur in tandem and be </w:t>
      </w:r>
      <w:r w:rsidR="00E7193E">
        <w:rPr>
          <w:lang w:eastAsia="en-AU"/>
        </w:rPr>
        <w:t>properly aligned for the well-being of Territory families and communities.</w:t>
      </w:r>
      <w:r w:rsidR="005F60D8">
        <w:rPr>
          <w:lang w:eastAsia="en-AU"/>
        </w:rPr>
        <w:t xml:space="preserve"> </w:t>
      </w:r>
      <w:r w:rsidR="00B37B16">
        <w:rPr>
          <w:lang w:eastAsia="en-AU"/>
        </w:rPr>
        <w:t xml:space="preserve"> </w:t>
      </w:r>
      <w:r w:rsidR="005F60D8">
        <w:rPr>
          <w:lang w:eastAsia="en-AU"/>
        </w:rPr>
        <w:t>The prevention of DFV and healing from intergenerational trauma is a critical</w:t>
      </w:r>
      <w:r w:rsidR="0059633D">
        <w:rPr>
          <w:lang w:eastAsia="en-AU"/>
        </w:rPr>
        <w:t xml:space="preserve"> element of </w:t>
      </w:r>
      <w:r w:rsidR="005F60D8">
        <w:rPr>
          <w:lang w:eastAsia="en-AU"/>
        </w:rPr>
        <w:t>both</w:t>
      </w:r>
      <w:r w:rsidR="0059633D">
        <w:rPr>
          <w:lang w:eastAsia="en-AU"/>
        </w:rPr>
        <w:t xml:space="preserve"> reforms if they are to</w:t>
      </w:r>
      <w:r w:rsidR="005B12B1">
        <w:rPr>
          <w:lang w:eastAsia="en-AU"/>
        </w:rPr>
        <w:t xml:space="preserve"> be successful.</w:t>
      </w:r>
      <w:r w:rsidR="005B12B1">
        <w:rPr>
          <w:rStyle w:val="FootnoteReference"/>
          <w:lang w:eastAsia="en-AU"/>
        </w:rPr>
        <w:footnoteReference w:id="201"/>
      </w:r>
      <w:r w:rsidR="005F60D8">
        <w:rPr>
          <w:lang w:eastAsia="en-AU"/>
        </w:rPr>
        <w:t xml:space="preserve"> </w:t>
      </w:r>
    </w:p>
    <w:p w14:paraId="6C761152" w14:textId="5C8186D1" w:rsidR="00E408EC" w:rsidRDefault="00E37E7C" w:rsidP="00F4057F">
      <w:r>
        <w:t>A priority for the DFSV-ICRO</w:t>
      </w:r>
      <w:r w:rsidR="00E408EC" w:rsidRPr="00BB057F">
        <w:t xml:space="preserve"> is ensuring that Aboriginal Territorians have an opportunity to con</w:t>
      </w:r>
      <w:r>
        <w:t>tribute to the work of the DFSV-ICRO</w:t>
      </w:r>
      <w:r w:rsidR="00E408EC" w:rsidRPr="00BB057F">
        <w:t xml:space="preserve"> and other effort</w:t>
      </w:r>
      <w:r w:rsidR="00E408EC">
        <w:t>s to prevent and respond to DFSV</w:t>
      </w:r>
      <w:r w:rsidR="00EE5327">
        <w:t xml:space="preserve">. </w:t>
      </w:r>
      <w:r w:rsidR="00B37B16">
        <w:t xml:space="preserve"> </w:t>
      </w:r>
      <w:r w:rsidR="00EE5327">
        <w:t xml:space="preserve">This includes </w:t>
      </w:r>
      <w:r w:rsidR="00E408EC" w:rsidRPr="00BB057F">
        <w:t>the establishment of an Aboriginal Advisory Group, for which the role, selection and authority will be considered as a priority.</w:t>
      </w:r>
    </w:p>
    <w:p w14:paraId="508CC771" w14:textId="351815A8" w:rsidR="00756A00" w:rsidRDefault="00B6481F" w:rsidP="00B37B16">
      <w:pPr>
        <w:pStyle w:val="Heading4"/>
        <w:keepNext/>
        <w:numPr>
          <w:ilvl w:val="0"/>
          <w:numId w:val="0"/>
        </w:numPr>
        <w:spacing w:after="0" w:line="259" w:lineRule="auto"/>
        <w:ind w:left="862" w:hanging="862"/>
        <w:rPr>
          <w:lang w:eastAsia="en-AU"/>
        </w:rPr>
      </w:pPr>
      <w:r>
        <w:rPr>
          <w:lang w:eastAsia="en-AU"/>
        </w:rPr>
        <w:t>PROPOSAL SR 2</w:t>
      </w:r>
      <w:r w:rsidR="00C11CD7">
        <w:rPr>
          <w:lang w:eastAsia="en-AU"/>
        </w:rPr>
        <w:t xml:space="preserve"> </w:t>
      </w:r>
    </w:p>
    <w:p w14:paraId="43CC2247" w14:textId="77777777" w:rsidR="00756A00" w:rsidRDefault="00756A00" w:rsidP="00B37B16">
      <w:pPr>
        <w:spacing w:after="0" w:line="259" w:lineRule="auto"/>
        <w:rPr>
          <w:b/>
          <w:lang w:eastAsia="en-AU"/>
        </w:rPr>
      </w:pPr>
      <w:r w:rsidRPr="006F52FB">
        <w:rPr>
          <w:b/>
          <w:lang w:eastAsia="en-AU"/>
        </w:rPr>
        <w:t xml:space="preserve">It is proposed that </w:t>
      </w:r>
      <w:r>
        <w:rPr>
          <w:b/>
          <w:lang w:eastAsia="en-AU"/>
        </w:rPr>
        <w:t>DFV reforms and AJA reforms are aligned to ensure that:</w:t>
      </w:r>
    </w:p>
    <w:p w14:paraId="7D48CD8B" w14:textId="3468812F" w:rsidR="00CB77B6" w:rsidRDefault="00B37B16" w:rsidP="0067521E">
      <w:pPr>
        <w:pStyle w:val="ListParagraph"/>
        <w:numPr>
          <w:ilvl w:val="0"/>
          <w:numId w:val="107"/>
        </w:numPr>
        <w:spacing w:after="0" w:line="259" w:lineRule="auto"/>
        <w:ind w:left="567" w:hanging="567"/>
        <w:rPr>
          <w:b/>
          <w:lang w:eastAsia="en-AU"/>
        </w:rPr>
      </w:pPr>
      <w:r>
        <w:rPr>
          <w:b/>
          <w:lang w:eastAsia="en-AU"/>
        </w:rPr>
        <w:t xml:space="preserve">the </w:t>
      </w:r>
      <w:r w:rsidR="00756A00">
        <w:rPr>
          <w:b/>
          <w:lang w:eastAsia="en-AU"/>
        </w:rPr>
        <w:t>views and experiences of Aboriginal people inform DFV reforms</w:t>
      </w:r>
      <w:r>
        <w:rPr>
          <w:b/>
          <w:lang w:eastAsia="en-AU"/>
        </w:rPr>
        <w:t>;</w:t>
      </w:r>
    </w:p>
    <w:p w14:paraId="094BCAAC" w14:textId="12EADAFD" w:rsidR="00756A00" w:rsidRPr="00107FB8" w:rsidRDefault="004429BB" w:rsidP="0067521E">
      <w:pPr>
        <w:pStyle w:val="ListParagraph"/>
        <w:numPr>
          <w:ilvl w:val="0"/>
          <w:numId w:val="107"/>
        </w:numPr>
        <w:spacing w:after="0" w:line="259" w:lineRule="auto"/>
        <w:ind w:left="567" w:hanging="567"/>
        <w:rPr>
          <w:b/>
          <w:lang w:eastAsia="en-AU"/>
        </w:rPr>
      </w:pPr>
      <w:r>
        <w:rPr>
          <w:b/>
          <w:lang w:eastAsia="en-AU"/>
        </w:rPr>
        <w:t>DFV responses and programs are culturally safe and competent</w:t>
      </w:r>
      <w:r w:rsidR="00B37B16">
        <w:rPr>
          <w:b/>
          <w:lang w:eastAsia="en-AU"/>
        </w:rPr>
        <w:t>;</w:t>
      </w:r>
    </w:p>
    <w:p w14:paraId="3BAAE9E6" w14:textId="4F47CF38" w:rsidR="00756A00" w:rsidRDefault="00B37B16" w:rsidP="0067521E">
      <w:pPr>
        <w:pStyle w:val="ListParagraph"/>
        <w:numPr>
          <w:ilvl w:val="0"/>
          <w:numId w:val="107"/>
        </w:numPr>
        <w:spacing w:after="0" w:line="259" w:lineRule="auto"/>
        <w:ind w:left="567" w:hanging="567"/>
        <w:rPr>
          <w:b/>
          <w:lang w:eastAsia="en-AU"/>
        </w:rPr>
      </w:pPr>
      <w:r>
        <w:rPr>
          <w:b/>
          <w:lang w:eastAsia="en-AU"/>
        </w:rPr>
        <w:t>victim</w:t>
      </w:r>
      <w:r w:rsidR="00756A00">
        <w:rPr>
          <w:b/>
          <w:lang w:eastAsia="en-AU"/>
        </w:rPr>
        <w:t xml:space="preserve">-survivor safety is </w:t>
      </w:r>
      <w:r w:rsidR="00CB77B6">
        <w:rPr>
          <w:b/>
          <w:lang w:eastAsia="en-AU"/>
        </w:rPr>
        <w:t>the first priority</w:t>
      </w:r>
      <w:r w:rsidR="00FA27D3">
        <w:rPr>
          <w:b/>
          <w:lang w:eastAsia="en-AU"/>
        </w:rPr>
        <w:t xml:space="preserve"> </w:t>
      </w:r>
      <w:r w:rsidR="00F4057F">
        <w:rPr>
          <w:b/>
          <w:lang w:eastAsia="en-AU"/>
        </w:rPr>
        <w:t>of all responses and programs</w:t>
      </w:r>
      <w:r>
        <w:rPr>
          <w:b/>
          <w:lang w:eastAsia="en-AU"/>
        </w:rPr>
        <w:t>;</w:t>
      </w:r>
    </w:p>
    <w:p w14:paraId="52B9D829" w14:textId="3AE3C0B1" w:rsidR="0004791E" w:rsidRDefault="00B37B16" w:rsidP="0067521E">
      <w:pPr>
        <w:pStyle w:val="ListParagraph"/>
        <w:numPr>
          <w:ilvl w:val="0"/>
          <w:numId w:val="107"/>
        </w:numPr>
        <w:spacing w:after="0" w:line="259" w:lineRule="auto"/>
        <w:ind w:left="567" w:hanging="567"/>
        <w:rPr>
          <w:b/>
          <w:lang w:eastAsia="en-AU"/>
        </w:rPr>
      </w:pPr>
      <w:r>
        <w:rPr>
          <w:b/>
          <w:lang w:eastAsia="en-AU"/>
        </w:rPr>
        <w:t xml:space="preserve">offenders </w:t>
      </w:r>
      <w:r w:rsidR="00756A00">
        <w:rPr>
          <w:b/>
          <w:lang w:eastAsia="en-AU"/>
        </w:rPr>
        <w:t>are supported to take responsibility for their behaviour</w:t>
      </w:r>
      <w:r w:rsidR="004C5772">
        <w:rPr>
          <w:b/>
          <w:lang w:eastAsia="en-AU"/>
        </w:rPr>
        <w:t xml:space="preserve"> </w:t>
      </w:r>
      <w:r w:rsidR="00756A00">
        <w:rPr>
          <w:b/>
          <w:lang w:eastAsia="en-AU"/>
        </w:rPr>
        <w:t>and to change their behaviour</w:t>
      </w:r>
      <w:r w:rsidR="004429BB">
        <w:rPr>
          <w:b/>
          <w:lang w:eastAsia="en-AU"/>
        </w:rPr>
        <w:t xml:space="preserve"> in order to reduce DFV offending and reoffending</w:t>
      </w:r>
      <w:r>
        <w:rPr>
          <w:b/>
          <w:lang w:eastAsia="en-AU"/>
        </w:rPr>
        <w:t>;</w:t>
      </w:r>
    </w:p>
    <w:p w14:paraId="54AEC9B4" w14:textId="63D579DF" w:rsidR="00BB057F" w:rsidRPr="00B6481F" w:rsidRDefault="00B37B16" w:rsidP="0067521E">
      <w:pPr>
        <w:pStyle w:val="ListParagraph"/>
        <w:numPr>
          <w:ilvl w:val="0"/>
          <w:numId w:val="107"/>
        </w:numPr>
        <w:spacing w:after="200" w:line="259" w:lineRule="auto"/>
        <w:ind w:left="567" w:hanging="567"/>
        <w:rPr>
          <w:b/>
          <w:lang w:eastAsia="en-AU"/>
        </w:rPr>
      </w:pPr>
      <w:r>
        <w:rPr>
          <w:b/>
          <w:lang w:eastAsia="en-AU"/>
        </w:rPr>
        <w:t xml:space="preserve">in </w:t>
      </w:r>
      <w:r w:rsidR="00255F2C">
        <w:rPr>
          <w:b/>
          <w:lang w:eastAsia="en-AU"/>
        </w:rPr>
        <w:t>addition to behaviour change objectives, there</w:t>
      </w:r>
      <w:r w:rsidR="00C647AF">
        <w:rPr>
          <w:b/>
          <w:lang w:eastAsia="en-AU"/>
        </w:rPr>
        <w:t xml:space="preserve"> are culturally appropriate supports in place to ensure that Aboriginal women, Aboriginal men, and Aboriginal children are supported to heal from inter-generational trauma and </w:t>
      </w:r>
      <w:r w:rsidR="00FF5A3C">
        <w:rPr>
          <w:b/>
          <w:lang w:eastAsia="en-AU"/>
        </w:rPr>
        <w:t>recent</w:t>
      </w:r>
      <w:r w:rsidR="00C647AF">
        <w:rPr>
          <w:b/>
          <w:lang w:eastAsia="en-AU"/>
        </w:rPr>
        <w:t xml:space="preserve"> trauma. </w:t>
      </w:r>
    </w:p>
    <w:p w14:paraId="5D12CEAF" w14:textId="72F5974A" w:rsidR="00756A00" w:rsidRPr="00BB76C0" w:rsidRDefault="00756A00" w:rsidP="00756A00">
      <w:pPr>
        <w:pStyle w:val="Heading3"/>
      </w:pPr>
      <w:bookmarkStart w:id="99" w:name="_Toc112051883"/>
      <w:r w:rsidRPr="00BB76C0">
        <w:t>Mandatory Sentencing and Reform of Community Based Sentencing Options</w:t>
      </w:r>
      <w:bookmarkEnd w:id="99"/>
    </w:p>
    <w:p w14:paraId="358FFD1F" w14:textId="13222120" w:rsidR="00756A00" w:rsidRPr="00C64408" w:rsidRDefault="00756A00" w:rsidP="00756A00">
      <w:r w:rsidRPr="00C64408">
        <w:t>The Government is committed to sentencing reform that improves community safety, puts victims first</w:t>
      </w:r>
      <w:r w:rsidR="00B37B16">
        <w:t xml:space="preserve"> and breaks the cycle of crime. </w:t>
      </w:r>
      <w:r w:rsidRPr="00C64408">
        <w:t xml:space="preserve"> </w:t>
      </w:r>
      <w:r>
        <w:t>The Government</w:t>
      </w:r>
      <w:r w:rsidRPr="00C64408">
        <w:t xml:space="preserve"> want</w:t>
      </w:r>
      <w:r w:rsidR="0004791E">
        <w:t>s</w:t>
      </w:r>
      <w:r w:rsidRPr="00C64408">
        <w:t xml:space="preserve"> sentences to be appropriate to the crime, and programs which address the root causes of crime.</w:t>
      </w:r>
    </w:p>
    <w:p w14:paraId="6FEE572A" w14:textId="77777777" w:rsidR="00756A00" w:rsidRPr="00C64408" w:rsidRDefault="00756A00" w:rsidP="00756A00">
      <w:r w:rsidRPr="00C64408">
        <w:t>A cross-agency Sentencing Reform Implementation Group has been established to develop proposals for reform of mandatory sentencing provisions, community-based sentences and offender programs.</w:t>
      </w:r>
    </w:p>
    <w:p w14:paraId="2592DC59" w14:textId="77777777" w:rsidR="00756A00" w:rsidRPr="00C64408" w:rsidRDefault="00756A00" w:rsidP="00756A00">
      <w:r w:rsidRPr="00C64408">
        <w:t xml:space="preserve">As part of this reform, evidence-based rehabilitation and behaviour change programs and alternative to custody facilities will be established to deliver appropriate sentencing options. </w:t>
      </w:r>
    </w:p>
    <w:p w14:paraId="0E1C0000" w14:textId="6EB2CD77" w:rsidR="00756A00" w:rsidRDefault="008741B3" w:rsidP="00756A00">
      <w:r>
        <w:t>R</w:t>
      </w:r>
      <w:r w:rsidR="00756A00" w:rsidRPr="00C64408">
        <w:t xml:space="preserve">eform </w:t>
      </w:r>
      <w:r>
        <w:t xml:space="preserve">to community based sentencing options </w:t>
      </w:r>
      <w:r w:rsidR="00756A00" w:rsidRPr="00C64408">
        <w:t xml:space="preserve">progresses </w:t>
      </w:r>
      <w:r w:rsidR="00756A00">
        <w:t xml:space="preserve">the </w:t>
      </w:r>
      <w:r w:rsidR="00756A00" w:rsidRPr="00C64408">
        <w:t>Government’s commitments under the Aboriginal Justice Agreement and will be informed by the NT Law Reform Committee’s report on Mandatory Sentencing and Community-Based Sentencing Options.</w:t>
      </w:r>
    </w:p>
    <w:p w14:paraId="6338C648" w14:textId="0F865C58" w:rsidR="00756A00" w:rsidRDefault="00EE5327" w:rsidP="00756A00">
      <w:r>
        <w:t xml:space="preserve">A majority of violent crime in the NT </w:t>
      </w:r>
      <w:r w:rsidR="00756A00">
        <w:t xml:space="preserve">is DFV-related. </w:t>
      </w:r>
    </w:p>
    <w:p w14:paraId="141BA089" w14:textId="77777777" w:rsidR="00756A00" w:rsidRDefault="00756A00" w:rsidP="00756A00">
      <w:r>
        <w:t>It is important that safety considerations for victim-survivors of DFV are built into this work.</w:t>
      </w:r>
    </w:p>
    <w:p w14:paraId="02EA5C39" w14:textId="4E7AF4A3" w:rsidR="00756A00" w:rsidRDefault="00767AEE" w:rsidP="00B37B16">
      <w:pPr>
        <w:pStyle w:val="Heading4"/>
        <w:keepNext/>
        <w:numPr>
          <w:ilvl w:val="0"/>
          <w:numId w:val="0"/>
        </w:numPr>
        <w:spacing w:after="0" w:line="259" w:lineRule="auto"/>
        <w:ind w:left="864" w:hanging="864"/>
        <w:rPr>
          <w:lang w:eastAsia="en-AU"/>
        </w:rPr>
      </w:pPr>
      <w:r>
        <w:rPr>
          <w:lang w:eastAsia="en-AU"/>
        </w:rPr>
        <w:t>PROPOSAL SR 3</w:t>
      </w:r>
      <w:r w:rsidR="00E676B3">
        <w:rPr>
          <w:lang w:eastAsia="en-AU"/>
        </w:rPr>
        <w:t xml:space="preserve"> </w:t>
      </w:r>
    </w:p>
    <w:p w14:paraId="3459CF47" w14:textId="37000470" w:rsidR="0004791E" w:rsidRDefault="00756A00" w:rsidP="00B37B16">
      <w:pPr>
        <w:keepNext/>
        <w:spacing w:after="0" w:line="259" w:lineRule="auto"/>
        <w:rPr>
          <w:b/>
          <w:lang w:eastAsia="en-AU"/>
        </w:rPr>
      </w:pPr>
      <w:r w:rsidRPr="006F52FB">
        <w:rPr>
          <w:b/>
          <w:lang w:eastAsia="en-AU"/>
        </w:rPr>
        <w:t xml:space="preserve">It is proposed that </w:t>
      </w:r>
      <w:r>
        <w:rPr>
          <w:b/>
          <w:lang w:eastAsia="en-AU"/>
        </w:rPr>
        <w:t xml:space="preserve">reforms to </w:t>
      </w:r>
      <w:r w:rsidR="008741B3">
        <w:rPr>
          <w:b/>
          <w:lang w:eastAsia="en-AU"/>
        </w:rPr>
        <w:t>community-based</w:t>
      </w:r>
      <w:r>
        <w:rPr>
          <w:b/>
          <w:lang w:eastAsia="en-AU"/>
        </w:rPr>
        <w:t xml:space="preserve"> sentencing options and </w:t>
      </w:r>
      <w:r w:rsidR="008741B3">
        <w:rPr>
          <w:b/>
          <w:lang w:eastAsia="en-AU"/>
        </w:rPr>
        <w:t xml:space="preserve">the expansion of </w:t>
      </w:r>
      <w:r>
        <w:rPr>
          <w:b/>
          <w:lang w:eastAsia="en-AU"/>
        </w:rPr>
        <w:t>programs</w:t>
      </w:r>
      <w:r w:rsidR="0004791E">
        <w:rPr>
          <w:b/>
          <w:lang w:eastAsia="en-AU"/>
        </w:rPr>
        <w:t>:</w:t>
      </w:r>
    </w:p>
    <w:p w14:paraId="706347E7" w14:textId="67733DC4" w:rsidR="0004791E" w:rsidRDefault="00B37B16" w:rsidP="0067521E">
      <w:pPr>
        <w:pStyle w:val="ListParagraph"/>
        <w:numPr>
          <w:ilvl w:val="0"/>
          <w:numId w:val="137"/>
        </w:numPr>
        <w:spacing w:after="0" w:line="259" w:lineRule="auto"/>
        <w:ind w:left="567" w:hanging="567"/>
        <w:rPr>
          <w:b/>
          <w:lang w:eastAsia="en-AU"/>
        </w:rPr>
      </w:pPr>
      <w:r>
        <w:rPr>
          <w:b/>
          <w:lang w:eastAsia="en-AU"/>
        </w:rPr>
        <w:t xml:space="preserve">are </w:t>
      </w:r>
      <w:r w:rsidR="002F7872">
        <w:rPr>
          <w:b/>
          <w:lang w:eastAsia="en-AU"/>
        </w:rPr>
        <w:t>informed by</w:t>
      </w:r>
      <w:r w:rsidR="00756A00" w:rsidRPr="0004791E">
        <w:rPr>
          <w:b/>
          <w:lang w:eastAsia="en-AU"/>
        </w:rPr>
        <w:t xml:space="preserve"> specialist expertise on DFV</w:t>
      </w:r>
      <w:r w:rsidR="0004791E">
        <w:rPr>
          <w:b/>
          <w:lang w:eastAsia="en-AU"/>
        </w:rPr>
        <w:t>,</w:t>
      </w:r>
      <w:r w:rsidR="00756A00" w:rsidRPr="0004791E">
        <w:rPr>
          <w:b/>
          <w:lang w:eastAsia="en-AU"/>
        </w:rPr>
        <w:t xml:space="preserve"> </w:t>
      </w:r>
      <w:r w:rsidR="0004791E" w:rsidRPr="0004791E">
        <w:rPr>
          <w:b/>
          <w:lang w:eastAsia="en-AU"/>
        </w:rPr>
        <w:t xml:space="preserve">and </w:t>
      </w:r>
    </w:p>
    <w:p w14:paraId="0DC814EC" w14:textId="618B4378" w:rsidR="00756A00" w:rsidRPr="0004791E" w:rsidRDefault="00B37B16" w:rsidP="0067521E">
      <w:pPr>
        <w:pStyle w:val="ListParagraph"/>
        <w:numPr>
          <w:ilvl w:val="0"/>
          <w:numId w:val="137"/>
        </w:numPr>
        <w:spacing w:after="200" w:line="259" w:lineRule="auto"/>
        <w:ind w:left="567" w:hanging="567"/>
        <w:rPr>
          <w:b/>
          <w:lang w:eastAsia="en-AU"/>
        </w:rPr>
      </w:pPr>
      <w:r>
        <w:rPr>
          <w:b/>
          <w:lang w:eastAsia="en-AU"/>
        </w:rPr>
        <w:t xml:space="preserve">include </w:t>
      </w:r>
      <w:r w:rsidR="00550712">
        <w:rPr>
          <w:b/>
          <w:lang w:eastAsia="en-AU"/>
        </w:rPr>
        <w:t>safeguards to</w:t>
      </w:r>
      <w:r w:rsidR="00756A00" w:rsidRPr="0004791E">
        <w:rPr>
          <w:b/>
          <w:lang w:eastAsia="en-AU"/>
        </w:rPr>
        <w:t xml:space="preserve"> </w:t>
      </w:r>
      <w:r w:rsidR="00550712">
        <w:rPr>
          <w:b/>
          <w:lang w:eastAsia="en-AU"/>
        </w:rPr>
        <w:t xml:space="preserve">monitor and </w:t>
      </w:r>
      <w:r w:rsidR="00756A00" w:rsidRPr="0004791E">
        <w:rPr>
          <w:b/>
          <w:lang w:eastAsia="en-AU"/>
        </w:rPr>
        <w:t>prioritise the safety of victim-survivors while DFV offenders are on community-based orders and participating in community-based programs.</w:t>
      </w:r>
    </w:p>
    <w:p w14:paraId="155F6E19" w14:textId="4301D8B5" w:rsidR="00756A00" w:rsidRPr="00B05B8C" w:rsidRDefault="005C15EB" w:rsidP="00756A00">
      <w:pPr>
        <w:pStyle w:val="Heading3"/>
      </w:pPr>
      <w:bookmarkStart w:id="100" w:name="_Toc112051884"/>
      <w:r>
        <w:lastRenderedPageBreak/>
        <w:t>DFV analysis to inform</w:t>
      </w:r>
      <w:r w:rsidR="0009518D" w:rsidRPr="00B05B8C">
        <w:t xml:space="preserve"> Government </w:t>
      </w:r>
      <w:r>
        <w:t>initiatives</w:t>
      </w:r>
      <w:bookmarkEnd w:id="100"/>
    </w:p>
    <w:p w14:paraId="090F7E71" w14:textId="61D95E2F" w:rsidR="00756A00" w:rsidRPr="00B05B8C" w:rsidRDefault="006025E4" w:rsidP="00756A00">
      <w:r w:rsidRPr="00B05B8C">
        <w:t>Some</w:t>
      </w:r>
      <w:r w:rsidR="001206D6" w:rsidRPr="00B05B8C">
        <w:t xml:space="preserve"> Government reforms </w:t>
      </w:r>
      <w:r w:rsidR="00B44C39" w:rsidRPr="00B05B8C">
        <w:t xml:space="preserve">may </w:t>
      </w:r>
      <w:r w:rsidR="001206D6" w:rsidRPr="00B05B8C">
        <w:t>have unintended consequences that</w:t>
      </w:r>
      <w:r w:rsidR="00B37B16">
        <w:t xml:space="preserve"> impact on the safety of victim</w:t>
      </w:r>
      <w:r w:rsidR="00B37B16">
        <w:noBreakHyphen/>
      </w:r>
      <w:r w:rsidR="001206D6" w:rsidRPr="00B05B8C">
        <w:t>survivors of DFV.</w:t>
      </w:r>
      <w:r w:rsidR="00B44C39" w:rsidRPr="00B05B8C">
        <w:t xml:space="preserve">  </w:t>
      </w:r>
      <w:r w:rsidR="00756A00" w:rsidRPr="00B05B8C">
        <w:t>It is important that a whole-of-government focus on D</w:t>
      </w:r>
      <w:r w:rsidR="0010259E" w:rsidRPr="00B05B8C">
        <w:t xml:space="preserve">FV is maintained over time, and </w:t>
      </w:r>
      <w:r w:rsidR="0009518D" w:rsidRPr="00B05B8C">
        <w:t>that specialist expertise</w:t>
      </w:r>
      <w:r w:rsidR="0010259E" w:rsidRPr="00B05B8C">
        <w:t xml:space="preserve"> on DFV informs </w:t>
      </w:r>
      <w:r w:rsidR="00756A00" w:rsidRPr="00B05B8C">
        <w:t xml:space="preserve">new </w:t>
      </w:r>
      <w:r w:rsidR="001206D6" w:rsidRPr="00B05B8C">
        <w:t xml:space="preserve">policies and projects </w:t>
      </w:r>
      <w:r w:rsidR="0010259E" w:rsidRPr="00B05B8C">
        <w:t xml:space="preserve">of the Government to ensure the safety of </w:t>
      </w:r>
      <w:r w:rsidR="001206D6" w:rsidRPr="00B05B8C">
        <w:t>victim-survivors is prioritised and to mitigate any risks which may arise.</w:t>
      </w:r>
    </w:p>
    <w:p w14:paraId="327261DC" w14:textId="6EFFB295" w:rsidR="00756A00" w:rsidRPr="00B05B8C" w:rsidRDefault="00767AEE" w:rsidP="00B37B16">
      <w:pPr>
        <w:pStyle w:val="Heading4"/>
        <w:keepNext/>
        <w:numPr>
          <w:ilvl w:val="0"/>
          <w:numId w:val="0"/>
        </w:numPr>
        <w:spacing w:after="0" w:line="259" w:lineRule="auto"/>
        <w:rPr>
          <w:lang w:eastAsia="en-AU"/>
        </w:rPr>
      </w:pPr>
      <w:r>
        <w:t xml:space="preserve">PROPOSAL SR 4 </w:t>
      </w:r>
    </w:p>
    <w:p w14:paraId="650B317C" w14:textId="50B144DE" w:rsidR="00756A00" w:rsidRDefault="0010259E" w:rsidP="00B37B16">
      <w:pPr>
        <w:spacing w:line="259" w:lineRule="auto"/>
        <w:rPr>
          <w:b/>
          <w:lang w:eastAsia="en-AU"/>
        </w:rPr>
      </w:pPr>
      <w:r w:rsidRPr="00B05B8C">
        <w:rPr>
          <w:b/>
          <w:lang w:eastAsia="en-AU"/>
        </w:rPr>
        <w:t xml:space="preserve">It </w:t>
      </w:r>
      <w:r w:rsidR="00C975BE" w:rsidRPr="00B05B8C">
        <w:rPr>
          <w:b/>
          <w:lang w:eastAsia="en-AU"/>
        </w:rPr>
        <w:t xml:space="preserve">is </w:t>
      </w:r>
      <w:r w:rsidR="0009518D" w:rsidRPr="00B05B8C">
        <w:rPr>
          <w:b/>
          <w:lang w:eastAsia="en-AU"/>
        </w:rPr>
        <w:t xml:space="preserve">proposed that the </w:t>
      </w:r>
      <w:r w:rsidR="00E37E7C">
        <w:rPr>
          <w:b/>
          <w:lang w:eastAsia="en-AU"/>
        </w:rPr>
        <w:t>DFSV-ICRO</w:t>
      </w:r>
      <w:r w:rsidR="00B05B8C" w:rsidRPr="00B05B8C">
        <w:rPr>
          <w:b/>
          <w:lang w:eastAsia="en-AU"/>
        </w:rPr>
        <w:t xml:space="preserve"> (and the DFV </w:t>
      </w:r>
      <w:r w:rsidR="00B958C2">
        <w:rPr>
          <w:b/>
          <w:lang w:eastAsia="en-AU"/>
        </w:rPr>
        <w:t xml:space="preserve">inter-agency </w:t>
      </w:r>
      <w:r w:rsidR="00767AEE">
        <w:rPr>
          <w:b/>
          <w:lang w:eastAsia="en-AU"/>
        </w:rPr>
        <w:t>co-ordination mechanism</w:t>
      </w:r>
      <w:r w:rsidR="00B05B8C" w:rsidRPr="00B05B8C">
        <w:rPr>
          <w:b/>
          <w:lang w:eastAsia="en-AU"/>
        </w:rPr>
        <w:t xml:space="preserve"> which</w:t>
      </w:r>
      <w:r w:rsidR="00B958C2">
        <w:rPr>
          <w:b/>
          <w:lang w:eastAsia="en-AU"/>
        </w:rPr>
        <w:t xml:space="preserve"> succeeds it)</w:t>
      </w:r>
      <w:r w:rsidR="00767AEE">
        <w:rPr>
          <w:b/>
          <w:lang w:eastAsia="en-AU"/>
        </w:rPr>
        <w:t xml:space="preserve"> co-ordinates a DFV analysis of</w:t>
      </w:r>
      <w:r w:rsidR="00DA5BF3">
        <w:rPr>
          <w:b/>
          <w:lang w:eastAsia="en-AU"/>
        </w:rPr>
        <w:t xml:space="preserve"> proposed new Government initiatives.</w:t>
      </w:r>
    </w:p>
    <w:p w14:paraId="64B3967A" w14:textId="5CA34073" w:rsidR="003D2B2C" w:rsidRDefault="009166AF" w:rsidP="00B37B16">
      <w:pPr>
        <w:pStyle w:val="Heading2"/>
        <w:keepNext/>
        <w:ind w:left="1134"/>
        <w:rPr>
          <w:lang w:eastAsia="en-AU"/>
        </w:rPr>
      </w:pPr>
      <w:bookmarkStart w:id="101" w:name="_Toc112051885"/>
      <w:r>
        <w:rPr>
          <w:lang w:eastAsia="en-AU"/>
        </w:rPr>
        <w:t xml:space="preserve">Building a more </w:t>
      </w:r>
      <w:r w:rsidR="0010260E">
        <w:rPr>
          <w:lang w:eastAsia="en-AU"/>
        </w:rPr>
        <w:t>integrated system</w:t>
      </w:r>
      <w:bookmarkEnd w:id="101"/>
    </w:p>
    <w:p w14:paraId="4A269EB0" w14:textId="2BDDD9BF" w:rsidR="005879D1" w:rsidRDefault="007018EF" w:rsidP="00B37B16">
      <w:pPr>
        <w:pStyle w:val="Heading3"/>
        <w:keepNext/>
        <w:rPr>
          <w:lang w:eastAsia="en-AU"/>
        </w:rPr>
      </w:pPr>
      <w:bookmarkStart w:id="102" w:name="_Toc112051886"/>
      <w:r>
        <w:rPr>
          <w:lang w:eastAsia="en-AU"/>
        </w:rPr>
        <w:t>The experience of victim-survivors</w:t>
      </w:r>
      <w:bookmarkEnd w:id="102"/>
    </w:p>
    <w:p w14:paraId="2E029130" w14:textId="40B0AE24" w:rsidR="005879D1" w:rsidRDefault="005879D1" w:rsidP="005879D1">
      <w:pPr>
        <w:rPr>
          <w:lang w:eastAsia="en-AU"/>
        </w:rPr>
      </w:pPr>
      <w:r>
        <w:rPr>
          <w:lang w:eastAsia="en-AU"/>
        </w:rPr>
        <w:t xml:space="preserve">The findings of the DFV victim journey mapping report are set out above in </w:t>
      </w:r>
      <w:r w:rsidR="00B37B16">
        <w:rPr>
          <w:lang w:eastAsia="en-AU"/>
        </w:rPr>
        <w:t>Part</w:t>
      </w:r>
      <w:r w:rsidR="00B37B16" w:rsidRPr="000E14D1">
        <w:rPr>
          <w:lang w:eastAsia="en-AU"/>
        </w:rPr>
        <w:t xml:space="preserve"> </w:t>
      </w:r>
      <w:r w:rsidR="00163114">
        <w:rPr>
          <w:lang w:eastAsia="en-AU"/>
        </w:rPr>
        <w:t>2</w:t>
      </w:r>
      <w:r w:rsidRPr="00B37B16">
        <w:rPr>
          <w:lang w:eastAsia="en-AU"/>
        </w:rPr>
        <w:t>.3</w:t>
      </w:r>
      <w:r>
        <w:rPr>
          <w:lang w:eastAsia="en-AU"/>
        </w:rPr>
        <w:t>.</w:t>
      </w:r>
      <w:r>
        <w:rPr>
          <w:rStyle w:val="FootnoteReference"/>
          <w:lang w:eastAsia="en-AU"/>
        </w:rPr>
        <w:footnoteReference w:id="202"/>
      </w:r>
    </w:p>
    <w:p w14:paraId="6993130C" w14:textId="403C4F0F" w:rsidR="005879D1" w:rsidRPr="004C0E48" w:rsidRDefault="005879D1" w:rsidP="005879D1">
      <w:pPr>
        <w:rPr>
          <w:sz w:val="20"/>
          <w:szCs w:val="20"/>
          <w:lang w:eastAsia="en-AU"/>
        </w:rPr>
      </w:pPr>
      <w:r>
        <w:rPr>
          <w:lang w:eastAsia="en-AU"/>
        </w:rPr>
        <w:t xml:space="preserve">The DFV victim journey mapping report described the justice response to DFV as one that is </w:t>
      </w:r>
      <w:r w:rsidR="000E14D1">
        <w:rPr>
          <w:lang w:eastAsia="en-AU"/>
        </w:rPr>
        <w:t xml:space="preserve">confusing, </w:t>
      </w:r>
      <w:r>
        <w:rPr>
          <w:lang w:eastAsia="en-AU"/>
        </w:rPr>
        <w:t xml:space="preserve">disjointed and disconnected, without a proper emphasis on victim safety.  </w:t>
      </w:r>
      <w:r>
        <w:t>Some participants in the journey mapping workshop considered that it was a misnomer to use the word ‘system’ at all, as the justice response ‘lacks the shared meanings, linkages and connections one would hope to see in a true system</w:t>
      </w:r>
      <w:r w:rsidR="00B37B16">
        <w:t>’</w:t>
      </w:r>
      <w:r>
        <w:t>.</w:t>
      </w:r>
      <w:r w:rsidR="000E14D1">
        <w:rPr>
          <w:rStyle w:val="FootnoteReference"/>
        </w:rPr>
        <w:footnoteReference w:id="203"/>
      </w:r>
    </w:p>
    <w:p w14:paraId="4A4E9E48" w14:textId="45886E24" w:rsidR="005879D1" w:rsidRDefault="005879D1" w:rsidP="005879D1">
      <w:pPr>
        <w:rPr>
          <w:lang w:eastAsia="en-AU"/>
        </w:rPr>
      </w:pPr>
      <w:r>
        <w:rPr>
          <w:lang w:eastAsia="en-AU"/>
        </w:rPr>
        <w:t xml:space="preserve">It is notable that many of the views expressed by victim-survivors in the </w:t>
      </w:r>
      <w:r w:rsidR="00EE5327">
        <w:rPr>
          <w:lang w:eastAsia="en-AU"/>
        </w:rPr>
        <w:t xml:space="preserve">DFV </w:t>
      </w:r>
      <w:r>
        <w:rPr>
          <w:lang w:eastAsia="en-AU"/>
        </w:rPr>
        <w:t xml:space="preserve">victim journey mapping report do not require changes to the law, but to the operational policies and practices of justice agencies. </w:t>
      </w:r>
      <w:r w:rsidR="00B37B16">
        <w:rPr>
          <w:lang w:eastAsia="en-AU"/>
        </w:rPr>
        <w:t xml:space="preserve"> </w:t>
      </w:r>
      <w:r w:rsidR="006154A9">
        <w:rPr>
          <w:lang w:eastAsia="en-AU"/>
        </w:rPr>
        <w:t xml:space="preserve">Many suggestions related to </w:t>
      </w:r>
      <w:r w:rsidR="007018EF">
        <w:rPr>
          <w:lang w:eastAsia="en-AU"/>
        </w:rPr>
        <w:t xml:space="preserve">attitudes, </w:t>
      </w:r>
      <w:r w:rsidR="006154A9">
        <w:rPr>
          <w:lang w:eastAsia="en-AU"/>
        </w:rPr>
        <w:t>respect and communication</w:t>
      </w:r>
      <w:r w:rsidR="007018EF">
        <w:rPr>
          <w:lang w:eastAsia="en-AU"/>
        </w:rPr>
        <w:t>, and</w:t>
      </w:r>
      <w:r w:rsidR="006154A9">
        <w:rPr>
          <w:lang w:eastAsia="en-AU"/>
        </w:rPr>
        <w:t xml:space="preserve"> had implications for staff training.</w:t>
      </w:r>
      <w:r w:rsidR="00B37B16">
        <w:rPr>
          <w:lang w:eastAsia="en-AU"/>
        </w:rPr>
        <w:t xml:space="preserve"> </w:t>
      </w:r>
      <w:r w:rsidR="006154A9">
        <w:rPr>
          <w:lang w:eastAsia="en-AU"/>
        </w:rPr>
        <w:t xml:space="preserve"> </w:t>
      </w:r>
      <w:r>
        <w:rPr>
          <w:lang w:eastAsia="en-AU"/>
        </w:rPr>
        <w:t xml:space="preserve">Both legislative and </w:t>
      </w:r>
      <w:r w:rsidR="007018EF">
        <w:rPr>
          <w:lang w:eastAsia="en-AU"/>
        </w:rPr>
        <w:t>systems</w:t>
      </w:r>
      <w:r>
        <w:rPr>
          <w:lang w:eastAsia="en-AU"/>
        </w:rPr>
        <w:t xml:space="preserve"> reforms in relation to DFV must be complementary and informed by the lived experience of victim-survivors of DFV. </w:t>
      </w:r>
    </w:p>
    <w:p w14:paraId="62AE5947" w14:textId="1A679C22" w:rsidR="006F079C" w:rsidRDefault="006F079C" w:rsidP="005879D1">
      <w:pPr>
        <w:rPr>
          <w:lang w:eastAsia="en-AU"/>
        </w:rPr>
      </w:pPr>
      <w:r>
        <w:rPr>
          <w:lang w:eastAsia="en-AU"/>
        </w:rPr>
        <w:t>The DFV victim journey mapping report</w:t>
      </w:r>
      <w:r w:rsidR="00611DA6">
        <w:rPr>
          <w:lang w:eastAsia="en-AU"/>
        </w:rPr>
        <w:t xml:space="preserve"> set out a vision for </w:t>
      </w:r>
      <w:r w:rsidR="007018EF">
        <w:rPr>
          <w:lang w:eastAsia="en-AU"/>
        </w:rPr>
        <w:t>an improved</w:t>
      </w:r>
      <w:r w:rsidR="00611DA6">
        <w:rPr>
          <w:lang w:eastAsia="en-AU"/>
        </w:rPr>
        <w:t xml:space="preserve"> justice </w:t>
      </w:r>
      <w:r w:rsidR="007018EF">
        <w:rPr>
          <w:lang w:eastAsia="en-AU"/>
        </w:rPr>
        <w:t>response to DFV and this has been incorporated into the expectations below.</w:t>
      </w:r>
    </w:p>
    <w:p w14:paraId="440203F5" w14:textId="29C84E1E" w:rsidR="00AA79D7" w:rsidRDefault="007018EF" w:rsidP="005879D1">
      <w:pPr>
        <w:pStyle w:val="Heading3"/>
        <w:rPr>
          <w:lang w:eastAsia="en-AU"/>
        </w:rPr>
      </w:pPr>
      <w:bookmarkStart w:id="103" w:name="_Toc112051887"/>
      <w:r>
        <w:rPr>
          <w:lang w:eastAsia="en-AU"/>
        </w:rPr>
        <w:t>Shared expectations</w:t>
      </w:r>
      <w:r w:rsidR="00EE5327">
        <w:rPr>
          <w:lang w:eastAsia="en-AU"/>
        </w:rPr>
        <w:t xml:space="preserve"> of the justice responses</w:t>
      </w:r>
      <w:bookmarkEnd w:id="103"/>
    </w:p>
    <w:p w14:paraId="4D1B7910" w14:textId="77777777" w:rsidR="00CF3E37" w:rsidRDefault="0003765B" w:rsidP="00273265">
      <w:pPr>
        <w:rPr>
          <w:lang w:eastAsia="en-AU"/>
        </w:rPr>
      </w:pPr>
      <w:r>
        <w:rPr>
          <w:lang w:eastAsia="en-AU"/>
        </w:rPr>
        <w:t xml:space="preserve">Building a </w:t>
      </w:r>
      <w:r w:rsidR="00CF3E37">
        <w:rPr>
          <w:lang w:eastAsia="en-AU"/>
        </w:rPr>
        <w:t xml:space="preserve">more </w:t>
      </w:r>
      <w:r>
        <w:rPr>
          <w:lang w:eastAsia="en-AU"/>
        </w:rPr>
        <w:t xml:space="preserve">co-ordinated inter-agency response to DFV will require a shared vision of what the </w:t>
      </w:r>
      <w:r w:rsidR="00CF3E37">
        <w:rPr>
          <w:lang w:eastAsia="en-AU"/>
        </w:rPr>
        <w:t xml:space="preserve">community can expect if the justice system is </w:t>
      </w:r>
      <w:r>
        <w:rPr>
          <w:lang w:eastAsia="en-AU"/>
        </w:rPr>
        <w:t xml:space="preserve">working effectively.  </w:t>
      </w:r>
    </w:p>
    <w:p w14:paraId="6DB8E79E" w14:textId="26CCA284" w:rsidR="00AA79D7" w:rsidRDefault="0003765B" w:rsidP="00273265">
      <w:pPr>
        <w:rPr>
          <w:lang w:eastAsia="en-AU"/>
        </w:rPr>
      </w:pPr>
      <w:r>
        <w:rPr>
          <w:lang w:eastAsia="en-AU"/>
        </w:rPr>
        <w:t xml:space="preserve">It is important that this be developed collaboratively with </w:t>
      </w:r>
      <w:r w:rsidR="007018EF">
        <w:rPr>
          <w:lang w:eastAsia="en-AU"/>
        </w:rPr>
        <w:t xml:space="preserve">the involvement of </w:t>
      </w:r>
      <w:r>
        <w:rPr>
          <w:lang w:eastAsia="en-AU"/>
        </w:rPr>
        <w:t xml:space="preserve">justice agencies, victim-survivors and professionals with DFV expertise.  It is particularly important than Aboriginal people </w:t>
      </w:r>
      <w:r w:rsidR="00AC29C4">
        <w:rPr>
          <w:lang w:eastAsia="en-AU"/>
        </w:rPr>
        <w:t xml:space="preserve">lead, and </w:t>
      </w:r>
      <w:r>
        <w:rPr>
          <w:lang w:eastAsia="en-AU"/>
        </w:rPr>
        <w:t>are actively involved</w:t>
      </w:r>
      <w:r w:rsidR="00AC29C4">
        <w:rPr>
          <w:lang w:eastAsia="en-AU"/>
        </w:rPr>
        <w:t>,</w:t>
      </w:r>
      <w:r>
        <w:rPr>
          <w:lang w:eastAsia="en-AU"/>
        </w:rPr>
        <w:t xml:space="preserve"> in these discussions.</w:t>
      </w:r>
      <w:r w:rsidR="00AC29C4">
        <w:rPr>
          <w:rStyle w:val="FootnoteReference"/>
          <w:lang w:eastAsia="en-AU"/>
        </w:rPr>
        <w:footnoteReference w:id="204"/>
      </w:r>
    </w:p>
    <w:p w14:paraId="13835DF9" w14:textId="188B0135" w:rsidR="00E576D7" w:rsidRDefault="00E576D7" w:rsidP="00273265">
      <w:pPr>
        <w:rPr>
          <w:lang w:eastAsia="en-AU"/>
        </w:rPr>
      </w:pPr>
      <w:r>
        <w:rPr>
          <w:lang w:eastAsia="en-AU"/>
        </w:rPr>
        <w:t>This review offers the following expectations as a starting point for discussion.</w:t>
      </w:r>
    </w:p>
    <w:p w14:paraId="5B7AB632" w14:textId="5B175FA7" w:rsidR="00AA79D7" w:rsidRDefault="0003765B" w:rsidP="00B37B16">
      <w:pPr>
        <w:keepNext/>
        <w:spacing w:after="120"/>
        <w:rPr>
          <w:lang w:eastAsia="en-AU"/>
        </w:rPr>
      </w:pPr>
      <w:r>
        <w:rPr>
          <w:lang w:eastAsia="en-AU"/>
        </w:rPr>
        <w:lastRenderedPageBreak/>
        <w:t xml:space="preserve">If the justice system is </w:t>
      </w:r>
      <w:r w:rsidR="0098668D">
        <w:rPr>
          <w:lang w:eastAsia="en-AU"/>
        </w:rPr>
        <w:t xml:space="preserve">effectively responding to DFV </w:t>
      </w:r>
      <w:r w:rsidR="00E576D7">
        <w:rPr>
          <w:lang w:eastAsia="en-AU"/>
        </w:rPr>
        <w:t xml:space="preserve">in a way that is aligned with good practice </w:t>
      </w:r>
      <w:r w:rsidR="0098668D">
        <w:rPr>
          <w:lang w:eastAsia="en-AU"/>
        </w:rPr>
        <w:t>the community</w:t>
      </w:r>
      <w:r>
        <w:rPr>
          <w:lang w:eastAsia="en-AU"/>
        </w:rPr>
        <w:t xml:space="preserve"> </w:t>
      </w:r>
      <w:r w:rsidR="00E576D7">
        <w:rPr>
          <w:lang w:eastAsia="en-AU"/>
        </w:rPr>
        <w:t>could</w:t>
      </w:r>
      <w:r>
        <w:rPr>
          <w:lang w:eastAsia="en-AU"/>
        </w:rPr>
        <w:t xml:space="preserve"> expect the</w:t>
      </w:r>
      <w:r w:rsidR="0098668D">
        <w:rPr>
          <w:lang w:eastAsia="en-AU"/>
        </w:rPr>
        <w:t xml:space="preserve"> following</w:t>
      </w:r>
      <w:r>
        <w:rPr>
          <w:lang w:eastAsia="en-AU"/>
        </w:rPr>
        <w:t>:</w:t>
      </w:r>
    </w:p>
    <w:p w14:paraId="38C7D20E" w14:textId="5C4E6D95" w:rsidR="00C25EFF" w:rsidRDefault="00E576D7" w:rsidP="0067521E">
      <w:pPr>
        <w:pStyle w:val="ListParagraph"/>
        <w:numPr>
          <w:ilvl w:val="0"/>
          <w:numId w:val="136"/>
        </w:numPr>
        <w:ind w:left="567" w:hanging="567"/>
        <w:rPr>
          <w:lang w:eastAsia="en-AU"/>
        </w:rPr>
      </w:pPr>
      <w:r>
        <w:rPr>
          <w:lang w:eastAsia="en-AU"/>
        </w:rPr>
        <w:t>Legal p</w:t>
      </w:r>
      <w:r w:rsidR="00C25EFF">
        <w:rPr>
          <w:lang w:eastAsia="en-AU"/>
        </w:rPr>
        <w:t>roceedings will be decided fairly and impartially</w:t>
      </w:r>
      <w:r w:rsidR="00EE5327">
        <w:rPr>
          <w:lang w:eastAsia="en-AU"/>
        </w:rPr>
        <w:t xml:space="preserve">, and </w:t>
      </w:r>
      <w:r>
        <w:rPr>
          <w:lang w:eastAsia="en-AU"/>
        </w:rPr>
        <w:t>judicial officers, lawyers</w:t>
      </w:r>
      <w:r w:rsidR="00EE5327">
        <w:rPr>
          <w:lang w:eastAsia="en-AU"/>
        </w:rPr>
        <w:t>, police and court staff will be</w:t>
      </w:r>
      <w:r>
        <w:rPr>
          <w:lang w:eastAsia="en-AU"/>
        </w:rPr>
        <w:t xml:space="preserve"> well-informed about DFV.</w:t>
      </w:r>
    </w:p>
    <w:p w14:paraId="284013AD" w14:textId="3504646F" w:rsidR="003E2A86" w:rsidRDefault="003E2A86" w:rsidP="0067521E">
      <w:pPr>
        <w:pStyle w:val="ListParagraph"/>
        <w:numPr>
          <w:ilvl w:val="0"/>
          <w:numId w:val="136"/>
        </w:numPr>
        <w:ind w:left="567" w:hanging="567"/>
        <w:rPr>
          <w:lang w:eastAsia="en-AU"/>
        </w:rPr>
      </w:pPr>
      <w:r>
        <w:rPr>
          <w:lang w:eastAsia="en-AU"/>
        </w:rPr>
        <w:t>Professionals across all agencies w</w:t>
      </w:r>
      <w:r w:rsidR="00FB0E8B">
        <w:rPr>
          <w:lang w:eastAsia="en-AU"/>
        </w:rPr>
        <w:t xml:space="preserve">ill be able to identify DFV (and coercive control) and </w:t>
      </w:r>
      <w:r>
        <w:rPr>
          <w:lang w:eastAsia="en-AU"/>
        </w:rPr>
        <w:t xml:space="preserve">respond </w:t>
      </w:r>
      <w:r w:rsidR="003D2B2C">
        <w:rPr>
          <w:lang w:eastAsia="en-AU"/>
        </w:rPr>
        <w:t xml:space="preserve">to it </w:t>
      </w:r>
      <w:r>
        <w:rPr>
          <w:lang w:eastAsia="en-AU"/>
        </w:rPr>
        <w:t>consistently and skilfully</w:t>
      </w:r>
      <w:r w:rsidR="00FB0E8B">
        <w:rPr>
          <w:lang w:eastAsia="en-AU"/>
        </w:rPr>
        <w:t>,</w:t>
      </w:r>
      <w:r>
        <w:rPr>
          <w:lang w:eastAsia="en-AU"/>
        </w:rPr>
        <w:t xml:space="preserve"> </w:t>
      </w:r>
      <w:r w:rsidR="003D2B2C">
        <w:rPr>
          <w:lang w:eastAsia="en-AU"/>
        </w:rPr>
        <w:t xml:space="preserve">and </w:t>
      </w:r>
      <w:r>
        <w:rPr>
          <w:lang w:eastAsia="en-AU"/>
        </w:rPr>
        <w:t>with respect and compassion</w:t>
      </w:r>
      <w:r w:rsidR="003D2B2C">
        <w:rPr>
          <w:lang w:eastAsia="en-AU"/>
        </w:rPr>
        <w:t>.</w:t>
      </w:r>
      <w:r w:rsidR="004D7D90">
        <w:rPr>
          <w:rStyle w:val="FootnoteReference"/>
          <w:lang w:eastAsia="en-AU"/>
        </w:rPr>
        <w:footnoteReference w:id="205"/>
      </w:r>
    </w:p>
    <w:p w14:paraId="24A3B1FC" w14:textId="77A2B8F5" w:rsidR="000E48E2" w:rsidRDefault="00273265" w:rsidP="0067521E">
      <w:pPr>
        <w:pStyle w:val="ListParagraph"/>
        <w:numPr>
          <w:ilvl w:val="0"/>
          <w:numId w:val="136"/>
        </w:numPr>
        <w:ind w:left="567" w:hanging="567"/>
        <w:rPr>
          <w:lang w:eastAsia="en-AU"/>
        </w:rPr>
      </w:pPr>
      <w:r>
        <w:rPr>
          <w:lang w:eastAsia="en-AU"/>
        </w:rPr>
        <w:t>Victim-</w:t>
      </w:r>
      <w:r w:rsidR="005D046B">
        <w:rPr>
          <w:lang w:eastAsia="en-AU"/>
        </w:rPr>
        <w:t>survivors will be respected and</w:t>
      </w:r>
      <w:r>
        <w:rPr>
          <w:lang w:eastAsia="en-AU"/>
        </w:rPr>
        <w:t xml:space="preserve"> </w:t>
      </w:r>
      <w:r w:rsidR="000232F3">
        <w:rPr>
          <w:lang w:eastAsia="en-AU"/>
        </w:rPr>
        <w:t>well-</w:t>
      </w:r>
      <w:r>
        <w:rPr>
          <w:lang w:eastAsia="en-AU"/>
        </w:rPr>
        <w:t>supported by services</w:t>
      </w:r>
      <w:r w:rsidR="003D2B2C">
        <w:rPr>
          <w:lang w:eastAsia="en-AU"/>
        </w:rPr>
        <w:t>, institutions</w:t>
      </w:r>
      <w:r>
        <w:rPr>
          <w:lang w:eastAsia="en-AU"/>
        </w:rPr>
        <w:t xml:space="preserve"> a</w:t>
      </w:r>
      <w:r w:rsidR="000232F3">
        <w:rPr>
          <w:lang w:eastAsia="en-AU"/>
        </w:rPr>
        <w:t>nd communities</w:t>
      </w:r>
      <w:r>
        <w:rPr>
          <w:lang w:eastAsia="en-AU"/>
        </w:rPr>
        <w:t xml:space="preserve"> who believe</w:t>
      </w:r>
      <w:r w:rsidR="00E576D7">
        <w:rPr>
          <w:lang w:eastAsia="en-AU"/>
        </w:rPr>
        <w:t xml:space="preserve"> </w:t>
      </w:r>
      <w:r w:rsidR="00DF2CB0">
        <w:rPr>
          <w:lang w:eastAsia="en-AU"/>
        </w:rPr>
        <w:t>their</w:t>
      </w:r>
      <w:r>
        <w:rPr>
          <w:lang w:eastAsia="en-AU"/>
        </w:rPr>
        <w:t xml:space="preserve"> safety is a priority</w:t>
      </w:r>
      <w:r w:rsidR="00E576D7">
        <w:rPr>
          <w:lang w:eastAsia="en-AU"/>
        </w:rPr>
        <w:t>, and take action to make it a priority</w:t>
      </w:r>
      <w:r w:rsidR="000232F3">
        <w:rPr>
          <w:lang w:eastAsia="en-AU"/>
        </w:rPr>
        <w:t>.</w:t>
      </w:r>
    </w:p>
    <w:p w14:paraId="2DC97369" w14:textId="432A52C1" w:rsidR="000E48E2" w:rsidRDefault="000E48E2" w:rsidP="0067521E">
      <w:pPr>
        <w:pStyle w:val="ListParagraph"/>
        <w:numPr>
          <w:ilvl w:val="0"/>
          <w:numId w:val="136"/>
        </w:numPr>
        <w:ind w:left="567" w:hanging="567"/>
        <w:rPr>
          <w:lang w:eastAsia="en-AU"/>
        </w:rPr>
      </w:pPr>
      <w:r>
        <w:rPr>
          <w:lang w:eastAsia="en-AU"/>
        </w:rPr>
        <w:t>Victim-survivors will see</w:t>
      </w:r>
      <w:r w:rsidR="003D2B2C">
        <w:rPr>
          <w:lang w:eastAsia="en-AU"/>
        </w:rPr>
        <w:t xml:space="preserve"> their own safety as a priority and will have real options in their lives.</w:t>
      </w:r>
    </w:p>
    <w:p w14:paraId="7D31FC84" w14:textId="53CD0829" w:rsidR="000E48E2" w:rsidRDefault="00C25EFF" w:rsidP="0067521E">
      <w:pPr>
        <w:pStyle w:val="ListParagraph"/>
        <w:numPr>
          <w:ilvl w:val="0"/>
          <w:numId w:val="136"/>
        </w:numPr>
        <w:ind w:left="567" w:hanging="567"/>
        <w:rPr>
          <w:lang w:eastAsia="en-AU"/>
        </w:rPr>
      </w:pPr>
      <w:r>
        <w:rPr>
          <w:lang w:eastAsia="en-AU"/>
        </w:rPr>
        <w:t xml:space="preserve">People who use violence will realise that they can </w:t>
      </w:r>
      <w:r w:rsidR="00273265">
        <w:rPr>
          <w:lang w:eastAsia="en-AU"/>
        </w:rPr>
        <w:t>no longer get away with it</w:t>
      </w:r>
      <w:r w:rsidR="005D046B">
        <w:rPr>
          <w:lang w:eastAsia="en-AU"/>
        </w:rPr>
        <w:t xml:space="preserve">. </w:t>
      </w:r>
      <w:r w:rsidR="00B37B16">
        <w:rPr>
          <w:lang w:eastAsia="en-AU"/>
        </w:rPr>
        <w:t xml:space="preserve"> </w:t>
      </w:r>
      <w:r w:rsidR="005D046B">
        <w:rPr>
          <w:lang w:eastAsia="en-AU"/>
        </w:rPr>
        <w:t>There will be a web of accountability around them, whether they are</w:t>
      </w:r>
      <w:r w:rsidR="004D7D90">
        <w:rPr>
          <w:lang w:eastAsia="en-AU"/>
        </w:rPr>
        <w:t xml:space="preserve"> in prison</w:t>
      </w:r>
      <w:r w:rsidR="005D046B">
        <w:rPr>
          <w:lang w:eastAsia="en-AU"/>
        </w:rPr>
        <w:t xml:space="preserve"> or the community. </w:t>
      </w:r>
      <w:r w:rsidR="00B37B16">
        <w:rPr>
          <w:lang w:eastAsia="en-AU"/>
        </w:rPr>
        <w:t xml:space="preserve"> </w:t>
      </w:r>
      <w:r w:rsidR="005D046B">
        <w:rPr>
          <w:lang w:eastAsia="en-AU"/>
        </w:rPr>
        <w:t>S</w:t>
      </w:r>
      <w:r w:rsidR="003D2B2C">
        <w:rPr>
          <w:lang w:eastAsia="en-AU"/>
        </w:rPr>
        <w:t>ome will</w:t>
      </w:r>
      <w:r w:rsidR="00273265">
        <w:rPr>
          <w:lang w:eastAsia="en-AU"/>
        </w:rPr>
        <w:t xml:space="preserve"> seek help to change</w:t>
      </w:r>
      <w:r w:rsidR="004D7D90">
        <w:rPr>
          <w:lang w:eastAsia="en-AU"/>
        </w:rPr>
        <w:t xml:space="preserve"> and some will remain in prison</w:t>
      </w:r>
      <w:r w:rsidR="003D2B2C">
        <w:rPr>
          <w:lang w:eastAsia="en-AU"/>
        </w:rPr>
        <w:t>.</w:t>
      </w:r>
      <w:r w:rsidR="005D046B">
        <w:rPr>
          <w:lang w:eastAsia="en-AU"/>
        </w:rPr>
        <w:t xml:space="preserve"> </w:t>
      </w:r>
      <w:r w:rsidR="00B37B16">
        <w:rPr>
          <w:lang w:eastAsia="en-AU"/>
        </w:rPr>
        <w:t xml:space="preserve"> </w:t>
      </w:r>
      <w:r w:rsidR="005D046B">
        <w:rPr>
          <w:lang w:eastAsia="en-AU"/>
        </w:rPr>
        <w:t xml:space="preserve">More offenders will recognise that violence </w:t>
      </w:r>
      <w:r w:rsidR="00DF2CB0">
        <w:rPr>
          <w:lang w:eastAsia="en-AU"/>
        </w:rPr>
        <w:t xml:space="preserve">and controlling behaviour </w:t>
      </w:r>
      <w:r w:rsidR="005D046B">
        <w:rPr>
          <w:lang w:eastAsia="en-AU"/>
        </w:rPr>
        <w:t xml:space="preserve">is their responsibility. </w:t>
      </w:r>
      <w:r w:rsidR="00B37B16">
        <w:rPr>
          <w:lang w:eastAsia="en-AU"/>
        </w:rPr>
        <w:t xml:space="preserve"> </w:t>
      </w:r>
      <w:r w:rsidR="005D046B">
        <w:rPr>
          <w:lang w:eastAsia="en-AU"/>
        </w:rPr>
        <w:t>More offenders will choose not to use violence.</w:t>
      </w:r>
    </w:p>
    <w:p w14:paraId="38F1C003" w14:textId="6A857901" w:rsidR="00C040D1" w:rsidRDefault="00C040D1" w:rsidP="0067521E">
      <w:pPr>
        <w:pStyle w:val="ListParagraph"/>
        <w:numPr>
          <w:ilvl w:val="0"/>
          <w:numId w:val="136"/>
        </w:numPr>
        <w:ind w:left="567" w:hanging="567"/>
        <w:rPr>
          <w:lang w:eastAsia="en-AU"/>
        </w:rPr>
      </w:pPr>
      <w:r>
        <w:rPr>
          <w:lang w:eastAsia="en-AU"/>
        </w:rPr>
        <w:t>There will be widespread Aboriginal leader</w:t>
      </w:r>
      <w:r w:rsidR="000B0E80">
        <w:rPr>
          <w:lang w:eastAsia="en-AU"/>
        </w:rPr>
        <w:t>ship</w:t>
      </w:r>
      <w:r w:rsidR="00E21A98">
        <w:rPr>
          <w:lang w:eastAsia="en-AU"/>
        </w:rPr>
        <w:t xml:space="preserve"> and co-design</w:t>
      </w:r>
      <w:r w:rsidR="000B0E80">
        <w:rPr>
          <w:lang w:eastAsia="en-AU"/>
        </w:rPr>
        <w:t xml:space="preserve"> of efforts to end violence affecting Aboriginal people</w:t>
      </w:r>
      <w:r w:rsidR="00E576D7">
        <w:rPr>
          <w:lang w:eastAsia="en-AU"/>
        </w:rPr>
        <w:t xml:space="preserve"> and communities</w:t>
      </w:r>
      <w:r w:rsidR="000B0E80">
        <w:rPr>
          <w:lang w:eastAsia="en-AU"/>
        </w:rPr>
        <w:t>.</w:t>
      </w:r>
    </w:p>
    <w:p w14:paraId="06C300EF" w14:textId="34971910" w:rsidR="003D2B2C" w:rsidRDefault="00DF2CB0" w:rsidP="0067521E">
      <w:pPr>
        <w:pStyle w:val="ListParagraph"/>
        <w:numPr>
          <w:ilvl w:val="0"/>
          <w:numId w:val="136"/>
        </w:numPr>
        <w:ind w:left="567" w:hanging="567"/>
        <w:rPr>
          <w:lang w:eastAsia="en-AU"/>
        </w:rPr>
      </w:pPr>
      <w:r>
        <w:rPr>
          <w:lang w:eastAsia="en-AU"/>
        </w:rPr>
        <w:t>Bystanders,</w:t>
      </w:r>
      <w:r w:rsidR="00273265">
        <w:rPr>
          <w:lang w:eastAsia="en-AU"/>
        </w:rPr>
        <w:t xml:space="preserve"> community</w:t>
      </w:r>
      <w:r w:rsidR="005D046B">
        <w:rPr>
          <w:lang w:eastAsia="en-AU"/>
        </w:rPr>
        <w:t xml:space="preserve"> members </w:t>
      </w:r>
      <w:r w:rsidR="00C040D1">
        <w:rPr>
          <w:lang w:eastAsia="en-AU"/>
        </w:rPr>
        <w:t xml:space="preserve">and leaders </w:t>
      </w:r>
      <w:r w:rsidR="005D046B">
        <w:rPr>
          <w:lang w:eastAsia="en-AU"/>
        </w:rPr>
        <w:t>will speak</w:t>
      </w:r>
      <w:r w:rsidR="00273265">
        <w:rPr>
          <w:lang w:eastAsia="en-AU"/>
        </w:rPr>
        <w:t xml:space="preserve"> up against violence</w:t>
      </w:r>
      <w:r w:rsidR="003D2B2C">
        <w:rPr>
          <w:lang w:eastAsia="en-AU"/>
        </w:rPr>
        <w:t xml:space="preserve"> and </w:t>
      </w:r>
      <w:r w:rsidR="005D046B">
        <w:rPr>
          <w:lang w:eastAsia="en-AU"/>
        </w:rPr>
        <w:t xml:space="preserve">promptly </w:t>
      </w:r>
      <w:r w:rsidR="003D2B2C">
        <w:rPr>
          <w:lang w:eastAsia="en-AU"/>
        </w:rPr>
        <w:t>report it to authorities</w:t>
      </w:r>
      <w:r w:rsidR="005D046B">
        <w:rPr>
          <w:lang w:eastAsia="en-AU"/>
        </w:rPr>
        <w:t xml:space="preserve"> every single time.</w:t>
      </w:r>
    </w:p>
    <w:p w14:paraId="0FE6DDE6" w14:textId="733AE8A9" w:rsidR="00273265" w:rsidRDefault="00273265" w:rsidP="0067521E">
      <w:pPr>
        <w:pStyle w:val="ListParagraph"/>
        <w:numPr>
          <w:ilvl w:val="0"/>
          <w:numId w:val="136"/>
        </w:numPr>
        <w:ind w:left="567" w:hanging="567"/>
        <w:rPr>
          <w:lang w:eastAsia="en-AU"/>
        </w:rPr>
      </w:pPr>
      <w:r>
        <w:rPr>
          <w:lang w:eastAsia="en-AU"/>
        </w:rPr>
        <w:t xml:space="preserve">Children will </w:t>
      </w:r>
      <w:r w:rsidR="005D046B">
        <w:rPr>
          <w:lang w:eastAsia="en-AU"/>
        </w:rPr>
        <w:t xml:space="preserve">be supported to </w:t>
      </w:r>
      <w:r>
        <w:rPr>
          <w:lang w:eastAsia="en-AU"/>
        </w:rPr>
        <w:t>realise that vio</w:t>
      </w:r>
      <w:r w:rsidR="00DF2CB0">
        <w:rPr>
          <w:lang w:eastAsia="en-AU"/>
        </w:rPr>
        <w:t xml:space="preserve">lence is wrong and </w:t>
      </w:r>
      <w:r>
        <w:rPr>
          <w:lang w:eastAsia="en-AU"/>
        </w:rPr>
        <w:t>is not their fault.</w:t>
      </w:r>
      <w:r w:rsidR="005D046B">
        <w:rPr>
          <w:lang w:eastAsia="en-AU"/>
        </w:rPr>
        <w:t xml:space="preserve">  They will have help addressing the trauma associated with violence they have seen, heard</w:t>
      </w:r>
      <w:r w:rsidR="00677034">
        <w:rPr>
          <w:lang w:eastAsia="en-AU"/>
        </w:rPr>
        <w:t xml:space="preserve"> </w:t>
      </w:r>
      <w:r w:rsidR="005D046B">
        <w:rPr>
          <w:lang w:eastAsia="en-AU"/>
        </w:rPr>
        <w:t>or been exposed to.</w:t>
      </w:r>
    </w:p>
    <w:p w14:paraId="652E7242" w14:textId="1111B194" w:rsidR="00F463DF" w:rsidRDefault="00F463DF" w:rsidP="0067521E">
      <w:pPr>
        <w:pStyle w:val="ListParagraph"/>
        <w:numPr>
          <w:ilvl w:val="0"/>
          <w:numId w:val="136"/>
        </w:numPr>
        <w:ind w:left="567" w:hanging="567"/>
        <w:rPr>
          <w:lang w:eastAsia="en-AU"/>
        </w:rPr>
      </w:pPr>
      <w:r>
        <w:rPr>
          <w:lang w:eastAsia="en-AU"/>
        </w:rPr>
        <w:t xml:space="preserve">Police and courts </w:t>
      </w:r>
      <w:r w:rsidR="00BB3DEE">
        <w:rPr>
          <w:lang w:eastAsia="en-AU"/>
        </w:rPr>
        <w:t xml:space="preserve">will </w:t>
      </w:r>
      <w:r>
        <w:rPr>
          <w:lang w:eastAsia="en-AU"/>
        </w:rPr>
        <w:t>provide a safe place where victim-survivors can come and be heard</w:t>
      </w:r>
      <w:r w:rsidR="00136F86">
        <w:rPr>
          <w:lang w:eastAsia="en-AU"/>
        </w:rPr>
        <w:t>, and responses will be trauma-</w:t>
      </w:r>
      <w:r>
        <w:rPr>
          <w:lang w:eastAsia="en-AU"/>
        </w:rPr>
        <w:t>informed.</w:t>
      </w:r>
    </w:p>
    <w:p w14:paraId="5AC0F3F0" w14:textId="6209CB3D" w:rsidR="00F463DF" w:rsidRDefault="00297BB9" w:rsidP="0067521E">
      <w:pPr>
        <w:pStyle w:val="ListParagraph"/>
        <w:numPr>
          <w:ilvl w:val="0"/>
          <w:numId w:val="136"/>
        </w:numPr>
        <w:ind w:left="567" w:hanging="567"/>
        <w:rPr>
          <w:lang w:eastAsia="en-AU"/>
        </w:rPr>
      </w:pPr>
      <w:r>
        <w:rPr>
          <w:lang w:eastAsia="en-AU"/>
        </w:rPr>
        <w:t>Fewer victim-survivors will be misidentified as perpetrators</w:t>
      </w:r>
      <w:r w:rsidR="00677034">
        <w:rPr>
          <w:lang w:eastAsia="en-AU"/>
        </w:rPr>
        <w:t>, and if they are misidentified it will be quickly detected and rectified.</w:t>
      </w:r>
    </w:p>
    <w:p w14:paraId="5DF19584" w14:textId="11DDF7B0" w:rsidR="00BB3DEE" w:rsidRDefault="00136F86" w:rsidP="0067521E">
      <w:pPr>
        <w:pStyle w:val="ListParagraph"/>
        <w:numPr>
          <w:ilvl w:val="0"/>
          <w:numId w:val="136"/>
        </w:numPr>
        <w:ind w:left="567" w:hanging="567"/>
        <w:rPr>
          <w:lang w:eastAsia="en-AU"/>
        </w:rPr>
      </w:pPr>
      <w:r>
        <w:rPr>
          <w:lang w:eastAsia="en-AU"/>
        </w:rPr>
        <w:t xml:space="preserve">Effective programs will </w:t>
      </w:r>
      <w:r w:rsidR="0003765B">
        <w:rPr>
          <w:lang w:eastAsia="en-AU"/>
        </w:rPr>
        <w:t xml:space="preserve">be in place to </w:t>
      </w:r>
      <w:r>
        <w:rPr>
          <w:lang w:eastAsia="en-AU"/>
        </w:rPr>
        <w:t xml:space="preserve">support offenders to change, </w:t>
      </w:r>
      <w:r w:rsidR="0003765B">
        <w:rPr>
          <w:lang w:eastAsia="en-AU"/>
        </w:rPr>
        <w:t xml:space="preserve">both </w:t>
      </w:r>
      <w:r>
        <w:rPr>
          <w:lang w:eastAsia="en-AU"/>
        </w:rPr>
        <w:t>within and outside of prison.</w:t>
      </w:r>
    </w:p>
    <w:p w14:paraId="7A3A4824" w14:textId="39200264" w:rsidR="000708C6" w:rsidRDefault="007420C2" w:rsidP="0067521E">
      <w:pPr>
        <w:pStyle w:val="ListParagraph"/>
        <w:numPr>
          <w:ilvl w:val="0"/>
          <w:numId w:val="136"/>
        </w:numPr>
        <w:ind w:left="567" w:hanging="567"/>
        <w:rPr>
          <w:lang w:eastAsia="en-AU"/>
        </w:rPr>
      </w:pPr>
      <w:r>
        <w:rPr>
          <w:lang w:eastAsia="en-AU"/>
        </w:rPr>
        <w:t xml:space="preserve">Responses will be culturally safe and culturally </w:t>
      </w:r>
      <w:r w:rsidR="00756A00">
        <w:rPr>
          <w:lang w:eastAsia="en-AU"/>
        </w:rPr>
        <w:t xml:space="preserve">competent, with no place for </w:t>
      </w:r>
      <w:r>
        <w:rPr>
          <w:lang w:eastAsia="en-AU"/>
        </w:rPr>
        <w:t>racism or unconscious bias.</w:t>
      </w:r>
      <w:r w:rsidR="000708C6">
        <w:rPr>
          <w:lang w:eastAsia="en-AU"/>
        </w:rPr>
        <w:t xml:space="preserve"> </w:t>
      </w:r>
    </w:p>
    <w:p w14:paraId="060C0FC2" w14:textId="64D79112" w:rsidR="00D80178" w:rsidRDefault="0003765B" w:rsidP="0067521E">
      <w:pPr>
        <w:pStyle w:val="ListParagraph"/>
        <w:numPr>
          <w:ilvl w:val="0"/>
          <w:numId w:val="136"/>
        </w:numPr>
        <w:spacing w:after="200"/>
        <w:ind w:left="567" w:hanging="567"/>
        <w:rPr>
          <w:lang w:eastAsia="en-AU"/>
        </w:rPr>
      </w:pPr>
      <w:r>
        <w:rPr>
          <w:lang w:eastAsia="en-AU"/>
        </w:rPr>
        <w:t>Victim-survivors</w:t>
      </w:r>
      <w:r w:rsidR="00EE5327">
        <w:rPr>
          <w:lang w:eastAsia="en-AU"/>
        </w:rPr>
        <w:t xml:space="preserve"> will be less traumatised by their contact with the justice system and will feel respected, believed,</w:t>
      </w:r>
      <w:r w:rsidR="00677034">
        <w:rPr>
          <w:lang w:eastAsia="en-AU"/>
        </w:rPr>
        <w:t xml:space="preserve"> informed and </w:t>
      </w:r>
      <w:r w:rsidR="00C25EFF">
        <w:rPr>
          <w:lang w:eastAsia="en-AU"/>
        </w:rPr>
        <w:t>consulted</w:t>
      </w:r>
      <w:r w:rsidR="00EE5327">
        <w:rPr>
          <w:lang w:eastAsia="en-AU"/>
        </w:rPr>
        <w:t xml:space="preserve">. </w:t>
      </w:r>
    </w:p>
    <w:p w14:paraId="1D605B94" w14:textId="53B6B30F" w:rsidR="00EE5327" w:rsidRDefault="00EE5327" w:rsidP="00B37B16">
      <w:pPr>
        <w:pStyle w:val="Heading4"/>
        <w:keepNext/>
        <w:rPr>
          <w:lang w:eastAsia="en-AU"/>
        </w:rPr>
      </w:pPr>
      <w:r>
        <w:rPr>
          <w:lang w:eastAsia="en-AU"/>
        </w:rPr>
        <w:t>Obligation to investigate and prosecute on behalf of the community</w:t>
      </w:r>
    </w:p>
    <w:p w14:paraId="4F39B04E" w14:textId="7B9D4E79" w:rsidR="00D80178" w:rsidRPr="00AD7527" w:rsidRDefault="00D80178" w:rsidP="00B37B16">
      <w:pPr>
        <w:keepNext/>
        <w:spacing w:after="120"/>
        <w:rPr>
          <w:lang w:eastAsia="en-AU"/>
        </w:rPr>
      </w:pPr>
      <w:r w:rsidRPr="00AD7527">
        <w:rPr>
          <w:lang w:eastAsia="en-AU"/>
        </w:rPr>
        <w:t xml:space="preserve">In considering </w:t>
      </w:r>
      <w:r w:rsidR="00AD7527">
        <w:rPr>
          <w:lang w:eastAsia="en-AU"/>
        </w:rPr>
        <w:t xml:space="preserve">community </w:t>
      </w:r>
      <w:r w:rsidRPr="00AD7527">
        <w:rPr>
          <w:lang w:eastAsia="en-AU"/>
        </w:rPr>
        <w:t>expectations of the justice system it is impor</w:t>
      </w:r>
      <w:r w:rsidR="00EE5327">
        <w:rPr>
          <w:lang w:eastAsia="en-AU"/>
        </w:rPr>
        <w:t>tant to acknowledge that some victim-survivors</w:t>
      </w:r>
      <w:r w:rsidRPr="00AD7527">
        <w:rPr>
          <w:lang w:eastAsia="en-AU"/>
        </w:rPr>
        <w:t>:</w:t>
      </w:r>
    </w:p>
    <w:p w14:paraId="155DC68D" w14:textId="04D011AB" w:rsidR="00D80178" w:rsidRPr="00AD7527" w:rsidRDefault="00B37B16" w:rsidP="0067521E">
      <w:pPr>
        <w:pStyle w:val="ListParagraph"/>
        <w:numPr>
          <w:ilvl w:val="0"/>
          <w:numId w:val="135"/>
        </w:numPr>
        <w:ind w:left="1134" w:hanging="567"/>
        <w:rPr>
          <w:lang w:eastAsia="en-AU"/>
        </w:rPr>
      </w:pPr>
      <w:r w:rsidRPr="00AD7527">
        <w:rPr>
          <w:lang w:eastAsia="en-AU"/>
        </w:rPr>
        <w:t xml:space="preserve">do </w:t>
      </w:r>
      <w:r w:rsidR="00F40440" w:rsidRPr="00AD7527">
        <w:rPr>
          <w:lang w:eastAsia="en-AU"/>
        </w:rPr>
        <w:t>not want to</w:t>
      </w:r>
      <w:r w:rsidR="00E21A98">
        <w:rPr>
          <w:lang w:eastAsia="en-AU"/>
        </w:rPr>
        <w:t>, or are unable to, report DFV</w:t>
      </w:r>
      <w:r>
        <w:rPr>
          <w:lang w:eastAsia="en-AU"/>
        </w:rPr>
        <w:t>;</w:t>
      </w:r>
      <w:r w:rsidR="00F40440" w:rsidRPr="00AD7527">
        <w:rPr>
          <w:lang w:eastAsia="en-AU"/>
        </w:rPr>
        <w:t xml:space="preserve"> or </w:t>
      </w:r>
    </w:p>
    <w:p w14:paraId="04BF348D" w14:textId="1103709A" w:rsidR="00D80178" w:rsidRPr="00AD7527" w:rsidRDefault="00B37B16" w:rsidP="0067521E">
      <w:pPr>
        <w:pStyle w:val="ListParagraph"/>
        <w:numPr>
          <w:ilvl w:val="0"/>
          <w:numId w:val="135"/>
        </w:numPr>
        <w:ind w:left="1134" w:hanging="567"/>
        <w:rPr>
          <w:lang w:eastAsia="en-AU"/>
        </w:rPr>
      </w:pPr>
      <w:r w:rsidRPr="00AD7527">
        <w:rPr>
          <w:lang w:eastAsia="en-AU"/>
        </w:rPr>
        <w:t xml:space="preserve">have </w:t>
      </w:r>
      <w:r w:rsidR="00D80178" w:rsidRPr="00AD7527">
        <w:rPr>
          <w:lang w:eastAsia="en-AU"/>
        </w:rPr>
        <w:t xml:space="preserve">reported DFV but do not want to give </w:t>
      </w:r>
      <w:r>
        <w:rPr>
          <w:lang w:eastAsia="en-AU"/>
        </w:rPr>
        <w:t>evidence;</w:t>
      </w:r>
      <w:r w:rsidR="00F40440" w:rsidRPr="00AD7527">
        <w:rPr>
          <w:lang w:eastAsia="en-AU"/>
        </w:rPr>
        <w:t xml:space="preserve"> </w:t>
      </w:r>
      <w:r w:rsidR="00813D4F">
        <w:rPr>
          <w:lang w:eastAsia="en-AU"/>
        </w:rPr>
        <w:t>or</w:t>
      </w:r>
    </w:p>
    <w:p w14:paraId="227B38E1" w14:textId="349A975C" w:rsidR="00F40440" w:rsidRPr="00AD7527" w:rsidRDefault="00B37B16" w:rsidP="0067521E">
      <w:pPr>
        <w:pStyle w:val="ListParagraph"/>
        <w:numPr>
          <w:ilvl w:val="0"/>
          <w:numId w:val="135"/>
        </w:numPr>
        <w:ind w:left="1134" w:hanging="567"/>
        <w:rPr>
          <w:lang w:eastAsia="en-AU"/>
        </w:rPr>
      </w:pPr>
      <w:r w:rsidRPr="00AD7527">
        <w:rPr>
          <w:lang w:eastAsia="en-AU"/>
        </w:rPr>
        <w:t xml:space="preserve">wish </w:t>
      </w:r>
      <w:r w:rsidR="00F40440" w:rsidRPr="00AD7527">
        <w:rPr>
          <w:lang w:eastAsia="en-AU"/>
        </w:rPr>
        <w:t>to ‘</w:t>
      </w:r>
      <w:r w:rsidR="00AD7527">
        <w:rPr>
          <w:lang w:eastAsia="en-AU"/>
        </w:rPr>
        <w:t>withdraw</w:t>
      </w:r>
      <w:r w:rsidR="00F40440" w:rsidRPr="00AD7527">
        <w:rPr>
          <w:lang w:eastAsia="en-AU"/>
        </w:rPr>
        <w:t xml:space="preserve"> the charges’</w:t>
      </w:r>
      <w:r>
        <w:rPr>
          <w:lang w:eastAsia="en-AU"/>
        </w:rPr>
        <w:t xml:space="preserve"> against the defendant;</w:t>
      </w:r>
      <w:r w:rsidR="00813D4F">
        <w:rPr>
          <w:lang w:eastAsia="en-AU"/>
        </w:rPr>
        <w:t xml:space="preserve"> or</w:t>
      </w:r>
    </w:p>
    <w:p w14:paraId="3A77C279" w14:textId="2E774A12" w:rsidR="00F40440" w:rsidRDefault="00B37B16" w:rsidP="0067521E">
      <w:pPr>
        <w:pStyle w:val="ListParagraph"/>
        <w:numPr>
          <w:ilvl w:val="0"/>
          <w:numId w:val="135"/>
        </w:numPr>
        <w:spacing w:after="200"/>
        <w:ind w:left="1134" w:hanging="567"/>
        <w:rPr>
          <w:lang w:eastAsia="en-AU"/>
        </w:rPr>
      </w:pPr>
      <w:r>
        <w:rPr>
          <w:lang w:eastAsia="en-AU"/>
        </w:rPr>
        <w:t xml:space="preserve">wish </w:t>
      </w:r>
      <w:r w:rsidR="00813D4F">
        <w:rPr>
          <w:lang w:eastAsia="en-AU"/>
        </w:rPr>
        <w:t>to have a DVO in force against</w:t>
      </w:r>
      <w:r w:rsidR="00D80178" w:rsidRPr="00AD7527">
        <w:rPr>
          <w:lang w:eastAsia="en-AU"/>
        </w:rPr>
        <w:t xml:space="preserve"> the defendant revoked.</w:t>
      </w:r>
    </w:p>
    <w:p w14:paraId="3A51E85D" w14:textId="7FF52778" w:rsidR="00AD7527" w:rsidRPr="00AD7527" w:rsidRDefault="00AD7527" w:rsidP="00B37B16">
      <w:pPr>
        <w:keepLines/>
        <w:rPr>
          <w:lang w:eastAsia="en-AU"/>
        </w:rPr>
      </w:pPr>
      <w:r>
        <w:rPr>
          <w:lang w:eastAsia="en-AU"/>
        </w:rPr>
        <w:lastRenderedPageBreak/>
        <w:t>There may be complex</w:t>
      </w:r>
      <w:r w:rsidR="00813D4F">
        <w:rPr>
          <w:lang w:eastAsia="en-AU"/>
        </w:rPr>
        <w:t xml:space="preserve"> reasons for victim-survivors not wanting to be involved in the justice system</w:t>
      </w:r>
      <w:r>
        <w:rPr>
          <w:lang w:eastAsia="en-AU"/>
        </w:rPr>
        <w:t xml:space="preserve">, including fear of the defendant and their family and supporters, </w:t>
      </w:r>
      <w:r w:rsidR="00813D4F">
        <w:rPr>
          <w:lang w:eastAsia="en-AU"/>
        </w:rPr>
        <w:t xml:space="preserve">fear and distrust of the justice system itself, shame and embarrassment, concern for children, </w:t>
      </w:r>
      <w:r>
        <w:rPr>
          <w:lang w:eastAsia="en-AU"/>
        </w:rPr>
        <w:t xml:space="preserve">and </w:t>
      </w:r>
      <w:r w:rsidR="00813D4F">
        <w:rPr>
          <w:lang w:eastAsia="en-AU"/>
        </w:rPr>
        <w:t>hopes to reunite with the defendant</w:t>
      </w:r>
      <w:r>
        <w:rPr>
          <w:lang w:eastAsia="en-AU"/>
        </w:rPr>
        <w:t>.  Many</w:t>
      </w:r>
      <w:r w:rsidR="00781F85">
        <w:rPr>
          <w:lang w:eastAsia="en-AU"/>
        </w:rPr>
        <w:t xml:space="preserve"> defendants and their supporters harass and intimidate victim-survivors</w:t>
      </w:r>
      <w:r w:rsidR="0098668D">
        <w:rPr>
          <w:lang w:eastAsia="en-AU"/>
        </w:rPr>
        <w:t xml:space="preserve"> to pressure them to withdraw charges or </w:t>
      </w:r>
      <w:r w:rsidR="00813D4F">
        <w:rPr>
          <w:lang w:eastAsia="en-AU"/>
        </w:rPr>
        <w:t xml:space="preserve">to </w:t>
      </w:r>
      <w:r w:rsidR="0098668D">
        <w:rPr>
          <w:lang w:eastAsia="en-AU"/>
        </w:rPr>
        <w:t>provide false evidence</w:t>
      </w:r>
      <w:r w:rsidR="00781F85">
        <w:rPr>
          <w:lang w:eastAsia="en-AU"/>
        </w:rPr>
        <w:t xml:space="preserve">. </w:t>
      </w:r>
      <w:r w:rsidR="00B37B16">
        <w:rPr>
          <w:lang w:eastAsia="en-AU"/>
        </w:rPr>
        <w:t xml:space="preserve"> </w:t>
      </w:r>
      <w:r w:rsidR="00781F85">
        <w:rPr>
          <w:lang w:eastAsia="en-AU"/>
        </w:rPr>
        <w:t>This is not acceptable.</w:t>
      </w:r>
    </w:p>
    <w:p w14:paraId="3C678E5D" w14:textId="2E33465D" w:rsidR="00C245AB" w:rsidRPr="000A328F" w:rsidRDefault="008863D4" w:rsidP="00D80178">
      <w:pPr>
        <w:rPr>
          <w:b/>
          <w:i/>
          <w:lang w:eastAsia="en-AU"/>
        </w:rPr>
      </w:pPr>
      <w:r w:rsidRPr="000A328F">
        <w:rPr>
          <w:b/>
          <w:i/>
          <w:lang w:eastAsia="en-AU"/>
        </w:rPr>
        <w:t xml:space="preserve">While the wishes and views of victim-survivors must be respected and </w:t>
      </w:r>
      <w:r w:rsidR="000A328F">
        <w:rPr>
          <w:b/>
          <w:i/>
          <w:lang w:eastAsia="en-AU"/>
        </w:rPr>
        <w:t xml:space="preserve">should </w:t>
      </w:r>
      <w:r w:rsidRPr="000A328F">
        <w:rPr>
          <w:b/>
          <w:i/>
          <w:lang w:eastAsia="en-AU"/>
        </w:rPr>
        <w:t>inform responses to DFV, it is a strong principle underpinning thi</w:t>
      </w:r>
      <w:r w:rsidR="00F473B9">
        <w:rPr>
          <w:b/>
          <w:i/>
          <w:lang w:eastAsia="en-AU"/>
        </w:rPr>
        <w:t>s rev</w:t>
      </w:r>
      <w:r w:rsidR="00813D4F">
        <w:rPr>
          <w:b/>
          <w:i/>
          <w:lang w:eastAsia="en-AU"/>
        </w:rPr>
        <w:t>iew that</w:t>
      </w:r>
      <w:r w:rsidR="00F473B9">
        <w:rPr>
          <w:b/>
          <w:i/>
          <w:lang w:eastAsia="en-AU"/>
        </w:rPr>
        <w:t xml:space="preserve"> justice agencies</w:t>
      </w:r>
      <w:r w:rsidRPr="000A328F">
        <w:rPr>
          <w:b/>
          <w:i/>
          <w:lang w:eastAsia="en-AU"/>
        </w:rPr>
        <w:t xml:space="preserve"> h</w:t>
      </w:r>
      <w:r w:rsidR="00F473B9">
        <w:rPr>
          <w:b/>
          <w:i/>
          <w:lang w:eastAsia="en-AU"/>
        </w:rPr>
        <w:t>ave an obligation to investigate</w:t>
      </w:r>
      <w:r w:rsidRPr="000A328F">
        <w:rPr>
          <w:b/>
          <w:i/>
          <w:lang w:eastAsia="en-AU"/>
        </w:rPr>
        <w:t xml:space="preserve"> and prosecute </w:t>
      </w:r>
      <w:r w:rsidR="00AD7527" w:rsidRPr="000A328F">
        <w:rPr>
          <w:b/>
          <w:i/>
          <w:lang w:eastAsia="en-AU"/>
        </w:rPr>
        <w:t xml:space="preserve">DFV related </w:t>
      </w:r>
      <w:r w:rsidRPr="000A328F">
        <w:rPr>
          <w:b/>
          <w:i/>
          <w:lang w:eastAsia="en-AU"/>
        </w:rPr>
        <w:t>offences</w:t>
      </w:r>
      <w:r w:rsidR="00AD7527" w:rsidRPr="000A328F">
        <w:rPr>
          <w:b/>
          <w:i/>
          <w:lang w:eastAsia="en-AU"/>
        </w:rPr>
        <w:t xml:space="preserve"> irrespecti</w:t>
      </w:r>
      <w:r w:rsidR="00F473B9">
        <w:rPr>
          <w:b/>
          <w:i/>
          <w:lang w:eastAsia="en-AU"/>
        </w:rPr>
        <w:t>ve of whether victim-survivors w</w:t>
      </w:r>
      <w:r w:rsidR="00AD7527" w:rsidRPr="000A328F">
        <w:rPr>
          <w:b/>
          <w:i/>
          <w:lang w:eastAsia="en-AU"/>
        </w:rPr>
        <w:t>ant that to occur.</w:t>
      </w:r>
      <w:r w:rsidR="000A328F">
        <w:rPr>
          <w:b/>
          <w:i/>
          <w:lang w:eastAsia="en-AU"/>
        </w:rPr>
        <w:t xml:space="preserve"> </w:t>
      </w:r>
      <w:r w:rsidRPr="000A328F">
        <w:rPr>
          <w:b/>
          <w:i/>
          <w:lang w:eastAsia="en-AU"/>
        </w:rPr>
        <w:t xml:space="preserve"> </w:t>
      </w:r>
    </w:p>
    <w:p w14:paraId="46774A00" w14:textId="6833412A" w:rsidR="00D80178" w:rsidRDefault="00813D4F" w:rsidP="00D80178">
      <w:pPr>
        <w:rPr>
          <w:lang w:eastAsia="en-AU"/>
        </w:rPr>
      </w:pPr>
      <w:r>
        <w:rPr>
          <w:lang w:eastAsia="en-AU"/>
        </w:rPr>
        <w:t>A DFV-related offence is not just a crime</w:t>
      </w:r>
      <w:r w:rsidR="008863D4" w:rsidRPr="00AD7527">
        <w:rPr>
          <w:lang w:eastAsia="en-AU"/>
        </w:rPr>
        <w:t xml:space="preserve"> against an individual v</w:t>
      </w:r>
      <w:r>
        <w:rPr>
          <w:lang w:eastAsia="en-AU"/>
        </w:rPr>
        <w:t>ictim-survivor. It is a crime</w:t>
      </w:r>
      <w:r w:rsidR="008863D4" w:rsidRPr="00AD7527">
        <w:rPr>
          <w:lang w:eastAsia="en-AU"/>
        </w:rPr>
        <w:t xml:space="preserve"> aga</w:t>
      </w:r>
      <w:r w:rsidR="00AD7527">
        <w:rPr>
          <w:lang w:eastAsia="en-AU"/>
        </w:rPr>
        <w:t xml:space="preserve">inst the community as a whole.  </w:t>
      </w:r>
      <w:r w:rsidR="008863D4" w:rsidRPr="00AD7527">
        <w:rPr>
          <w:lang w:eastAsia="en-AU"/>
        </w:rPr>
        <w:t>Police and prosecutors have an obligation to pursue criminal offending and to protect the safety</w:t>
      </w:r>
      <w:r w:rsidR="00AD7527">
        <w:rPr>
          <w:lang w:eastAsia="en-AU"/>
        </w:rPr>
        <w:t xml:space="preserve"> </w:t>
      </w:r>
      <w:r w:rsidR="000A328F">
        <w:rPr>
          <w:lang w:eastAsia="en-AU"/>
        </w:rPr>
        <w:t xml:space="preserve">of every member of the community, </w:t>
      </w:r>
      <w:r w:rsidR="00AD7527">
        <w:rPr>
          <w:lang w:eastAsia="en-AU"/>
        </w:rPr>
        <w:t>independently of the wishes</w:t>
      </w:r>
      <w:r w:rsidR="000A328F">
        <w:rPr>
          <w:lang w:eastAsia="en-AU"/>
        </w:rPr>
        <w:t xml:space="preserve"> of individual victim-survivors</w:t>
      </w:r>
      <w:r w:rsidR="00AD7527">
        <w:rPr>
          <w:lang w:eastAsia="en-AU"/>
        </w:rPr>
        <w:t>.</w:t>
      </w:r>
      <w:r w:rsidR="008863D4">
        <w:rPr>
          <w:lang w:eastAsia="en-AU"/>
        </w:rPr>
        <w:t xml:space="preserve"> </w:t>
      </w:r>
    </w:p>
    <w:p w14:paraId="77048335" w14:textId="4226EB9C" w:rsidR="000A328F" w:rsidRDefault="00AD7527" w:rsidP="00D80178">
      <w:pPr>
        <w:rPr>
          <w:lang w:eastAsia="en-AU"/>
        </w:rPr>
      </w:pPr>
      <w:r>
        <w:rPr>
          <w:lang w:eastAsia="en-AU"/>
        </w:rPr>
        <w:t>The burden of deciding whether criminal charges and prosecutions should be pursued should not fall on the shoulders of individual victim-survivors</w:t>
      </w:r>
      <w:r w:rsidR="00813D4F">
        <w:rPr>
          <w:lang w:eastAsia="en-AU"/>
        </w:rPr>
        <w:t xml:space="preserve">. </w:t>
      </w:r>
      <w:r w:rsidR="00B37B16">
        <w:rPr>
          <w:lang w:eastAsia="en-AU"/>
        </w:rPr>
        <w:t xml:space="preserve"> </w:t>
      </w:r>
      <w:r w:rsidR="00813D4F">
        <w:rPr>
          <w:lang w:eastAsia="en-AU"/>
        </w:rPr>
        <w:t>The decision</w:t>
      </w:r>
      <w:r>
        <w:rPr>
          <w:lang w:eastAsia="en-AU"/>
        </w:rPr>
        <w:t xml:space="preserve"> should be undertaken by justice agencies </w:t>
      </w:r>
      <w:r w:rsidR="000A328F">
        <w:rPr>
          <w:lang w:eastAsia="en-AU"/>
        </w:rPr>
        <w:t>on behalf of the whole community.</w:t>
      </w:r>
      <w:r w:rsidR="0098668D">
        <w:rPr>
          <w:lang w:eastAsia="en-AU"/>
        </w:rPr>
        <w:t xml:space="preserve"> </w:t>
      </w:r>
    </w:p>
    <w:p w14:paraId="4C59AA28" w14:textId="13533EB8" w:rsidR="001E6CD3" w:rsidRDefault="001E6CD3" w:rsidP="00D80178">
      <w:pPr>
        <w:rPr>
          <w:lang w:eastAsia="en-AU"/>
        </w:rPr>
      </w:pPr>
      <w:r>
        <w:rPr>
          <w:lang w:eastAsia="en-AU"/>
        </w:rPr>
        <w:t xml:space="preserve">Every effort should be made to empower the victim-survivor </w:t>
      </w:r>
      <w:r w:rsidR="006A5A9E">
        <w:rPr>
          <w:lang w:eastAsia="en-AU"/>
        </w:rPr>
        <w:t xml:space="preserve">throughout the process, as </w:t>
      </w:r>
      <w:r w:rsidR="00B863B2">
        <w:rPr>
          <w:lang w:eastAsia="en-AU"/>
        </w:rPr>
        <w:t>there is</w:t>
      </w:r>
      <w:r>
        <w:rPr>
          <w:lang w:eastAsia="en-AU"/>
        </w:rPr>
        <w:t xml:space="preserve"> </w:t>
      </w:r>
      <w:r w:rsidR="00473FBE">
        <w:rPr>
          <w:lang w:eastAsia="en-AU"/>
        </w:rPr>
        <w:t xml:space="preserve">likely to be </w:t>
      </w:r>
      <w:r>
        <w:rPr>
          <w:lang w:eastAsia="en-AU"/>
        </w:rPr>
        <w:t>a correlation between the empowerment of the victim-survivor and longer</w:t>
      </w:r>
      <w:r w:rsidR="00677034">
        <w:rPr>
          <w:lang w:eastAsia="en-AU"/>
        </w:rPr>
        <w:t>-</w:t>
      </w:r>
      <w:r>
        <w:rPr>
          <w:lang w:eastAsia="en-AU"/>
        </w:rPr>
        <w:t>term safety outcomes.</w:t>
      </w:r>
    </w:p>
    <w:p w14:paraId="4727E6A8" w14:textId="253C47D6" w:rsidR="00D4478C" w:rsidRPr="00B05B8C" w:rsidRDefault="00D4478C" w:rsidP="00B37B16">
      <w:pPr>
        <w:pStyle w:val="Heading4"/>
        <w:keepNext/>
        <w:numPr>
          <w:ilvl w:val="0"/>
          <w:numId w:val="0"/>
        </w:numPr>
        <w:spacing w:after="0" w:line="259" w:lineRule="auto"/>
        <w:rPr>
          <w:lang w:eastAsia="en-AU"/>
        </w:rPr>
      </w:pPr>
      <w:r>
        <w:t>PROPOSAL SR 5</w:t>
      </w:r>
    </w:p>
    <w:p w14:paraId="196F5260" w14:textId="25937600" w:rsidR="00D4478C" w:rsidRPr="00B37B16" w:rsidRDefault="00D4478C" w:rsidP="00B37B16">
      <w:pPr>
        <w:spacing w:line="259" w:lineRule="auto"/>
        <w:rPr>
          <w:b/>
          <w:lang w:eastAsia="en-AU"/>
        </w:rPr>
      </w:pPr>
      <w:r w:rsidRPr="00B05B8C">
        <w:rPr>
          <w:b/>
          <w:lang w:eastAsia="en-AU"/>
        </w:rPr>
        <w:t xml:space="preserve">It is </w:t>
      </w:r>
      <w:r>
        <w:rPr>
          <w:b/>
          <w:lang w:eastAsia="en-AU"/>
        </w:rPr>
        <w:t xml:space="preserve">proposed that </w:t>
      </w:r>
      <w:r w:rsidR="00D73F3E">
        <w:rPr>
          <w:b/>
          <w:lang w:eastAsia="en-AU"/>
        </w:rPr>
        <w:t>collaboration</w:t>
      </w:r>
      <w:r>
        <w:rPr>
          <w:b/>
          <w:lang w:eastAsia="en-AU"/>
        </w:rPr>
        <w:t xml:space="preserve"> between stakeholders occur </w:t>
      </w:r>
      <w:r w:rsidR="00D82084">
        <w:rPr>
          <w:b/>
          <w:lang w:eastAsia="en-AU"/>
        </w:rPr>
        <w:t>to agree on shared expectations of the justice response, with the above expectations as a starting point</w:t>
      </w:r>
      <w:r w:rsidR="00D73F3E">
        <w:rPr>
          <w:b/>
          <w:lang w:eastAsia="en-AU"/>
        </w:rPr>
        <w:t xml:space="preserve"> for discussion</w:t>
      </w:r>
      <w:r w:rsidR="00D82084">
        <w:rPr>
          <w:b/>
          <w:lang w:eastAsia="en-AU"/>
        </w:rPr>
        <w:t>.</w:t>
      </w:r>
    </w:p>
    <w:p w14:paraId="12362268" w14:textId="4A228D42" w:rsidR="005B2242" w:rsidRPr="00080500" w:rsidRDefault="00D95DD2" w:rsidP="00B37B16">
      <w:pPr>
        <w:pStyle w:val="Heading3"/>
        <w:keepNext/>
      </w:pPr>
      <w:bookmarkStart w:id="104" w:name="_Toc112051888"/>
      <w:r>
        <w:t>An</w:t>
      </w:r>
      <w:r w:rsidR="005B2242">
        <w:t xml:space="preserve"> ‘integrated’ response to DFV</w:t>
      </w:r>
      <w:bookmarkEnd w:id="104"/>
    </w:p>
    <w:p w14:paraId="16CBCFCA" w14:textId="674F4D47" w:rsidR="00D95DD2" w:rsidRPr="006D18DE" w:rsidRDefault="00D95DD2" w:rsidP="00B37B16">
      <w:r w:rsidRPr="00631D17">
        <w:t>There is no easy</w:t>
      </w:r>
      <w:r>
        <w:t xml:space="preserve"> solution to meet the challenges</w:t>
      </w:r>
      <w:r w:rsidR="006D18DE">
        <w:t xml:space="preserve"> associated with responding to DFV</w:t>
      </w:r>
      <w:r>
        <w:t>.</w:t>
      </w:r>
      <w:r w:rsidR="00B37B16">
        <w:t xml:space="preserve"> </w:t>
      </w:r>
      <w:r>
        <w:t xml:space="preserve"> However, the most effective approaches across Australia and internationally involve ‘integrated’ and ‘specialist’ approaches. Both were identified as valuable by the ALRC and NSWLRC in their landmark report </w:t>
      </w:r>
      <w:r w:rsidRPr="009166AF">
        <w:rPr>
          <w:i/>
          <w:iCs/>
        </w:rPr>
        <w:t>Family Violence – A National Legal Response</w:t>
      </w:r>
      <w:r>
        <w:rPr>
          <w:rStyle w:val="FootnoteReference"/>
          <w:rFonts w:eastAsia="Times New Roman"/>
          <w:bCs/>
          <w:szCs w:val="20"/>
        </w:rPr>
        <w:footnoteReference w:id="206"/>
      </w:r>
      <w:r>
        <w:t xml:space="preserve"> and have been introduced to varying extents and with various models in other jurisdictions.</w:t>
      </w:r>
    </w:p>
    <w:p w14:paraId="41D29F36" w14:textId="4598ED13" w:rsidR="005B2242" w:rsidRPr="005959A7" w:rsidRDefault="005B2242" w:rsidP="00B37B16">
      <w:pPr>
        <w:spacing w:after="120"/>
      </w:pPr>
      <w:r>
        <w:rPr>
          <w:rFonts w:eastAsia="Times New Roman"/>
          <w:bCs/>
          <w:szCs w:val="20"/>
        </w:rPr>
        <w:t>An ‘</w:t>
      </w:r>
      <w:r w:rsidRPr="005959A7">
        <w:t>integrated response</w:t>
      </w:r>
      <w:r>
        <w:t>’ is one in which</w:t>
      </w:r>
      <w:r w:rsidRPr="005959A7">
        <w:t xml:space="preserve"> </w:t>
      </w:r>
      <w:r>
        <w:t xml:space="preserve">multiple </w:t>
      </w:r>
      <w:r w:rsidRPr="005959A7">
        <w:t xml:space="preserve">agencies work together </w:t>
      </w:r>
      <w:r>
        <w:t xml:space="preserve">purposefully to provide a co-ordinated </w:t>
      </w:r>
      <w:r w:rsidRPr="005959A7">
        <w:t>response that is directed towards:</w:t>
      </w:r>
    </w:p>
    <w:p w14:paraId="4832B3A2" w14:textId="059AB00A" w:rsidR="005B2242" w:rsidRPr="005959A7" w:rsidRDefault="00B37B16" w:rsidP="0067521E">
      <w:pPr>
        <w:pStyle w:val="ListParagraph"/>
        <w:numPr>
          <w:ilvl w:val="0"/>
          <w:numId w:val="22"/>
        </w:numPr>
        <w:ind w:left="567" w:hanging="567"/>
      </w:pPr>
      <w:r w:rsidRPr="005959A7">
        <w:t xml:space="preserve">safety </w:t>
      </w:r>
      <w:r w:rsidR="005B2242" w:rsidRPr="005959A7">
        <w:t>and protection of victim</w:t>
      </w:r>
      <w:r w:rsidR="005B2242">
        <w:t>-survivors</w:t>
      </w:r>
      <w:r w:rsidR="005B2242" w:rsidRPr="005959A7">
        <w:t xml:space="preserve"> and any children</w:t>
      </w:r>
      <w:r>
        <w:t>;</w:t>
      </w:r>
      <w:r w:rsidR="005B2242" w:rsidRPr="005959A7">
        <w:t xml:space="preserve"> and</w:t>
      </w:r>
    </w:p>
    <w:p w14:paraId="5C221F99" w14:textId="72FEDBB8" w:rsidR="005B2242" w:rsidRDefault="00B37B16" w:rsidP="0067521E">
      <w:pPr>
        <w:pStyle w:val="ListParagraph"/>
        <w:numPr>
          <w:ilvl w:val="0"/>
          <w:numId w:val="22"/>
        </w:numPr>
        <w:spacing w:after="200"/>
        <w:ind w:left="567" w:hanging="567"/>
      </w:pPr>
      <w:r w:rsidRPr="005959A7">
        <w:t xml:space="preserve">the </w:t>
      </w:r>
      <w:r w:rsidR="005B2242" w:rsidRPr="005959A7">
        <w:t>accountability of perpetrator</w:t>
      </w:r>
      <w:r w:rsidR="005B2242">
        <w:t>s, that is, perpetrators taking</w:t>
      </w:r>
      <w:r w:rsidR="005B2242" w:rsidRPr="005959A7">
        <w:t xml:space="preserve"> res</w:t>
      </w:r>
      <w:r w:rsidR="005B2242">
        <w:t>ponsibility for their behaviour, rather than blaming the victim.</w:t>
      </w:r>
    </w:p>
    <w:p w14:paraId="704DB7A7" w14:textId="77777777" w:rsidR="005B2242" w:rsidRDefault="005B2242" w:rsidP="00B37B16">
      <w:r>
        <w:t xml:space="preserve">ANROWS has described the need for ‘a web of accountability’ in which police, courts, corrections, perpetrator program and services, child protection agencies and other DFV specialist agencies align their responses to ensure perpetrators of DFV are held to account. </w:t>
      </w:r>
      <w:r w:rsidRPr="008975CC">
        <w:rPr>
          <w:rStyle w:val="FootnoteReference"/>
        </w:rPr>
        <w:footnoteReference w:id="207"/>
      </w:r>
    </w:p>
    <w:p w14:paraId="30F4115A" w14:textId="77777777" w:rsidR="005B2242" w:rsidRDefault="005B2242" w:rsidP="00B37B16">
      <w:pPr>
        <w:keepNext/>
        <w:spacing w:after="120"/>
        <w:rPr>
          <w:lang w:eastAsia="en-AU"/>
        </w:rPr>
      </w:pPr>
      <w:r>
        <w:rPr>
          <w:lang w:eastAsia="en-AU"/>
        </w:rPr>
        <w:lastRenderedPageBreak/>
        <w:t>To achieve a more integrated approach requires government agencies and non-government organisations being prepared to:</w:t>
      </w:r>
    </w:p>
    <w:p w14:paraId="1E4A760D" w14:textId="36318091" w:rsidR="005B2242" w:rsidRDefault="00B37B16" w:rsidP="0067521E">
      <w:pPr>
        <w:pStyle w:val="ListParagraph"/>
        <w:numPr>
          <w:ilvl w:val="0"/>
          <w:numId w:val="51"/>
        </w:numPr>
        <w:ind w:left="567" w:hanging="567"/>
        <w:rPr>
          <w:lang w:eastAsia="en-AU"/>
        </w:rPr>
      </w:pPr>
      <w:r>
        <w:rPr>
          <w:lang w:eastAsia="en-AU"/>
        </w:rPr>
        <w:t xml:space="preserve">be </w:t>
      </w:r>
      <w:r w:rsidR="005B2242">
        <w:rPr>
          <w:lang w:eastAsia="en-AU"/>
        </w:rPr>
        <w:t>open to genuine collaboration, and prepared to act as part of a single co-ordinated system which prioritises victim saf</w:t>
      </w:r>
      <w:r w:rsidR="00EE5327">
        <w:rPr>
          <w:lang w:eastAsia="en-AU"/>
        </w:rPr>
        <w:t>ety and offender accountability</w:t>
      </w:r>
      <w:r>
        <w:rPr>
          <w:lang w:eastAsia="en-AU"/>
        </w:rPr>
        <w:t>;</w:t>
      </w:r>
    </w:p>
    <w:p w14:paraId="299F87B9" w14:textId="3FFCF20E" w:rsidR="005B2242" w:rsidRDefault="00B37B16" w:rsidP="0067521E">
      <w:pPr>
        <w:pStyle w:val="ListParagraph"/>
        <w:numPr>
          <w:ilvl w:val="0"/>
          <w:numId w:val="51"/>
        </w:numPr>
        <w:ind w:left="567" w:hanging="567"/>
        <w:rPr>
          <w:lang w:eastAsia="en-AU"/>
        </w:rPr>
      </w:pPr>
      <w:r>
        <w:rPr>
          <w:lang w:eastAsia="en-AU"/>
        </w:rPr>
        <w:t xml:space="preserve">share </w:t>
      </w:r>
      <w:r w:rsidR="005B2242">
        <w:rPr>
          <w:lang w:eastAsia="en-AU"/>
        </w:rPr>
        <w:t>policies and procedures with other agencies at an early planning stage (transparency) and commit to revising their own policies and procedures, in light of the policies and procedures of oth</w:t>
      </w:r>
      <w:r w:rsidR="00EE5327">
        <w:rPr>
          <w:lang w:eastAsia="en-AU"/>
        </w:rPr>
        <w:t>er agencies</w:t>
      </w:r>
      <w:r>
        <w:rPr>
          <w:lang w:eastAsia="en-AU"/>
        </w:rPr>
        <w:t>;</w:t>
      </w:r>
    </w:p>
    <w:p w14:paraId="6826841E" w14:textId="6646C72B" w:rsidR="005B2242" w:rsidRDefault="00B37B16" w:rsidP="0067521E">
      <w:pPr>
        <w:pStyle w:val="ListParagraph"/>
        <w:numPr>
          <w:ilvl w:val="0"/>
          <w:numId w:val="51"/>
        </w:numPr>
        <w:ind w:left="567" w:hanging="567"/>
        <w:rPr>
          <w:lang w:eastAsia="en-AU"/>
        </w:rPr>
      </w:pPr>
      <w:r>
        <w:rPr>
          <w:lang w:eastAsia="en-AU"/>
        </w:rPr>
        <w:t xml:space="preserve">commit </w:t>
      </w:r>
      <w:r w:rsidR="005B2242">
        <w:rPr>
          <w:lang w:eastAsia="en-AU"/>
        </w:rPr>
        <w:t xml:space="preserve">to shared principles about DFV and an </w:t>
      </w:r>
      <w:r w:rsidR="00EE5327">
        <w:rPr>
          <w:lang w:eastAsia="en-AU"/>
        </w:rPr>
        <w:t>alignment of messages about DFV</w:t>
      </w:r>
      <w:r>
        <w:rPr>
          <w:lang w:eastAsia="en-AU"/>
        </w:rPr>
        <w:t>;</w:t>
      </w:r>
    </w:p>
    <w:p w14:paraId="28A770C8" w14:textId="75CD777A" w:rsidR="005B2242" w:rsidRDefault="00B37B16" w:rsidP="0067521E">
      <w:pPr>
        <w:pStyle w:val="ListParagraph"/>
        <w:numPr>
          <w:ilvl w:val="0"/>
          <w:numId w:val="51"/>
        </w:numPr>
        <w:ind w:left="567" w:hanging="567"/>
        <w:rPr>
          <w:lang w:eastAsia="en-AU"/>
        </w:rPr>
      </w:pPr>
      <w:r>
        <w:rPr>
          <w:lang w:eastAsia="en-AU"/>
        </w:rPr>
        <w:t xml:space="preserve">be </w:t>
      </w:r>
      <w:r w:rsidR="005B2242">
        <w:rPr>
          <w:lang w:eastAsia="en-AU"/>
        </w:rPr>
        <w:t>aware of the implicit messages that are conveyed through day-to-day action or inaction, and how that may impact on victim saf</w:t>
      </w:r>
      <w:r w:rsidR="00EE5327">
        <w:rPr>
          <w:lang w:eastAsia="en-AU"/>
        </w:rPr>
        <w:t>ety and offender accountability</w:t>
      </w:r>
      <w:r>
        <w:rPr>
          <w:lang w:eastAsia="en-AU"/>
        </w:rPr>
        <w:t>;</w:t>
      </w:r>
    </w:p>
    <w:p w14:paraId="3A9E6220" w14:textId="32BC98CE" w:rsidR="005B2242" w:rsidRDefault="00B37B16" w:rsidP="0067521E">
      <w:pPr>
        <w:pStyle w:val="ListParagraph"/>
        <w:numPr>
          <w:ilvl w:val="0"/>
          <w:numId w:val="51"/>
        </w:numPr>
        <w:ind w:left="567" w:hanging="567"/>
        <w:rPr>
          <w:lang w:eastAsia="en-AU"/>
        </w:rPr>
      </w:pPr>
      <w:r>
        <w:rPr>
          <w:lang w:eastAsia="en-AU"/>
        </w:rPr>
        <w:t xml:space="preserve">when </w:t>
      </w:r>
      <w:r w:rsidR="005B2242">
        <w:rPr>
          <w:lang w:eastAsia="en-AU"/>
        </w:rPr>
        <w:t>problems or complaints arise, seek to jointly solve prob</w:t>
      </w:r>
      <w:r w:rsidR="00EE5327">
        <w:rPr>
          <w:lang w:eastAsia="en-AU"/>
        </w:rPr>
        <w:t>lems through robust discussions</w:t>
      </w:r>
      <w:r>
        <w:rPr>
          <w:lang w:eastAsia="en-AU"/>
        </w:rPr>
        <w:t>;</w:t>
      </w:r>
      <w:r w:rsidR="009819F0">
        <w:rPr>
          <w:lang w:eastAsia="en-AU"/>
        </w:rPr>
        <w:t xml:space="preserve"> and</w:t>
      </w:r>
    </w:p>
    <w:p w14:paraId="69274BAD" w14:textId="54B08B81" w:rsidR="005B2242" w:rsidRDefault="00B37B16" w:rsidP="0067521E">
      <w:pPr>
        <w:pStyle w:val="ListParagraph"/>
        <w:numPr>
          <w:ilvl w:val="0"/>
          <w:numId w:val="51"/>
        </w:numPr>
        <w:spacing w:after="200"/>
        <w:ind w:left="567" w:hanging="567"/>
        <w:rPr>
          <w:lang w:eastAsia="en-AU"/>
        </w:rPr>
      </w:pPr>
      <w:r>
        <w:rPr>
          <w:lang w:eastAsia="en-AU"/>
        </w:rPr>
        <w:t xml:space="preserve">the </w:t>
      </w:r>
      <w:r w:rsidR="005B2242">
        <w:rPr>
          <w:lang w:eastAsia="en-AU"/>
        </w:rPr>
        <w:t>partnership must extend to non-government agencies who deliver many DFV services.</w:t>
      </w:r>
    </w:p>
    <w:p w14:paraId="238F14D3" w14:textId="3AF68E03" w:rsidR="005B2242" w:rsidRDefault="005B2242" w:rsidP="00B37B16">
      <w:pPr>
        <w:rPr>
          <w:lang w:eastAsia="en-AU"/>
        </w:rPr>
      </w:pPr>
      <w:r>
        <w:rPr>
          <w:lang w:eastAsia="en-AU"/>
        </w:rPr>
        <w:t>An integrated approach doesn’t mean blurring the boundaries of each agency.</w:t>
      </w:r>
      <w:r w:rsidR="00B37B16">
        <w:rPr>
          <w:lang w:eastAsia="en-AU"/>
        </w:rPr>
        <w:t xml:space="preserve"> </w:t>
      </w:r>
      <w:r>
        <w:rPr>
          <w:lang w:eastAsia="en-AU"/>
        </w:rPr>
        <w:t xml:space="preserve"> It simply means each agency does its job as part of a co-ordinated system.</w:t>
      </w:r>
    </w:p>
    <w:p w14:paraId="32B98528" w14:textId="4A7C9AA8" w:rsidR="005B2242" w:rsidRDefault="005B2242" w:rsidP="005B2242">
      <w:pPr>
        <w:rPr>
          <w:lang w:eastAsia="en-AU"/>
        </w:rPr>
      </w:pPr>
      <w:r>
        <w:rPr>
          <w:lang w:eastAsia="en-AU"/>
        </w:rPr>
        <w:t xml:space="preserve">If this occurs victim-survivors will feel safer and more supported by the system and offenders will start to realise that they will not be allowed to get away with it. </w:t>
      </w:r>
      <w:r w:rsidR="00B37B16">
        <w:rPr>
          <w:lang w:eastAsia="en-AU"/>
        </w:rPr>
        <w:t xml:space="preserve"> </w:t>
      </w:r>
      <w:r>
        <w:rPr>
          <w:lang w:eastAsia="en-AU"/>
        </w:rPr>
        <w:t xml:space="preserve">The shared expectations listed in </w:t>
      </w:r>
      <w:r w:rsidR="009819F0">
        <w:rPr>
          <w:lang w:eastAsia="en-AU"/>
        </w:rPr>
        <w:t>Part </w:t>
      </w:r>
      <w:r w:rsidR="00163114">
        <w:rPr>
          <w:lang w:eastAsia="en-AU"/>
        </w:rPr>
        <w:t>5</w:t>
      </w:r>
      <w:r w:rsidRPr="00B37B16">
        <w:rPr>
          <w:lang w:eastAsia="en-AU"/>
        </w:rPr>
        <w:t>.3.2</w:t>
      </w:r>
      <w:r>
        <w:rPr>
          <w:lang w:eastAsia="en-AU"/>
        </w:rPr>
        <w:t xml:space="preserve"> will start to be manifested.</w:t>
      </w:r>
    </w:p>
    <w:p w14:paraId="134C3D71" w14:textId="77777777" w:rsidR="00095C39" w:rsidRPr="007B0B94" w:rsidRDefault="00095C39" w:rsidP="0067521E">
      <w:pPr>
        <w:pStyle w:val="Heading2"/>
        <w:numPr>
          <w:ilvl w:val="1"/>
          <w:numId w:val="143"/>
        </w:numPr>
        <w:tabs>
          <w:tab w:val="left" w:pos="1134"/>
        </w:tabs>
        <w:ind w:left="1134"/>
        <w:rPr>
          <w:lang w:eastAsia="en-AU"/>
        </w:rPr>
      </w:pPr>
      <w:bookmarkStart w:id="105" w:name="_Toc112051889"/>
      <w:r>
        <w:rPr>
          <w:lang w:eastAsia="en-AU"/>
        </w:rPr>
        <w:t>Coercive Control Prevention and Reform</w:t>
      </w:r>
      <w:bookmarkEnd w:id="105"/>
      <w:r>
        <w:rPr>
          <w:lang w:eastAsia="en-AU"/>
        </w:rPr>
        <w:t xml:space="preserve"> </w:t>
      </w:r>
    </w:p>
    <w:p w14:paraId="6EDDC23C" w14:textId="47FEF6DB" w:rsidR="00095C39" w:rsidRDefault="00095C39" w:rsidP="00095C39">
      <w:r>
        <w:t xml:space="preserve">The issues in relation to coercive control have been dealt with in Part 4 of this </w:t>
      </w:r>
      <w:r w:rsidR="009819F0">
        <w:t>paper</w:t>
      </w:r>
      <w:r>
        <w:t xml:space="preserve"> and won’t be repeated here.  </w:t>
      </w:r>
    </w:p>
    <w:p w14:paraId="4C715BC0" w14:textId="55D0BB8A" w:rsidR="00095C39" w:rsidRDefault="00095C39" w:rsidP="00095C39">
      <w:r>
        <w:rPr>
          <w:lang w:eastAsia="en-AU"/>
        </w:rPr>
        <w:t xml:space="preserve">Coercive control is a predominant feature of DFV but is not adequately recognised in the justice response. </w:t>
      </w:r>
      <w:r w:rsidR="009819F0">
        <w:rPr>
          <w:lang w:eastAsia="en-AU"/>
        </w:rPr>
        <w:t xml:space="preserve"> </w:t>
      </w:r>
      <w:r>
        <w:rPr>
          <w:lang w:eastAsia="en-AU"/>
        </w:rPr>
        <w:t xml:space="preserve">Coercive control must be dealt with as an integrated element of DFV, not separate to DFV. </w:t>
      </w:r>
    </w:p>
    <w:p w14:paraId="33D9BA94" w14:textId="3C59CFCD" w:rsidR="00095C39" w:rsidRDefault="00095C39" w:rsidP="00095C39">
      <w:r>
        <w:t xml:space="preserve">It is therefore </w:t>
      </w:r>
      <w:r w:rsidRPr="005527FE">
        <w:rPr>
          <w:bCs/>
        </w:rPr>
        <w:t xml:space="preserve">proposed that the </w:t>
      </w:r>
      <w:r w:rsidR="00E37E7C">
        <w:rPr>
          <w:bCs/>
        </w:rPr>
        <w:t>DFSV-ICRO</w:t>
      </w:r>
      <w:r w:rsidRPr="005527FE">
        <w:rPr>
          <w:bCs/>
        </w:rPr>
        <w:t xml:space="preserve"> be tasked with driving the implementation of reforms to combat coercive control</w:t>
      </w:r>
      <w:r>
        <w:t xml:space="preserve"> to ensure this is imbedded into the work of each agency.  </w:t>
      </w:r>
    </w:p>
    <w:p w14:paraId="42D793D6" w14:textId="77777777" w:rsidR="00095C39" w:rsidRDefault="00095C39" w:rsidP="00095C39">
      <w:r>
        <w:t>Many Territorians – both community members and professionals across health, justice, education, policing and related services – do not understand what coercive control is or recognise that power and control is fundamental to DFV.</w:t>
      </w:r>
    </w:p>
    <w:p w14:paraId="634F4AF0" w14:textId="77777777" w:rsidR="00095C39" w:rsidRDefault="00095C39" w:rsidP="00095C39">
      <w:r w:rsidRPr="00983A63">
        <w:t>It is particularly important to ensure there is two-way dialogue within Aboriginal communities about coercive control and DFV. This will empower Aboriginal people to identify coercive control and facilitate greater community action and leadership in relation DFV in a way that fosters safe and healthy relationships</w:t>
      </w:r>
      <w:r>
        <w:t xml:space="preserve">. This may be facilitated by Aboriginal controlled organisations, other non-government organisations or </w:t>
      </w:r>
      <w:r w:rsidRPr="00983A63">
        <w:t>through the Law and Justice Groups under the AJA</w:t>
      </w:r>
      <w:r>
        <w:t>.</w:t>
      </w:r>
    </w:p>
    <w:p w14:paraId="73FABCFD" w14:textId="2765284E" w:rsidR="00095C39" w:rsidRPr="00983A63" w:rsidRDefault="00D73F3E" w:rsidP="009819F0">
      <w:pPr>
        <w:pStyle w:val="Heading4"/>
        <w:keepNext/>
        <w:numPr>
          <w:ilvl w:val="0"/>
          <w:numId w:val="0"/>
        </w:numPr>
        <w:spacing w:after="0" w:line="259" w:lineRule="auto"/>
      </w:pPr>
      <w:r>
        <w:t>PROPOSAL SR 6</w:t>
      </w:r>
    </w:p>
    <w:p w14:paraId="75313403" w14:textId="6F14F5AE" w:rsidR="00095C39" w:rsidRDefault="00095C39" w:rsidP="009819F0">
      <w:pPr>
        <w:spacing w:line="259" w:lineRule="auto"/>
        <w:rPr>
          <w:b/>
        </w:rPr>
      </w:pPr>
      <w:r>
        <w:rPr>
          <w:b/>
        </w:rPr>
        <w:t xml:space="preserve">It is proposed that the </w:t>
      </w:r>
      <w:r w:rsidR="00E37E7C">
        <w:rPr>
          <w:b/>
        </w:rPr>
        <w:t>DFSV-ICRO</w:t>
      </w:r>
      <w:r>
        <w:rPr>
          <w:b/>
        </w:rPr>
        <w:t xml:space="preserve"> be tasked with driving</w:t>
      </w:r>
      <w:r w:rsidRPr="0055073F">
        <w:rPr>
          <w:b/>
        </w:rPr>
        <w:t xml:space="preserve"> the implementation of reforms</w:t>
      </w:r>
      <w:r>
        <w:rPr>
          <w:b/>
        </w:rPr>
        <w:t xml:space="preserve"> to combat coercive control in the context of strengthening the inter-agency response to DFV.  </w:t>
      </w:r>
    </w:p>
    <w:p w14:paraId="7BA54BE6" w14:textId="1D55CC65" w:rsidR="00095C39" w:rsidRPr="00990DD0" w:rsidRDefault="00D73F3E" w:rsidP="009819F0">
      <w:pPr>
        <w:pStyle w:val="Heading4"/>
        <w:keepNext/>
        <w:numPr>
          <w:ilvl w:val="0"/>
          <w:numId w:val="0"/>
        </w:numPr>
        <w:spacing w:after="0" w:line="259" w:lineRule="auto"/>
        <w:ind w:left="862" w:hanging="862"/>
      </w:pPr>
      <w:r>
        <w:lastRenderedPageBreak/>
        <w:t>PROPOSAL SR 7</w:t>
      </w:r>
    </w:p>
    <w:p w14:paraId="0F5DBDA7" w14:textId="2536BDEF" w:rsidR="00095C39" w:rsidRDefault="00095C39" w:rsidP="004C0CF3">
      <w:pPr>
        <w:keepLines/>
        <w:spacing w:line="259" w:lineRule="auto"/>
        <w:rPr>
          <w:b/>
        </w:rPr>
      </w:pPr>
      <w:r>
        <w:rPr>
          <w:b/>
        </w:rPr>
        <w:t xml:space="preserve">It is proposed that the </w:t>
      </w:r>
      <w:r w:rsidR="00E37E7C">
        <w:rPr>
          <w:b/>
        </w:rPr>
        <w:t>DFSV-ICRO</w:t>
      </w:r>
      <w:r>
        <w:rPr>
          <w:b/>
        </w:rPr>
        <w:t xml:space="preserve"> reform agenda include consideration of funding for TFHC to implement an extensive program of community awareness raising about coercive control and DFV.  The project will empower Aboriginal families and communities to identify, prevent and respond to coercive control through culturally safe and appropriate community-level engagement. </w:t>
      </w:r>
      <w:r w:rsidR="009819F0">
        <w:rPr>
          <w:b/>
        </w:rPr>
        <w:t xml:space="preserve"> </w:t>
      </w:r>
      <w:r>
        <w:rPr>
          <w:b/>
        </w:rPr>
        <w:t>The project aims to initiate greater community action on DFV and coercive control on an ongoing basis, through a range of non-government agencies and through involvement of the Law and Justice Groups, established under the AJA.</w:t>
      </w:r>
    </w:p>
    <w:p w14:paraId="1A417654" w14:textId="35A4659D" w:rsidR="00095C39" w:rsidRPr="00990DD0" w:rsidRDefault="00D73F3E" w:rsidP="009819F0">
      <w:pPr>
        <w:pStyle w:val="Heading4"/>
        <w:keepNext/>
        <w:numPr>
          <w:ilvl w:val="0"/>
          <w:numId w:val="0"/>
        </w:numPr>
        <w:spacing w:after="0" w:line="259" w:lineRule="auto"/>
      </w:pPr>
      <w:r>
        <w:t>PROPOSAL SR</w:t>
      </w:r>
      <w:r w:rsidR="00E633CF">
        <w:t xml:space="preserve"> </w:t>
      </w:r>
      <w:r>
        <w:t>8</w:t>
      </w:r>
    </w:p>
    <w:p w14:paraId="7000A93B" w14:textId="1F9F0C57" w:rsidR="00D73F3E" w:rsidRDefault="00095C39" w:rsidP="009819F0">
      <w:pPr>
        <w:spacing w:after="0" w:line="259" w:lineRule="auto"/>
        <w:rPr>
          <w:b/>
          <w:lang w:eastAsia="en-AU"/>
        </w:rPr>
      </w:pPr>
      <w:r>
        <w:rPr>
          <w:b/>
          <w:lang w:eastAsia="en-AU"/>
        </w:rPr>
        <w:t>It is proposed t</w:t>
      </w:r>
      <w:r w:rsidRPr="00A61E2C">
        <w:rPr>
          <w:b/>
          <w:lang w:eastAsia="en-AU"/>
        </w:rPr>
        <w:t xml:space="preserve">hat </w:t>
      </w:r>
      <w:r>
        <w:rPr>
          <w:b/>
          <w:lang w:eastAsia="en-AU"/>
        </w:rPr>
        <w:t xml:space="preserve">the </w:t>
      </w:r>
      <w:r w:rsidR="00E37E7C">
        <w:rPr>
          <w:b/>
          <w:lang w:eastAsia="en-AU"/>
        </w:rPr>
        <w:t>DFSV-ICRO</w:t>
      </w:r>
      <w:r>
        <w:rPr>
          <w:b/>
          <w:lang w:eastAsia="en-AU"/>
        </w:rPr>
        <w:t xml:space="preserve"> reform agenda include consideration of funding to </w:t>
      </w:r>
      <w:r w:rsidRPr="00A61E2C">
        <w:rPr>
          <w:b/>
          <w:lang w:eastAsia="en-AU"/>
        </w:rPr>
        <w:t>significantly expand the availability of training in relation to DFV</w:t>
      </w:r>
      <w:r>
        <w:rPr>
          <w:b/>
          <w:lang w:eastAsia="en-AU"/>
        </w:rPr>
        <w:t>,</w:t>
      </w:r>
      <w:r w:rsidRPr="00A61E2C">
        <w:rPr>
          <w:b/>
          <w:lang w:eastAsia="en-AU"/>
        </w:rPr>
        <w:t xml:space="preserve"> includ</w:t>
      </w:r>
      <w:r>
        <w:rPr>
          <w:b/>
          <w:lang w:eastAsia="en-AU"/>
        </w:rPr>
        <w:t>ing</w:t>
      </w:r>
      <w:r w:rsidRPr="00A61E2C">
        <w:rPr>
          <w:b/>
          <w:lang w:eastAsia="en-AU"/>
        </w:rPr>
        <w:t xml:space="preserve"> training and education </w:t>
      </w:r>
      <w:r>
        <w:rPr>
          <w:b/>
          <w:lang w:eastAsia="en-AU"/>
        </w:rPr>
        <w:t xml:space="preserve">specifically tailored </w:t>
      </w:r>
      <w:r w:rsidRPr="00A61E2C">
        <w:rPr>
          <w:b/>
          <w:lang w:eastAsia="en-AU"/>
        </w:rPr>
        <w:t>to police, prosecutors, judges, lawyers and front-line workers to assist in identifying and respondi</w:t>
      </w:r>
      <w:r>
        <w:rPr>
          <w:b/>
          <w:lang w:eastAsia="en-AU"/>
        </w:rPr>
        <w:t>ng to coercive control and DFV.</w:t>
      </w:r>
    </w:p>
    <w:p w14:paraId="2B844057" w14:textId="320BECF7" w:rsidR="00D73F3E" w:rsidRPr="00990DD0" w:rsidRDefault="00D73F3E" w:rsidP="009819F0">
      <w:pPr>
        <w:pStyle w:val="Heading4"/>
        <w:keepNext/>
        <w:numPr>
          <w:ilvl w:val="0"/>
          <w:numId w:val="0"/>
        </w:numPr>
        <w:spacing w:after="0" w:line="259" w:lineRule="auto"/>
      </w:pPr>
      <w:r>
        <w:t>PROPOSAL SR</w:t>
      </w:r>
      <w:r w:rsidR="00E633CF">
        <w:t xml:space="preserve"> </w:t>
      </w:r>
      <w:r>
        <w:t>9</w:t>
      </w:r>
    </w:p>
    <w:p w14:paraId="55833AB7" w14:textId="0AA004EE" w:rsidR="00095C39" w:rsidRPr="00095C39" w:rsidRDefault="00095C39" w:rsidP="009819F0">
      <w:pPr>
        <w:spacing w:line="259" w:lineRule="auto"/>
        <w:rPr>
          <w:b/>
          <w:lang w:eastAsia="en-AU"/>
        </w:rPr>
      </w:pPr>
      <w:r>
        <w:rPr>
          <w:b/>
          <w:lang w:eastAsia="en-AU"/>
        </w:rPr>
        <w:t>It is proposed that</w:t>
      </w:r>
      <w:r w:rsidRPr="00A61E2C">
        <w:rPr>
          <w:b/>
          <w:lang w:eastAsia="en-AU"/>
        </w:rPr>
        <w:t xml:space="preserve"> </w:t>
      </w:r>
      <w:r>
        <w:rPr>
          <w:b/>
          <w:lang w:eastAsia="en-AU"/>
        </w:rPr>
        <w:t xml:space="preserve">the </w:t>
      </w:r>
      <w:r w:rsidR="00E37E7C">
        <w:rPr>
          <w:b/>
          <w:lang w:eastAsia="en-AU"/>
        </w:rPr>
        <w:t>DFSV-ICRO</w:t>
      </w:r>
      <w:r>
        <w:rPr>
          <w:b/>
          <w:lang w:eastAsia="en-AU"/>
        </w:rPr>
        <w:t xml:space="preserve"> reform agenda include consideration of a major NT-wide public health campaign about healthy and safe relationships, to make people aware that coercive control is a form of DFV.</w:t>
      </w:r>
    </w:p>
    <w:p w14:paraId="7924F3CF" w14:textId="2D0C8CD3" w:rsidR="006F52FB" w:rsidRDefault="00684C20" w:rsidP="009819F0">
      <w:pPr>
        <w:pStyle w:val="Heading2"/>
        <w:ind w:left="1134"/>
        <w:rPr>
          <w:lang w:eastAsia="en-AU"/>
        </w:rPr>
      </w:pPr>
      <w:bookmarkStart w:id="106" w:name="_Toc112051890"/>
      <w:r>
        <w:rPr>
          <w:lang w:eastAsia="en-AU"/>
        </w:rPr>
        <w:t xml:space="preserve">Specialist </w:t>
      </w:r>
      <w:r w:rsidR="00F45A67">
        <w:rPr>
          <w:lang w:eastAsia="en-AU"/>
        </w:rPr>
        <w:t>DFV</w:t>
      </w:r>
      <w:r>
        <w:rPr>
          <w:lang w:eastAsia="en-AU"/>
        </w:rPr>
        <w:t xml:space="preserve"> court approaches</w:t>
      </w:r>
      <w:bookmarkEnd w:id="106"/>
    </w:p>
    <w:p w14:paraId="78F05DD8" w14:textId="313F6D26" w:rsidR="007A213E" w:rsidRPr="005959A7" w:rsidRDefault="00684C20" w:rsidP="00B44B9F">
      <w:pPr>
        <w:pStyle w:val="Heading3"/>
      </w:pPr>
      <w:bookmarkStart w:id="107" w:name="_Toc112051891"/>
      <w:r>
        <w:t xml:space="preserve">Features of </w:t>
      </w:r>
      <w:r w:rsidR="009166AF">
        <w:t xml:space="preserve">specialist </w:t>
      </w:r>
      <w:r w:rsidR="00F45A67">
        <w:t>DFV courts</w:t>
      </w:r>
      <w:bookmarkEnd w:id="107"/>
    </w:p>
    <w:p w14:paraId="7F2F0EE3" w14:textId="4113DAAE" w:rsidR="007A213E" w:rsidRDefault="004928D1" w:rsidP="009819F0">
      <w:pPr>
        <w:spacing w:after="120"/>
      </w:pPr>
      <w:r>
        <w:t>Specialist DFV courts operate in the USA, UK, Canada, and New Zealand as well as in Australian jurisdictions, including Victoria, Queensland, South Australia, Western Australia and the ACT.</w:t>
      </w:r>
      <w:r>
        <w:rPr>
          <w:rStyle w:val="FootnoteReference"/>
        </w:rPr>
        <w:footnoteReference w:id="208"/>
      </w:r>
      <w:r>
        <w:t xml:space="preserve"> </w:t>
      </w:r>
    </w:p>
    <w:p w14:paraId="7829478D" w14:textId="7A74F9E7" w:rsidR="004928D1" w:rsidRDefault="004928D1" w:rsidP="009819F0">
      <w:pPr>
        <w:spacing w:after="120"/>
      </w:pPr>
      <w:r>
        <w:t>While the models differ in different locations</w:t>
      </w:r>
      <w:r w:rsidR="00556348">
        <w:t>, the element of Specialist DFV Courts often include:</w:t>
      </w:r>
      <w:r w:rsidR="00A0042D">
        <w:rPr>
          <w:rStyle w:val="FootnoteReference"/>
        </w:rPr>
        <w:footnoteReference w:id="209"/>
      </w:r>
    </w:p>
    <w:p w14:paraId="055C45ED" w14:textId="69AEDB3A" w:rsidR="00556348" w:rsidRDefault="00556348" w:rsidP="0067521E">
      <w:pPr>
        <w:pStyle w:val="ListParagraph"/>
        <w:numPr>
          <w:ilvl w:val="0"/>
          <w:numId w:val="144"/>
        </w:numPr>
        <w:ind w:left="567" w:hanging="567"/>
      </w:pPr>
      <w:r w:rsidRPr="00556348">
        <w:rPr>
          <w:b/>
          <w:bCs/>
        </w:rPr>
        <w:t>Specialist personnel</w:t>
      </w:r>
      <w:r w:rsidR="00A251F5">
        <w:rPr>
          <w:b/>
          <w:bCs/>
        </w:rPr>
        <w:t xml:space="preserve"> with DFV expertise</w:t>
      </w:r>
      <w:r>
        <w:t xml:space="preserve">, including judicial officers, but also registrars, lawyers, support workers and community corrections officers. </w:t>
      </w:r>
      <w:r w:rsidR="009819F0">
        <w:t xml:space="preserve"> </w:t>
      </w:r>
      <w:r>
        <w:t>Specialist personnel may be recruited for specialist DFV skills or given specialised training in DFV.</w:t>
      </w:r>
    </w:p>
    <w:p w14:paraId="057ED9CA" w14:textId="3DD4CF84" w:rsidR="00556348" w:rsidRDefault="00556348" w:rsidP="0067521E">
      <w:pPr>
        <w:pStyle w:val="ListParagraph"/>
        <w:numPr>
          <w:ilvl w:val="0"/>
          <w:numId w:val="144"/>
        </w:numPr>
        <w:ind w:left="567" w:hanging="567"/>
      </w:pPr>
      <w:r>
        <w:rPr>
          <w:b/>
          <w:bCs/>
        </w:rPr>
        <w:t xml:space="preserve">Specialised procedures, </w:t>
      </w:r>
      <w:r w:rsidRPr="00556348">
        <w:t>includ</w:t>
      </w:r>
      <w:r>
        <w:t xml:space="preserve">ing dedicated lists, </w:t>
      </w:r>
      <w:r w:rsidR="00A251F5">
        <w:t xml:space="preserve">intake procedures, </w:t>
      </w:r>
      <w:r>
        <w:t>information sharing procedures or case management procedures.</w:t>
      </w:r>
    </w:p>
    <w:p w14:paraId="6D36FA5A" w14:textId="065C3E4A" w:rsidR="00556348" w:rsidRDefault="00556348" w:rsidP="0067521E">
      <w:pPr>
        <w:pStyle w:val="ListParagraph"/>
        <w:numPr>
          <w:ilvl w:val="0"/>
          <w:numId w:val="144"/>
        </w:numPr>
        <w:ind w:left="567" w:hanging="567"/>
      </w:pPr>
      <w:r w:rsidRPr="00556348">
        <w:rPr>
          <w:b/>
          <w:bCs/>
        </w:rPr>
        <w:t>Specialised support services</w:t>
      </w:r>
      <w:r>
        <w:t>, includ</w:t>
      </w:r>
      <w:r w:rsidR="00A251F5">
        <w:t>ing</w:t>
      </w:r>
      <w:r>
        <w:t xml:space="preserve"> legal advice and support, and non-legal support</w:t>
      </w:r>
      <w:r w:rsidR="00A251F5">
        <w:t xml:space="preserve"> services. </w:t>
      </w:r>
      <w:r w:rsidR="009819F0">
        <w:t xml:space="preserve"> </w:t>
      </w:r>
      <w:r w:rsidR="00A251F5">
        <w:t xml:space="preserve">Specialist services may be for the victim-survivor or the defendant or both. </w:t>
      </w:r>
      <w:r w:rsidR="009819F0">
        <w:t xml:space="preserve"> </w:t>
      </w:r>
      <w:r w:rsidR="00A251F5">
        <w:t>Support staff may be employed by the court or by non-government specialist services working in partnership with the court (and sometimes co-located at the court on DFV list days).</w:t>
      </w:r>
    </w:p>
    <w:p w14:paraId="12C81DCD" w14:textId="0792BDE1" w:rsidR="00A251F5" w:rsidRDefault="00A251F5" w:rsidP="0067521E">
      <w:pPr>
        <w:pStyle w:val="ListParagraph"/>
        <w:numPr>
          <w:ilvl w:val="0"/>
          <w:numId w:val="144"/>
        </w:numPr>
        <w:ind w:left="567" w:hanging="567"/>
      </w:pPr>
      <w:r>
        <w:rPr>
          <w:b/>
          <w:bCs/>
        </w:rPr>
        <w:t>Specialist arrangements and facilities for victim safety,</w:t>
      </w:r>
      <w:r w:rsidRPr="00A251F5">
        <w:t xml:space="preserve"> including</w:t>
      </w:r>
      <w:r>
        <w:t xml:space="preserve"> vulnerable witness facilities, safe waiting areas and separate entrances</w:t>
      </w:r>
      <w:r w:rsidR="00A0042D">
        <w:t>.</w:t>
      </w:r>
    </w:p>
    <w:p w14:paraId="238B1557" w14:textId="2B5ED0F2" w:rsidR="00A0042D" w:rsidRDefault="00A0042D" w:rsidP="0067521E">
      <w:pPr>
        <w:pStyle w:val="ListParagraph"/>
        <w:numPr>
          <w:ilvl w:val="0"/>
          <w:numId w:val="144"/>
        </w:numPr>
        <w:ind w:left="567" w:hanging="567"/>
      </w:pPr>
      <w:r>
        <w:rPr>
          <w:b/>
          <w:bCs/>
        </w:rPr>
        <w:t xml:space="preserve">Links to offender programs, </w:t>
      </w:r>
      <w:r w:rsidRPr="00A0042D">
        <w:t>including</w:t>
      </w:r>
      <w:r>
        <w:t xml:space="preserve"> soft referral procedures and court-ordered attendance at programs, with or without the offender’s consent. </w:t>
      </w:r>
      <w:r w:rsidR="009819F0">
        <w:t xml:space="preserve"> </w:t>
      </w:r>
      <w:r>
        <w:t>The purpose of this is to encourage offenders to change their behaviour and address their use of violence to prevent reoffending.</w:t>
      </w:r>
    </w:p>
    <w:p w14:paraId="64046E70" w14:textId="15126A77" w:rsidR="007A213E" w:rsidRPr="005959A7" w:rsidRDefault="00A0042D" w:rsidP="0067521E">
      <w:pPr>
        <w:pStyle w:val="ListParagraph"/>
        <w:numPr>
          <w:ilvl w:val="0"/>
          <w:numId w:val="144"/>
        </w:numPr>
        <w:spacing w:after="200"/>
        <w:ind w:left="567" w:hanging="567"/>
      </w:pPr>
      <w:r>
        <w:rPr>
          <w:b/>
          <w:bCs/>
        </w:rPr>
        <w:lastRenderedPageBreak/>
        <w:t>Problem-solving or a therapeutic approach</w:t>
      </w:r>
      <w:r w:rsidR="00340B7E" w:rsidRPr="00340B7E">
        <w:t xml:space="preserve">, </w:t>
      </w:r>
      <w:r w:rsidR="00340B7E">
        <w:t xml:space="preserve">for example, </w:t>
      </w:r>
      <w:r w:rsidR="00340B7E" w:rsidRPr="00340B7E">
        <w:t>to address issues which are likely to improve safety and reduce reoffending.</w:t>
      </w:r>
      <w:r w:rsidR="007A213E" w:rsidRPr="005959A7">
        <w:t xml:space="preserve"> </w:t>
      </w:r>
    </w:p>
    <w:p w14:paraId="55EECD5C" w14:textId="77777777" w:rsidR="00EE5327" w:rsidRDefault="00584B1C" w:rsidP="009819F0">
      <w:r>
        <w:t>E</w:t>
      </w:r>
      <w:r w:rsidR="005A5A64">
        <w:t>ach</w:t>
      </w:r>
      <w:r w:rsidR="00B44B9F">
        <w:t xml:space="preserve"> jurisdiction needs to build it</w:t>
      </w:r>
      <w:r w:rsidR="005A5A64">
        <w:t>s own integrated and specialist approac</w:t>
      </w:r>
      <w:r w:rsidR="00B44B9F">
        <w:t>h that suits is own context.  This is particularly true in the NT which has very different characteristics to the Eastern states.</w:t>
      </w:r>
      <w:r>
        <w:t xml:space="preserve">  </w:t>
      </w:r>
    </w:p>
    <w:p w14:paraId="39FA7399" w14:textId="53F6AF75" w:rsidR="007A213E" w:rsidRDefault="00584B1C" w:rsidP="009819F0">
      <w:r>
        <w:t>However, the critical element is how DFV expertise inform</w:t>
      </w:r>
      <w:r w:rsidR="00340B7E">
        <w:t>s</w:t>
      </w:r>
      <w:r>
        <w:t xml:space="preserve"> the day-to-day work of </w:t>
      </w:r>
      <w:r w:rsidR="00340B7E">
        <w:t xml:space="preserve">the court and other </w:t>
      </w:r>
      <w:r w:rsidR="00070625">
        <w:t>justice agencies to improve the experience of the victim-survivor, to improve safety an</w:t>
      </w:r>
      <w:r w:rsidR="00163114">
        <w:t>d to provide</w:t>
      </w:r>
      <w:r w:rsidR="00070625">
        <w:t xml:space="preserve"> impetus for offender behaviour change.</w:t>
      </w:r>
    </w:p>
    <w:p w14:paraId="27119711" w14:textId="58F3F512" w:rsidR="00070625" w:rsidRDefault="00070625" w:rsidP="009819F0">
      <w:pPr>
        <w:keepNext/>
        <w:spacing w:after="120"/>
      </w:pPr>
      <w:r>
        <w:t>The ALRC and the NSWLRC identified the benefits as including:</w:t>
      </w:r>
      <w:r w:rsidR="00ED3444">
        <w:rPr>
          <w:rStyle w:val="FootnoteReference"/>
        </w:rPr>
        <w:footnoteReference w:id="210"/>
      </w:r>
    </w:p>
    <w:p w14:paraId="6F9AECDB" w14:textId="24AC3026" w:rsidR="00A21BE4" w:rsidRDefault="009819F0" w:rsidP="0067521E">
      <w:pPr>
        <w:pStyle w:val="ListParagraph"/>
        <w:numPr>
          <w:ilvl w:val="0"/>
          <w:numId w:val="145"/>
        </w:numPr>
        <w:ind w:left="993" w:hanging="426"/>
      </w:pPr>
      <w:r>
        <w:t xml:space="preserve">greater </w:t>
      </w:r>
      <w:r w:rsidR="002F689F">
        <w:t>sensitivity</w:t>
      </w:r>
      <w:r w:rsidR="00A21BE4">
        <w:t xml:space="preserve"> and skill</w:t>
      </w:r>
      <w:r w:rsidR="002F689F">
        <w:t xml:space="preserve"> </w:t>
      </w:r>
      <w:r w:rsidR="00A21BE4">
        <w:t>in handling DFV matters, including the tailoring of order to prioritise victim-survivor safety</w:t>
      </w:r>
      <w:r>
        <w:t>;</w:t>
      </w:r>
    </w:p>
    <w:p w14:paraId="7D058BFA" w14:textId="66CA6108" w:rsidR="00A21BE4" w:rsidRDefault="009819F0" w:rsidP="0067521E">
      <w:pPr>
        <w:pStyle w:val="ListParagraph"/>
        <w:numPr>
          <w:ilvl w:val="0"/>
          <w:numId w:val="145"/>
        </w:numPr>
        <w:ind w:left="993" w:hanging="426"/>
      </w:pPr>
      <w:r>
        <w:t xml:space="preserve">greater </w:t>
      </w:r>
      <w:r w:rsidR="00A21BE4">
        <w:t>integration, co-ordination and efficiency in the management of cases</w:t>
      </w:r>
      <w:r>
        <w:t>;</w:t>
      </w:r>
    </w:p>
    <w:p w14:paraId="76070C17" w14:textId="45BE593D" w:rsidR="00A21BE4" w:rsidRDefault="009819F0" w:rsidP="0067521E">
      <w:pPr>
        <w:pStyle w:val="ListParagraph"/>
        <w:numPr>
          <w:ilvl w:val="0"/>
          <w:numId w:val="145"/>
        </w:numPr>
        <w:ind w:left="993" w:hanging="426"/>
      </w:pPr>
      <w:r>
        <w:t xml:space="preserve">greater </w:t>
      </w:r>
      <w:r w:rsidR="00A21BE4">
        <w:t>consistency in handling cases</w:t>
      </w:r>
      <w:r>
        <w:t>;</w:t>
      </w:r>
    </w:p>
    <w:p w14:paraId="5FAA0429" w14:textId="6B3672F6" w:rsidR="00A21BE4" w:rsidRDefault="009819F0" w:rsidP="0067521E">
      <w:pPr>
        <w:pStyle w:val="ListParagraph"/>
        <w:numPr>
          <w:ilvl w:val="0"/>
          <w:numId w:val="145"/>
        </w:numPr>
        <w:ind w:left="993" w:hanging="426"/>
      </w:pPr>
      <w:r>
        <w:t xml:space="preserve">greater </w:t>
      </w:r>
      <w:r w:rsidR="00A21BE4">
        <w:t>efficiency in court processes</w:t>
      </w:r>
      <w:r>
        <w:t>;</w:t>
      </w:r>
    </w:p>
    <w:p w14:paraId="20D1DC4E" w14:textId="35F670B3" w:rsidR="00ED3444" w:rsidRDefault="009819F0" w:rsidP="0067521E">
      <w:pPr>
        <w:pStyle w:val="ListParagraph"/>
        <w:numPr>
          <w:ilvl w:val="0"/>
          <w:numId w:val="145"/>
        </w:numPr>
        <w:ind w:left="993" w:hanging="426"/>
      </w:pPr>
      <w:r>
        <w:t xml:space="preserve">development </w:t>
      </w:r>
      <w:r w:rsidR="00A21BE4">
        <w:t>of best practice</w:t>
      </w:r>
      <w:r w:rsidR="00ED3444">
        <w:t>, and continuous improvement</w:t>
      </w:r>
      <w:r>
        <w:t>;</w:t>
      </w:r>
    </w:p>
    <w:p w14:paraId="013B5604" w14:textId="304B21B6" w:rsidR="00ED3444" w:rsidRDefault="009819F0" w:rsidP="0067521E">
      <w:pPr>
        <w:pStyle w:val="ListParagraph"/>
        <w:numPr>
          <w:ilvl w:val="0"/>
          <w:numId w:val="145"/>
        </w:numPr>
        <w:ind w:left="993" w:hanging="426"/>
      </w:pPr>
      <w:r>
        <w:t>improved</w:t>
      </w:r>
      <w:r w:rsidR="00ED3444">
        <w:t>, and more timely, communication and problem-solving across agencies</w:t>
      </w:r>
      <w:r>
        <w:t>;</w:t>
      </w:r>
    </w:p>
    <w:p w14:paraId="3F4AB295" w14:textId="63F898C9" w:rsidR="00AD6296" w:rsidRDefault="009819F0" w:rsidP="0067521E">
      <w:pPr>
        <w:pStyle w:val="ListParagraph"/>
        <w:numPr>
          <w:ilvl w:val="0"/>
          <w:numId w:val="145"/>
        </w:numPr>
        <w:ind w:left="993" w:hanging="426"/>
      </w:pPr>
      <w:r>
        <w:t xml:space="preserve">improved </w:t>
      </w:r>
      <w:r w:rsidR="00ED3444">
        <w:t>satisfaction of victim-survivors (and interestingly defendants in some cases) and improved confidence in the justice system</w:t>
      </w:r>
      <w:r w:rsidR="00AD6296">
        <w:t xml:space="preserve"> and reduced trauma</w:t>
      </w:r>
      <w:r>
        <w:t>;</w:t>
      </w:r>
    </w:p>
    <w:p w14:paraId="4E97E827" w14:textId="01C1CF8B" w:rsidR="00ED3444" w:rsidRDefault="009819F0" w:rsidP="0067521E">
      <w:pPr>
        <w:pStyle w:val="ListParagraph"/>
        <w:numPr>
          <w:ilvl w:val="0"/>
          <w:numId w:val="145"/>
        </w:numPr>
        <w:spacing w:after="0"/>
        <w:ind w:left="993" w:hanging="426"/>
      </w:pPr>
      <w:r>
        <w:t xml:space="preserve">greater </w:t>
      </w:r>
      <w:r w:rsidR="00AD6296">
        <w:t>alignment of responses to improve the</w:t>
      </w:r>
      <w:r w:rsidR="00ED3444">
        <w:t xml:space="preserve"> safety of victim-survivors.</w:t>
      </w:r>
    </w:p>
    <w:p w14:paraId="76B90B47" w14:textId="5EB1D141" w:rsidR="007A213E" w:rsidRPr="000E3350" w:rsidRDefault="005536D5" w:rsidP="007A213E">
      <w:pPr>
        <w:pStyle w:val="Heading3"/>
      </w:pPr>
      <w:bookmarkStart w:id="108" w:name="_Toc112051892"/>
      <w:r>
        <w:t xml:space="preserve">The </w:t>
      </w:r>
      <w:r w:rsidR="00896EA6">
        <w:t>Alice Springs</w:t>
      </w:r>
      <w:r w:rsidR="007952AF">
        <w:t xml:space="preserve"> Specialist Approach to DFV</w:t>
      </w:r>
      <w:bookmarkEnd w:id="108"/>
    </w:p>
    <w:p w14:paraId="33F2876C" w14:textId="1AA2A1D4" w:rsidR="007A213E" w:rsidRDefault="00504EE2" w:rsidP="007C79FD">
      <w:pPr>
        <w:rPr>
          <w:rFonts w:cstheme="minorHAnsi"/>
        </w:rPr>
      </w:pPr>
      <w:r>
        <w:rPr>
          <w:rFonts w:cstheme="minorHAnsi"/>
        </w:rPr>
        <w:t xml:space="preserve">The Northern Territory </w:t>
      </w:r>
      <w:r w:rsidR="007A213E">
        <w:rPr>
          <w:rFonts w:cstheme="minorHAnsi"/>
        </w:rPr>
        <w:t>Local Court in Alice Springs has been trialling</w:t>
      </w:r>
      <w:r w:rsidR="007A213E" w:rsidRPr="00267BAD">
        <w:rPr>
          <w:rFonts w:cstheme="minorHAnsi"/>
        </w:rPr>
        <w:t xml:space="preserve"> a </w:t>
      </w:r>
      <w:r w:rsidR="007A213E">
        <w:rPr>
          <w:rFonts w:cstheme="minorHAnsi"/>
        </w:rPr>
        <w:t>S</w:t>
      </w:r>
      <w:r w:rsidR="007A213E" w:rsidRPr="00267BAD">
        <w:rPr>
          <w:rFonts w:cstheme="minorHAnsi"/>
        </w:rPr>
        <w:t xml:space="preserve">pecialist </w:t>
      </w:r>
      <w:r w:rsidR="007A213E">
        <w:rPr>
          <w:rFonts w:cstheme="minorHAnsi"/>
        </w:rPr>
        <w:t>A</w:t>
      </w:r>
      <w:r w:rsidR="007A213E" w:rsidRPr="00267BAD">
        <w:rPr>
          <w:rFonts w:cstheme="minorHAnsi"/>
        </w:rPr>
        <w:t xml:space="preserve">pproach to </w:t>
      </w:r>
      <w:r w:rsidR="007C79FD">
        <w:rPr>
          <w:rFonts w:cstheme="minorHAnsi"/>
        </w:rPr>
        <w:t>DFV</w:t>
      </w:r>
      <w:r w:rsidR="007A213E">
        <w:rPr>
          <w:rFonts w:cstheme="minorHAnsi"/>
        </w:rPr>
        <w:t xml:space="preserve"> </w:t>
      </w:r>
      <w:r w:rsidR="007A213E" w:rsidRPr="00267BAD">
        <w:rPr>
          <w:rFonts w:cstheme="minorHAnsi"/>
        </w:rPr>
        <w:t>related criminal and civil matters</w:t>
      </w:r>
      <w:r w:rsidR="007A213E">
        <w:rPr>
          <w:rFonts w:cstheme="minorHAnsi"/>
        </w:rPr>
        <w:t xml:space="preserve"> </w:t>
      </w:r>
      <w:r w:rsidR="005A5A64">
        <w:t>since mid-2020</w:t>
      </w:r>
      <w:r w:rsidR="007C79FD">
        <w:t xml:space="preserve"> </w:t>
      </w:r>
      <w:r w:rsidR="007C79FD">
        <w:rPr>
          <w:rFonts w:cstheme="minorHAnsi"/>
        </w:rPr>
        <w:t>(the Specialist Approach</w:t>
      </w:r>
      <w:r w:rsidR="007C79FD" w:rsidRPr="00267BAD">
        <w:rPr>
          <w:rFonts w:cstheme="minorHAnsi"/>
        </w:rPr>
        <w:t>)</w:t>
      </w:r>
      <w:r w:rsidR="007A213E">
        <w:rPr>
          <w:rFonts w:cstheme="minorHAnsi"/>
        </w:rPr>
        <w:t xml:space="preserve">. </w:t>
      </w:r>
    </w:p>
    <w:p w14:paraId="25414A70" w14:textId="77777777" w:rsidR="007C79FD" w:rsidRDefault="007C79FD" w:rsidP="007C79FD">
      <w:pPr>
        <w:rPr>
          <w:rFonts w:cstheme="minorHAnsi"/>
        </w:rPr>
      </w:pPr>
      <w:r>
        <w:rPr>
          <w:rFonts w:cstheme="minorHAnsi"/>
        </w:rPr>
        <w:t>The Specialist Approach was developed in partnership with local service providers over a number of years and has now been operating for over 18 months.</w:t>
      </w:r>
    </w:p>
    <w:p w14:paraId="37FBDAC4" w14:textId="550F8F81" w:rsidR="00D01542" w:rsidRDefault="00D01542" w:rsidP="007C79FD">
      <w:r>
        <w:t>A</w:t>
      </w:r>
      <w:r w:rsidR="007C79FD">
        <w:t>n internal evaluation of the first 12-18 months of operation has been conducted.  The internal evaluation has sho</w:t>
      </w:r>
      <w:r w:rsidR="00B24154">
        <w:t>wn promising results which may provide the foundation for Specialist Approaches in other locations</w:t>
      </w:r>
      <w:r w:rsidR="00405F5A">
        <w:t xml:space="preserve"> in the NT</w:t>
      </w:r>
      <w:r w:rsidR="00B24154">
        <w:t xml:space="preserve">.  </w:t>
      </w:r>
      <w:r>
        <w:t>An independent external evaluation will be conducted after the Specialist Approach has been operating for three years.</w:t>
      </w:r>
    </w:p>
    <w:p w14:paraId="559E3595" w14:textId="0FC74DCA" w:rsidR="007C79FD" w:rsidRPr="007C79FD" w:rsidRDefault="007C79FD" w:rsidP="007C79FD">
      <w:pPr>
        <w:pStyle w:val="Heading4"/>
      </w:pPr>
      <w:r>
        <w:t>Elements of the Specialist Approach</w:t>
      </w:r>
    </w:p>
    <w:p w14:paraId="7A4211F9" w14:textId="1ECB0063" w:rsidR="007A213E" w:rsidRDefault="007A213E" w:rsidP="009819F0">
      <w:r>
        <w:t>The Specialist Approach</w:t>
      </w:r>
      <w:r w:rsidRPr="00A97C4F">
        <w:t xml:space="preserve"> </w:t>
      </w:r>
      <w:r>
        <w:t>aim</w:t>
      </w:r>
      <w:r w:rsidR="00284264">
        <w:t>s</w:t>
      </w:r>
      <w:r>
        <w:t xml:space="preserve"> to</w:t>
      </w:r>
      <w:r w:rsidRPr="00A97C4F">
        <w:t xml:space="preserve"> improve safety of persons</w:t>
      </w:r>
      <w:r>
        <w:t xml:space="preserve"> who have experienced DFV</w:t>
      </w:r>
      <w:r w:rsidRPr="00A97C4F">
        <w:t xml:space="preserve"> and to minimise</w:t>
      </w:r>
      <w:r>
        <w:t xml:space="preserve"> the re-traumatisation that can occur through involvement in the justice system</w:t>
      </w:r>
      <w:r w:rsidRPr="00A97C4F">
        <w:t>.  It also</w:t>
      </w:r>
      <w:r>
        <w:t xml:space="preserve"> aims to ensure offenders are held to account and take responsibility for their actions,</w:t>
      </w:r>
      <w:r w:rsidRPr="00A97C4F">
        <w:t xml:space="preserve"> and increase</w:t>
      </w:r>
      <w:r w:rsidR="007C79FD">
        <w:t xml:space="preserve"> opportunities for offenders </w:t>
      </w:r>
      <w:r>
        <w:t xml:space="preserve">to </w:t>
      </w:r>
      <w:r w:rsidR="007C79FD">
        <w:t xml:space="preserve">receive support to </w:t>
      </w:r>
      <w:r w:rsidRPr="00A97C4F">
        <w:t>change their behaviour.</w:t>
      </w:r>
    </w:p>
    <w:p w14:paraId="011BC607" w14:textId="76636673" w:rsidR="007703F5" w:rsidRDefault="007703F5" w:rsidP="009819F0">
      <w:pPr>
        <w:keepNext/>
        <w:spacing w:after="120"/>
        <w:jc w:val="both"/>
      </w:pPr>
      <w:r>
        <w:t>The elements include:</w:t>
      </w:r>
    </w:p>
    <w:p w14:paraId="79D1C491" w14:textId="541B5AE5" w:rsidR="007C79FD" w:rsidRDefault="00896EA6" w:rsidP="0067521E">
      <w:pPr>
        <w:pStyle w:val="ListParagraph"/>
        <w:numPr>
          <w:ilvl w:val="0"/>
          <w:numId w:val="103"/>
        </w:numPr>
        <w:ind w:left="567" w:hanging="567"/>
        <w:jc w:val="both"/>
      </w:pPr>
      <w:r w:rsidRPr="00E94F9D">
        <w:t>A major court refurbishment, to provide a separate waiti</w:t>
      </w:r>
      <w:r>
        <w:t xml:space="preserve">ng area and entrance for vulnerable witnesses and applicants </w:t>
      </w:r>
      <w:r w:rsidRPr="00E94F9D">
        <w:t>and better facilities for vulnerable witnesses to give evidence.</w:t>
      </w:r>
    </w:p>
    <w:p w14:paraId="188271E8" w14:textId="6D8A7AA3" w:rsidR="00896EA6" w:rsidRDefault="00896EA6" w:rsidP="0067521E">
      <w:pPr>
        <w:pStyle w:val="ListParagraph"/>
        <w:numPr>
          <w:ilvl w:val="0"/>
          <w:numId w:val="103"/>
        </w:numPr>
        <w:ind w:left="567" w:hanging="567"/>
        <w:jc w:val="both"/>
      </w:pPr>
      <w:r w:rsidRPr="00E94F9D">
        <w:t xml:space="preserve">A specialist domestic </w:t>
      </w:r>
      <w:r>
        <w:t xml:space="preserve">and family </w:t>
      </w:r>
      <w:r w:rsidRPr="00E94F9D">
        <w:t>violence courtroom, to limit visua</w:t>
      </w:r>
      <w:r>
        <w:t>l contact between the vulnerable witness/applicant</w:t>
      </w:r>
      <w:r w:rsidRPr="00E94F9D">
        <w:t xml:space="preserve"> and</w:t>
      </w:r>
      <w:r>
        <w:t xml:space="preserve"> the </w:t>
      </w:r>
      <w:r w:rsidRPr="00E94F9D">
        <w:t>defendant.</w:t>
      </w:r>
    </w:p>
    <w:p w14:paraId="1DB414DA" w14:textId="0B750984" w:rsidR="00896EA6" w:rsidRDefault="00B33879" w:rsidP="0067521E">
      <w:pPr>
        <w:pStyle w:val="ListParagraph"/>
        <w:numPr>
          <w:ilvl w:val="0"/>
          <w:numId w:val="103"/>
        </w:numPr>
        <w:ind w:left="567" w:hanging="567"/>
        <w:jc w:val="both"/>
      </w:pPr>
      <w:r>
        <w:lastRenderedPageBreak/>
        <w:t>All protected persons and complainants in DFV proceedings are offered supports as vulnerable witnesses.</w:t>
      </w:r>
    </w:p>
    <w:p w14:paraId="6131E06C" w14:textId="201180D7" w:rsidR="00896EA6" w:rsidRDefault="00896EA6" w:rsidP="0067521E">
      <w:pPr>
        <w:pStyle w:val="ListParagraph"/>
        <w:numPr>
          <w:ilvl w:val="0"/>
          <w:numId w:val="103"/>
        </w:numPr>
        <w:ind w:left="567" w:hanging="567"/>
        <w:jc w:val="both"/>
      </w:pPr>
      <w:r w:rsidRPr="00E94F9D">
        <w:t>New practice directions and listing pra</w:t>
      </w:r>
      <w:r>
        <w:t>ctices for DFV</w:t>
      </w:r>
      <w:r w:rsidRPr="00E94F9D">
        <w:t xml:space="preserve"> matters.</w:t>
      </w:r>
    </w:p>
    <w:p w14:paraId="0B71566A" w14:textId="6757B41A" w:rsidR="00896EA6" w:rsidRDefault="00896EA6" w:rsidP="0067521E">
      <w:pPr>
        <w:pStyle w:val="ListParagraph"/>
        <w:numPr>
          <w:ilvl w:val="0"/>
          <w:numId w:val="103"/>
        </w:numPr>
        <w:ind w:left="567" w:hanging="567"/>
        <w:jc w:val="both"/>
      </w:pPr>
      <w:r w:rsidRPr="00E94F9D">
        <w:t>Strict adherence to timeframes for contested crim</w:t>
      </w:r>
      <w:r>
        <w:t>inal and civil DFV</w:t>
      </w:r>
      <w:r w:rsidRPr="00E94F9D">
        <w:t xml:space="preserve"> </w:t>
      </w:r>
      <w:r>
        <w:t>p</w:t>
      </w:r>
      <w:r w:rsidRPr="00E94F9D">
        <w:t>roceed</w:t>
      </w:r>
      <w:r>
        <w:t>ings.</w:t>
      </w:r>
    </w:p>
    <w:p w14:paraId="08189A99" w14:textId="0F0386FB" w:rsidR="00896EA6" w:rsidRDefault="00896EA6" w:rsidP="0067521E">
      <w:pPr>
        <w:pStyle w:val="ListParagraph"/>
        <w:numPr>
          <w:ilvl w:val="0"/>
          <w:numId w:val="103"/>
        </w:numPr>
        <w:ind w:left="567" w:hanging="567"/>
        <w:jc w:val="both"/>
      </w:pPr>
      <w:r w:rsidRPr="00E94F9D">
        <w:t>The creation of a Specialist List in which the Court may order defendants (if they plead guilty and are assessed as suitable) to attend pro</w:t>
      </w:r>
      <w:r>
        <w:t xml:space="preserve">grams aimed at reducing DFV.  </w:t>
      </w:r>
    </w:p>
    <w:p w14:paraId="2C3FB43E" w14:textId="110DF658" w:rsidR="00896EA6" w:rsidRPr="00E94F9D" w:rsidRDefault="00896EA6" w:rsidP="0067521E">
      <w:pPr>
        <w:pStyle w:val="ListParagraph"/>
        <w:numPr>
          <w:ilvl w:val="0"/>
          <w:numId w:val="103"/>
        </w:numPr>
        <w:ind w:left="567" w:hanging="567"/>
        <w:jc w:val="both"/>
      </w:pPr>
      <w:r w:rsidRPr="00E94F9D">
        <w:t>Recognition of the importance of legal representa</w:t>
      </w:r>
      <w:r>
        <w:t>tion for parties involved in DFV proceedings.</w:t>
      </w:r>
    </w:p>
    <w:p w14:paraId="22F27F60" w14:textId="4C0FC468" w:rsidR="00896EA6" w:rsidRDefault="00896EA6" w:rsidP="0067521E">
      <w:pPr>
        <w:pStyle w:val="ListParagraph"/>
        <w:numPr>
          <w:ilvl w:val="0"/>
          <w:numId w:val="103"/>
        </w:numPr>
        <w:ind w:left="567" w:hanging="567"/>
        <w:jc w:val="both"/>
      </w:pPr>
      <w:r w:rsidRPr="00E94F9D">
        <w:t xml:space="preserve">Specialist </w:t>
      </w:r>
      <w:r w:rsidR="00FA0CB2">
        <w:t xml:space="preserve">DFV </w:t>
      </w:r>
      <w:r w:rsidRPr="00E94F9D">
        <w:t xml:space="preserve">support services </w:t>
      </w:r>
      <w:r>
        <w:t xml:space="preserve">(employed by non-government </w:t>
      </w:r>
      <w:r w:rsidRPr="00E94F9D">
        <w:t>organisations) are co</w:t>
      </w:r>
      <w:r w:rsidRPr="00E94F9D">
        <w:noBreakHyphen/>
        <w:t>located at th</w:t>
      </w:r>
      <w:r>
        <w:t>e Court at key times to:</w:t>
      </w:r>
    </w:p>
    <w:p w14:paraId="4C0D38FA" w14:textId="1D4C00EB" w:rsidR="00896EA6" w:rsidRDefault="009819F0" w:rsidP="0067521E">
      <w:pPr>
        <w:pStyle w:val="ListParagraph"/>
        <w:numPr>
          <w:ilvl w:val="0"/>
          <w:numId w:val="146"/>
        </w:numPr>
        <w:ind w:left="1134" w:hanging="567"/>
        <w:jc w:val="both"/>
      </w:pPr>
      <w:r>
        <w:t xml:space="preserve">increase </w:t>
      </w:r>
      <w:r w:rsidR="00896EA6">
        <w:t>access for people identified as being at high risk</w:t>
      </w:r>
      <w:r w:rsidR="00896EA6" w:rsidRPr="00E94F9D">
        <w:t xml:space="preserve"> to risk assessme</w:t>
      </w:r>
      <w:r>
        <w:t>nt, safety planning and support;</w:t>
      </w:r>
    </w:p>
    <w:p w14:paraId="31B7AC5D" w14:textId="46B57AB5" w:rsidR="00B33879" w:rsidRDefault="009819F0" w:rsidP="0067521E">
      <w:pPr>
        <w:pStyle w:val="ListParagraph"/>
        <w:numPr>
          <w:ilvl w:val="0"/>
          <w:numId w:val="146"/>
        </w:numPr>
        <w:ind w:left="1134" w:hanging="567"/>
        <w:jc w:val="both"/>
      </w:pPr>
      <w:r w:rsidRPr="00E94F9D">
        <w:t xml:space="preserve">enable </w:t>
      </w:r>
      <w:r w:rsidR="00896EA6" w:rsidRPr="00E94F9D">
        <w:t>defendants to be assessed for the Spec</w:t>
      </w:r>
      <w:r w:rsidR="00896EA6">
        <w:t xml:space="preserve">ialist List (ie. programs) and </w:t>
      </w:r>
      <w:r w:rsidR="00896EA6" w:rsidRPr="00E94F9D">
        <w:t>linked to support services.</w:t>
      </w:r>
    </w:p>
    <w:p w14:paraId="210AA783" w14:textId="15B0D319" w:rsidR="00B33879" w:rsidRDefault="00B33879" w:rsidP="0067521E">
      <w:pPr>
        <w:pStyle w:val="ListParagraph"/>
        <w:numPr>
          <w:ilvl w:val="0"/>
          <w:numId w:val="103"/>
        </w:numPr>
        <w:ind w:left="567" w:hanging="567"/>
        <w:jc w:val="both"/>
      </w:pPr>
      <w:r w:rsidRPr="00E94F9D">
        <w:t>Increased information sharing across</w:t>
      </w:r>
      <w:r>
        <w:t xml:space="preserve"> agencies with a focus on improving</w:t>
      </w:r>
      <w:r w:rsidRPr="00E94F9D">
        <w:t xml:space="preserve"> safety.</w:t>
      </w:r>
    </w:p>
    <w:p w14:paraId="7BD07D4D" w14:textId="373604C3" w:rsidR="00514B37" w:rsidRDefault="00B33879" w:rsidP="0067521E">
      <w:pPr>
        <w:pStyle w:val="ListParagraph"/>
        <w:numPr>
          <w:ilvl w:val="0"/>
          <w:numId w:val="103"/>
        </w:numPr>
        <w:ind w:left="567" w:hanging="567"/>
        <w:jc w:val="both"/>
      </w:pPr>
      <w:r>
        <w:t>S</w:t>
      </w:r>
      <w:r w:rsidR="00FA0CB2">
        <w:t>pecialist DFV Leadership including</w:t>
      </w:r>
      <w:r w:rsidR="00514B37">
        <w:t>:</w:t>
      </w:r>
    </w:p>
    <w:p w14:paraId="694239EA" w14:textId="5C763FE9" w:rsidR="00514B37" w:rsidRDefault="009819F0" w:rsidP="0067521E">
      <w:pPr>
        <w:pStyle w:val="ListParagraph"/>
        <w:numPr>
          <w:ilvl w:val="0"/>
          <w:numId w:val="104"/>
        </w:numPr>
        <w:ind w:left="1134" w:hanging="567"/>
        <w:jc w:val="both"/>
      </w:pPr>
      <w:r>
        <w:t xml:space="preserve">judicial </w:t>
      </w:r>
      <w:r w:rsidR="00514B37">
        <w:t>leadership through the appointment of a Lead Judge for DFV matters</w:t>
      </w:r>
      <w:r>
        <w:t>;</w:t>
      </w:r>
    </w:p>
    <w:p w14:paraId="4020D5DD" w14:textId="14C5AC80" w:rsidR="00B33879" w:rsidRDefault="009819F0" w:rsidP="0067521E">
      <w:pPr>
        <w:pStyle w:val="ListParagraph"/>
        <w:numPr>
          <w:ilvl w:val="0"/>
          <w:numId w:val="104"/>
        </w:numPr>
        <w:ind w:left="1134" w:hanging="567"/>
        <w:jc w:val="both"/>
      </w:pPr>
      <w:r>
        <w:t xml:space="preserve">the </w:t>
      </w:r>
      <w:r w:rsidR="00B33879">
        <w:t>DVO List is overseen by the Judicial Registrar with specialist DFV knowledge</w:t>
      </w:r>
      <w:r>
        <w:t>;</w:t>
      </w:r>
    </w:p>
    <w:p w14:paraId="74110142" w14:textId="723ADD8D" w:rsidR="00896EA6" w:rsidRDefault="009819F0" w:rsidP="0067521E">
      <w:pPr>
        <w:pStyle w:val="ListParagraph"/>
        <w:numPr>
          <w:ilvl w:val="0"/>
          <w:numId w:val="104"/>
        </w:numPr>
        <w:ind w:left="1134" w:hanging="567"/>
        <w:jc w:val="both"/>
      </w:pPr>
      <w:r w:rsidRPr="006A2B7E">
        <w:t xml:space="preserve">the </w:t>
      </w:r>
      <w:r w:rsidR="00896EA6" w:rsidRPr="006A2B7E">
        <w:t>appointment of a Domestic Violence Registrar</w:t>
      </w:r>
      <w:r w:rsidR="00744923">
        <w:t xml:space="preserve"> </w:t>
      </w:r>
      <w:r w:rsidR="00896EA6" w:rsidRPr="006A2B7E">
        <w:t>to assist in the implementation, operation and rev</w:t>
      </w:r>
      <w:r w:rsidR="00896EA6">
        <w:t>iew of the Specialist Approach</w:t>
      </w:r>
      <w:r w:rsidR="00896EA6" w:rsidRPr="006A2B7E">
        <w:t>.</w:t>
      </w:r>
      <w:r w:rsidR="00B33879">
        <w:t xml:space="preserve"> </w:t>
      </w:r>
    </w:p>
    <w:p w14:paraId="4739491D" w14:textId="04DC0CC7" w:rsidR="00896EA6" w:rsidRDefault="00896EA6" w:rsidP="0067521E">
      <w:pPr>
        <w:pStyle w:val="ListParagraph"/>
        <w:numPr>
          <w:ilvl w:val="0"/>
          <w:numId w:val="103"/>
        </w:numPr>
        <w:ind w:left="567" w:hanging="567"/>
        <w:jc w:val="both"/>
      </w:pPr>
      <w:r w:rsidRPr="006A2B7E">
        <w:t xml:space="preserve">Regular operational meetings with stakeholders to address </w:t>
      </w:r>
      <w:r w:rsidR="00B86EE9">
        <w:t>systems</w:t>
      </w:r>
      <w:r w:rsidRPr="006A2B7E">
        <w:t xml:space="preserve"> and procedural issues rele</w:t>
      </w:r>
      <w:r w:rsidR="00EE5327">
        <w:t>vant to the Specialist Approach,</w:t>
      </w:r>
      <w:r w:rsidRPr="006A2B7E">
        <w:t xml:space="preserve"> enhance collaboration between stakeholders</w:t>
      </w:r>
      <w:r w:rsidR="00EE5327">
        <w:t>,</w:t>
      </w:r>
      <w:r w:rsidRPr="006A2B7E">
        <w:t xml:space="preserve"> and promote continuous improvement of the Specialist Approach. </w:t>
      </w:r>
    </w:p>
    <w:p w14:paraId="779AEFC4" w14:textId="0A55660D" w:rsidR="00514B37" w:rsidRDefault="00896EA6" w:rsidP="0067521E">
      <w:pPr>
        <w:pStyle w:val="ListParagraph"/>
        <w:numPr>
          <w:ilvl w:val="0"/>
          <w:numId w:val="103"/>
        </w:numPr>
        <w:ind w:left="567" w:hanging="567"/>
        <w:jc w:val="both"/>
      </w:pPr>
      <w:r>
        <w:t>Increased DFV</w:t>
      </w:r>
      <w:r w:rsidRPr="00E94F9D">
        <w:t xml:space="preserve"> training for j</w:t>
      </w:r>
      <w:r>
        <w:t xml:space="preserve">udges, court staff, lawyers and </w:t>
      </w:r>
      <w:r w:rsidRPr="00E94F9D">
        <w:t>other professionals.</w:t>
      </w:r>
    </w:p>
    <w:p w14:paraId="26ED34E7" w14:textId="40DA47BB" w:rsidR="00514B37" w:rsidRDefault="00896EA6" w:rsidP="0067521E">
      <w:pPr>
        <w:pStyle w:val="ListParagraph"/>
        <w:numPr>
          <w:ilvl w:val="0"/>
          <w:numId w:val="103"/>
        </w:numPr>
        <w:spacing w:after="200"/>
        <w:ind w:left="567" w:hanging="567"/>
        <w:jc w:val="both"/>
      </w:pPr>
      <w:r w:rsidRPr="00E94F9D">
        <w:t xml:space="preserve">The monitoring and evaluation of </w:t>
      </w:r>
      <w:r>
        <w:t>DFV</w:t>
      </w:r>
      <w:r w:rsidRPr="00E94F9D">
        <w:t xml:space="preserve"> matters and continuous improvement over time.</w:t>
      </w:r>
    </w:p>
    <w:p w14:paraId="19CCA227" w14:textId="7864D5B0" w:rsidR="007703F5" w:rsidRDefault="007703F5" w:rsidP="009819F0">
      <w:pPr>
        <w:keepNext/>
        <w:spacing w:after="120"/>
      </w:pPr>
      <w:r>
        <w:t xml:space="preserve">Importantly, the Specialist Approach has an emphasis on continuous improvement of the responses to DFV. </w:t>
      </w:r>
      <w:r w:rsidR="009819F0">
        <w:t xml:space="preserve"> </w:t>
      </w:r>
      <w:r>
        <w:t>Specialist DFV expertise is imbedded in the Local Court through:</w:t>
      </w:r>
    </w:p>
    <w:p w14:paraId="5A7567BE" w14:textId="77777777" w:rsidR="007703F5" w:rsidRPr="009819F0" w:rsidRDefault="007703F5" w:rsidP="0067521E">
      <w:pPr>
        <w:pStyle w:val="ListParagraph"/>
        <w:numPr>
          <w:ilvl w:val="0"/>
          <w:numId w:val="65"/>
        </w:numPr>
        <w:ind w:left="567" w:hanging="567"/>
      </w:pPr>
      <w:r w:rsidRPr="009819F0">
        <w:t>The appointment of a Lead Judge for DFV matters, who sits on the Specialist List and oversees the Specialist Approach,</w:t>
      </w:r>
    </w:p>
    <w:p w14:paraId="6519B8FD" w14:textId="77777777" w:rsidR="007703F5" w:rsidRPr="009819F0" w:rsidRDefault="007703F5" w:rsidP="0067521E">
      <w:pPr>
        <w:pStyle w:val="ListParagraph"/>
        <w:numPr>
          <w:ilvl w:val="0"/>
          <w:numId w:val="65"/>
        </w:numPr>
        <w:ind w:left="567" w:hanging="567"/>
      </w:pPr>
      <w:r w:rsidRPr="009819F0">
        <w:t>A Judicial Registrar with DFV expertise sits on DFV list,</w:t>
      </w:r>
    </w:p>
    <w:p w14:paraId="26DAC15D" w14:textId="77777777" w:rsidR="007703F5" w:rsidRPr="009819F0" w:rsidRDefault="007703F5" w:rsidP="0067521E">
      <w:pPr>
        <w:pStyle w:val="ListParagraph"/>
        <w:numPr>
          <w:ilvl w:val="0"/>
          <w:numId w:val="65"/>
        </w:numPr>
        <w:ind w:left="567" w:hanging="567"/>
      </w:pPr>
      <w:r w:rsidRPr="009819F0">
        <w:t>A Domestic Violence Registrar has been appointed to co-ordinate the Specialist Approach and liaise with partner organisations,</w:t>
      </w:r>
    </w:p>
    <w:p w14:paraId="3138E580" w14:textId="77777777" w:rsidR="007703F5" w:rsidRPr="009819F0" w:rsidRDefault="007703F5" w:rsidP="0067521E">
      <w:pPr>
        <w:pStyle w:val="ListParagraph"/>
        <w:numPr>
          <w:ilvl w:val="0"/>
          <w:numId w:val="65"/>
        </w:numPr>
        <w:ind w:left="567" w:hanging="567"/>
      </w:pPr>
      <w:r w:rsidRPr="009819F0">
        <w:t>Partner organisations have specialist expertise in DFV and work in partnership with the Local Court to deliver the Specialist Approach, including:</w:t>
      </w:r>
    </w:p>
    <w:p w14:paraId="6EC93BBC" w14:textId="4069C446" w:rsidR="007703F5" w:rsidRPr="009819F0" w:rsidRDefault="007703F5" w:rsidP="0067521E">
      <w:pPr>
        <w:pStyle w:val="ListParagraph"/>
        <w:numPr>
          <w:ilvl w:val="1"/>
          <w:numId w:val="66"/>
        </w:numPr>
        <w:ind w:left="1134" w:hanging="283"/>
      </w:pPr>
      <w:r w:rsidRPr="009819F0">
        <w:t xml:space="preserve">conduct risk assessment, support and </w:t>
      </w:r>
      <w:r w:rsidR="009819F0">
        <w:t>safety planning to victims;</w:t>
      </w:r>
    </w:p>
    <w:p w14:paraId="39058C24" w14:textId="0BFAFF46" w:rsidR="007703F5" w:rsidRPr="009819F0" w:rsidRDefault="007703F5" w:rsidP="0067521E">
      <w:pPr>
        <w:pStyle w:val="ListParagraph"/>
        <w:numPr>
          <w:ilvl w:val="1"/>
          <w:numId w:val="66"/>
        </w:numPr>
        <w:ind w:left="1134" w:hanging="283"/>
      </w:pPr>
      <w:r w:rsidRPr="009819F0">
        <w:t>conduct assessment, support and referral to defendants, with a particul</w:t>
      </w:r>
      <w:r w:rsidR="009819F0">
        <w:t>ar focus on the Specialist List;</w:t>
      </w:r>
    </w:p>
    <w:p w14:paraId="24DE09D6" w14:textId="77777777" w:rsidR="007703F5" w:rsidRPr="009819F0" w:rsidRDefault="007703F5" w:rsidP="0067521E">
      <w:pPr>
        <w:pStyle w:val="ListParagraph"/>
        <w:numPr>
          <w:ilvl w:val="1"/>
          <w:numId w:val="66"/>
        </w:numPr>
        <w:ind w:left="1134" w:hanging="283"/>
      </w:pPr>
      <w:r w:rsidRPr="009819F0">
        <w:t>share information about risk through case co-ordination meetings;</w:t>
      </w:r>
    </w:p>
    <w:p w14:paraId="752C1887" w14:textId="32EF0A6E" w:rsidR="007703F5" w:rsidRPr="009819F0" w:rsidRDefault="007703F5" w:rsidP="0067521E">
      <w:pPr>
        <w:pStyle w:val="ListParagraph"/>
        <w:numPr>
          <w:ilvl w:val="1"/>
          <w:numId w:val="66"/>
        </w:numPr>
        <w:ind w:left="1134" w:hanging="283"/>
      </w:pPr>
      <w:r w:rsidRPr="009819F0">
        <w:t>provide oversight and advice in relation to the operation of the Specialist Approach throu</w:t>
      </w:r>
      <w:r w:rsidR="009819F0">
        <w:t>gh an operational working group.</w:t>
      </w:r>
    </w:p>
    <w:p w14:paraId="27DC68B0" w14:textId="3ECF6112" w:rsidR="00FA0CB2" w:rsidRPr="009819F0" w:rsidRDefault="007703F5" w:rsidP="0067521E">
      <w:pPr>
        <w:pStyle w:val="ListParagraph"/>
        <w:numPr>
          <w:ilvl w:val="0"/>
          <w:numId w:val="65"/>
        </w:numPr>
        <w:spacing w:after="200"/>
        <w:ind w:left="567" w:hanging="567"/>
      </w:pPr>
      <w:r w:rsidRPr="009819F0">
        <w:t>DFV-specific training is provided to judges, court staff and other personnel working at the Court (and has often been provided in-kind by partner organisations as there is no training budget).</w:t>
      </w:r>
    </w:p>
    <w:p w14:paraId="1951F43C" w14:textId="77777777" w:rsidR="00F24D8B" w:rsidRDefault="00FA0CB2" w:rsidP="00744923">
      <w:pPr>
        <w:rPr>
          <w:iCs/>
        </w:rPr>
      </w:pPr>
      <w:r w:rsidRPr="009819F0">
        <w:rPr>
          <w:rFonts w:eastAsiaTheme="minorEastAsia"/>
          <w:iCs/>
        </w:rPr>
        <w:lastRenderedPageBreak/>
        <w:t>The</w:t>
      </w:r>
      <w:r w:rsidR="007A213E" w:rsidRPr="009819F0">
        <w:t xml:space="preserve"> </w:t>
      </w:r>
      <w:r w:rsidR="007A213E" w:rsidRPr="009819F0">
        <w:rPr>
          <w:rFonts w:cstheme="minorHAnsi"/>
        </w:rPr>
        <w:t xml:space="preserve">Specialist List </w:t>
      </w:r>
      <w:r w:rsidRPr="009819F0">
        <w:rPr>
          <w:rFonts w:cstheme="minorHAnsi"/>
        </w:rPr>
        <w:t xml:space="preserve">– </w:t>
      </w:r>
      <w:r w:rsidR="00340E83" w:rsidRPr="009819F0">
        <w:rPr>
          <w:rFonts w:cstheme="minorHAnsi"/>
        </w:rPr>
        <w:t xml:space="preserve">in which the </w:t>
      </w:r>
      <w:r w:rsidR="00F24D8B" w:rsidRPr="009819F0">
        <w:rPr>
          <w:rFonts w:cstheme="minorHAnsi"/>
        </w:rPr>
        <w:t xml:space="preserve">court </w:t>
      </w:r>
      <w:r w:rsidR="00340E83" w:rsidRPr="009819F0">
        <w:rPr>
          <w:rFonts w:cstheme="minorHAnsi"/>
        </w:rPr>
        <w:t xml:space="preserve">makes a DVO ordering </w:t>
      </w:r>
      <w:r w:rsidR="007A213E" w:rsidRPr="009819F0">
        <w:rPr>
          <w:rFonts w:cstheme="minorHAnsi"/>
        </w:rPr>
        <w:t xml:space="preserve">a defendant to attend </w:t>
      </w:r>
      <w:r w:rsidR="007A213E" w:rsidRPr="009819F0">
        <w:t xml:space="preserve">a </w:t>
      </w:r>
      <w:r w:rsidR="00340E83" w:rsidRPr="009819F0">
        <w:t xml:space="preserve">DFV </w:t>
      </w:r>
      <w:r w:rsidR="007A213E" w:rsidRPr="009819F0">
        <w:t>program</w:t>
      </w:r>
      <w:r w:rsidR="00340E83" w:rsidRPr="009819F0">
        <w:t xml:space="preserve"> </w:t>
      </w:r>
      <w:r w:rsidRPr="009819F0">
        <w:t>– has particular features designed to ensure victim safety and defendant accountability</w:t>
      </w:r>
      <w:r w:rsidR="007A213E" w:rsidRPr="009819F0">
        <w:t xml:space="preserve">. </w:t>
      </w:r>
      <w:r w:rsidR="00F24D8B">
        <w:t xml:space="preserve"> </w:t>
      </w:r>
      <w:r w:rsidR="007A213E" w:rsidRPr="009819F0">
        <w:t>The defendant is required to return to court for regular reviews of their p</w:t>
      </w:r>
      <w:r w:rsidR="00340E83" w:rsidRPr="009819F0">
        <w:t xml:space="preserve">rogress in the </w:t>
      </w:r>
      <w:r w:rsidR="007A213E" w:rsidRPr="009819F0">
        <w:t xml:space="preserve">program. </w:t>
      </w:r>
      <w:r w:rsidR="00F24D8B">
        <w:t xml:space="preserve"> </w:t>
      </w:r>
      <w:r w:rsidR="00744923" w:rsidRPr="009819F0">
        <w:rPr>
          <w:iCs/>
        </w:rPr>
        <w:t xml:space="preserve">While this approach is not suitable for all defendants in DFV matters, it can increase accountability and trigger change for some defendants.  </w:t>
      </w:r>
    </w:p>
    <w:p w14:paraId="36D62D22" w14:textId="5E590CEE" w:rsidR="00744923" w:rsidRPr="009819F0" w:rsidRDefault="00744923" w:rsidP="00F24D8B">
      <w:pPr>
        <w:spacing w:after="120"/>
      </w:pPr>
      <w:r w:rsidRPr="009819F0">
        <w:rPr>
          <w:iCs/>
        </w:rPr>
        <w:t>As one defendant commented:</w:t>
      </w:r>
    </w:p>
    <w:p w14:paraId="7E4BC182" w14:textId="5C4323F5" w:rsidR="00744923" w:rsidRDefault="00744923" w:rsidP="00F24D8B">
      <w:pPr>
        <w:ind w:left="567"/>
        <w:rPr>
          <w:rFonts w:eastAsia="Times New Roman"/>
          <w:i/>
          <w:iCs/>
        </w:rPr>
      </w:pPr>
      <w:r w:rsidRPr="00BC6AEB">
        <w:rPr>
          <w:rFonts w:eastAsia="Times New Roman"/>
          <w:i/>
          <w:iCs/>
        </w:rPr>
        <w:t xml:space="preserve">“I feel good about myself. For completing it and sticking with it. I’m not </w:t>
      </w:r>
      <w:r w:rsidR="00F24D8B">
        <w:rPr>
          <w:rFonts w:eastAsia="Times New Roman"/>
          <w:i/>
          <w:iCs/>
        </w:rPr>
        <w:t xml:space="preserve">ashamed now to talk up. I can </w:t>
      </w:r>
      <w:r w:rsidRPr="00BC6AEB">
        <w:rPr>
          <w:rFonts w:eastAsia="Times New Roman"/>
          <w:i/>
          <w:iCs/>
        </w:rPr>
        <w:t>express my feelings more. I don’t have to hide it away. Don’t have to let it eat me and make me fee</w:t>
      </w:r>
      <w:r>
        <w:rPr>
          <w:rFonts w:eastAsia="Times New Roman"/>
          <w:i/>
          <w:iCs/>
        </w:rPr>
        <w:t>l like shit</w:t>
      </w:r>
      <w:r w:rsidR="00340E83">
        <w:rPr>
          <w:rFonts w:eastAsia="Times New Roman"/>
          <w:i/>
          <w:iCs/>
        </w:rPr>
        <w:t>.</w:t>
      </w:r>
      <w:r>
        <w:rPr>
          <w:rFonts w:eastAsia="Times New Roman"/>
          <w:i/>
          <w:iCs/>
        </w:rPr>
        <w:t>”</w:t>
      </w:r>
    </w:p>
    <w:p w14:paraId="29750DAF" w14:textId="5D537B16" w:rsidR="007703F5" w:rsidRDefault="007A213E" w:rsidP="00F24D8B">
      <w:pPr>
        <w:spacing w:after="120"/>
      </w:pPr>
      <w:r>
        <w:t>The benefits of the Specialist Appro</w:t>
      </w:r>
      <w:r w:rsidR="00514B37">
        <w:t>ach identified in the internal evaluation include:</w:t>
      </w:r>
    </w:p>
    <w:p w14:paraId="7D2F9CA8" w14:textId="795497D1" w:rsidR="007A213E" w:rsidRDefault="00F24D8B" w:rsidP="0067521E">
      <w:pPr>
        <w:pStyle w:val="ListParagraph"/>
        <w:numPr>
          <w:ilvl w:val="0"/>
          <w:numId w:val="101"/>
        </w:numPr>
        <w:ind w:left="567" w:hanging="567"/>
      </w:pPr>
      <w:r>
        <w:t xml:space="preserve">continuous </w:t>
      </w:r>
      <w:r w:rsidR="007A213E">
        <w:t xml:space="preserve">improvement of the Court’s response to DFV, including </w:t>
      </w:r>
      <w:r w:rsidR="007A213E" w:rsidRPr="00D85610">
        <w:t>greater alignment with best practice in prioritising victim safety and defendant a</w:t>
      </w:r>
      <w:r w:rsidR="007A213E">
        <w:t>ccountability;</w:t>
      </w:r>
    </w:p>
    <w:p w14:paraId="2699CDB2" w14:textId="77777777" w:rsidR="007A213E" w:rsidRDefault="007A213E" w:rsidP="0067521E">
      <w:pPr>
        <w:pStyle w:val="ListParagraph"/>
        <w:numPr>
          <w:ilvl w:val="0"/>
          <w:numId w:val="101"/>
        </w:numPr>
        <w:ind w:left="567" w:hanging="567"/>
      </w:pPr>
      <w:r>
        <w:t>DFV victim-survivors receive a better, more trauma-informed service at Court, including:</w:t>
      </w:r>
    </w:p>
    <w:p w14:paraId="7574F875" w14:textId="77EC833A" w:rsidR="007A213E" w:rsidRDefault="00F24D8B" w:rsidP="0067521E">
      <w:pPr>
        <w:pStyle w:val="ListParagraph"/>
        <w:numPr>
          <w:ilvl w:val="1"/>
          <w:numId w:val="101"/>
        </w:numPr>
        <w:ind w:left="1134" w:hanging="567"/>
      </w:pPr>
      <w:r>
        <w:t xml:space="preserve">safer </w:t>
      </w:r>
      <w:r w:rsidR="007A213E">
        <w:t>facilities where victim-survivors and are less likely to be confronted by the defendant or their family;</w:t>
      </w:r>
    </w:p>
    <w:p w14:paraId="236C95B2" w14:textId="5E14639E" w:rsidR="007A213E" w:rsidRDefault="00F24D8B" w:rsidP="0067521E">
      <w:pPr>
        <w:pStyle w:val="ListParagraph"/>
        <w:numPr>
          <w:ilvl w:val="1"/>
          <w:numId w:val="101"/>
        </w:numPr>
        <w:ind w:left="1134" w:hanging="567"/>
      </w:pPr>
      <w:r>
        <w:t xml:space="preserve">increased </w:t>
      </w:r>
      <w:r w:rsidR="007A213E">
        <w:t>access to assessment, safety planning and support services;</w:t>
      </w:r>
    </w:p>
    <w:p w14:paraId="17B78470" w14:textId="174A8DFC" w:rsidR="007A213E" w:rsidRDefault="00F24D8B" w:rsidP="0067521E">
      <w:pPr>
        <w:pStyle w:val="ListParagraph"/>
        <w:numPr>
          <w:ilvl w:val="1"/>
          <w:numId w:val="101"/>
        </w:numPr>
        <w:ind w:left="1134" w:hanging="567"/>
      </w:pPr>
      <w:r>
        <w:t xml:space="preserve">increased </w:t>
      </w:r>
      <w:r w:rsidR="007A213E">
        <w:t>used of vulnerable witness facilities;</w:t>
      </w:r>
    </w:p>
    <w:p w14:paraId="76608E0E" w14:textId="12451C86" w:rsidR="007A213E" w:rsidRDefault="00F24D8B" w:rsidP="0067521E">
      <w:pPr>
        <w:pStyle w:val="ListParagraph"/>
        <w:numPr>
          <w:ilvl w:val="1"/>
          <w:numId w:val="101"/>
        </w:numPr>
        <w:ind w:left="1134" w:hanging="567"/>
      </w:pPr>
      <w:r>
        <w:t xml:space="preserve">more </w:t>
      </w:r>
      <w:r w:rsidR="007A213E">
        <w:t>co-ordinated and better prepared Court lists, resulting in better tailored orders were the s</w:t>
      </w:r>
      <w:r>
        <w:t>afety of parties is prioritised;</w:t>
      </w:r>
    </w:p>
    <w:p w14:paraId="7136B953" w14:textId="20DBDC11" w:rsidR="007A213E" w:rsidRDefault="00FA0CB2" w:rsidP="0067521E">
      <w:pPr>
        <w:pStyle w:val="ListParagraph"/>
        <w:numPr>
          <w:ilvl w:val="0"/>
          <w:numId w:val="101"/>
        </w:numPr>
        <w:ind w:left="567" w:hanging="567"/>
      </w:pPr>
      <w:r>
        <w:t>s</w:t>
      </w:r>
      <w:r w:rsidR="007A213E">
        <w:t>hared values and focus on accountability in the Specialist List</w:t>
      </w:r>
      <w:r w:rsidR="00332404">
        <w:t>:</w:t>
      </w:r>
    </w:p>
    <w:p w14:paraId="5B70AA4C" w14:textId="60DBE356" w:rsidR="007A213E" w:rsidRDefault="007A213E" w:rsidP="0067521E">
      <w:pPr>
        <w:pStyle w:val="ListParagraph"/>
        <w:numPr>
          <w:ilvl w:val="1"/>
          <w:numId w:val="101"/>
        </w:numPr>
        <w:ind w:left="1134" w:hanging="567"/>
        <w:jc w:val="both"/>
        <w:rPr>
          <w:rFonts w:asciiTheme="minorHAnsi" w:hAnsiTheme="minorHAnsi"/>
        </w:rPr>
      </w:pPr>
      <w:r>
        <w:rPr>
          <w:rFonts w:asciiTheme="minorHAnsi" w:hAnsiTheme="minorHAnsi"/>
        </w:rPr>
        <w:t>Men on the Specialis</w:t>
      </w:r>
      <w:r w:rsidR="00744923">
        <w:rPr>
          <w:rFonts w:asciiTheme="minorHAnsi" w:hAnsiTheme="minorHAnsi"/>
        </w:rPr>
        <w:t xml:space="preserve">t List </w:t>
      </w:r>
      <w:r>
        <w:rPr>
          <w:rFonts w:asciiTheme="minorHAnsi" w:hAnsiTheme="minorHAnsi"/>
        </w:rPr>
        <w:t>took more responsibility for their behaviour. They also received more consistent messages about their conduct from the Local Court and service providers. Some men were able to take steps towards change.</w:t>
      </w:r>
    </w:p>
    <w:p w14:paraId="0C421D46" w14:textId="01217481" w:rsidR="007A213E" w:rsidRPr="00585588" w:rsidRDefault="007A213E" w:rsidP="0067521E">
      <w:pPr>
        <w:pStyle w:val="ListParagraph"/>
        <w:numPr>
          <w:ilvl w:val="1"/>
          <w:numId w:val="101"/>
        </w:numPr>
        <w:ind w:left="1134" w:hanging="567"/>
        <w:jc w:val="both"/>
        <w:rPr>
          <w:rFonts w:asciiTheme="minorHAnsi" w:hAnsiTheme="minorHAnsi"/>
        </w:rPr>
      </w:pPr>
      <w:r w:rsidRPr="00585588">
        <w:rPr>
          <w:rFonts w:asciiTheme="minorHAnsi" w:hAnsiTheme="minorHAnsi"/>
        </w:rPr>
        <w:t>Of the 12 men ordered to attend the men’s behaviour change program (MBCP), 16</w:t>
      </w:r>
      <w:r w:rsidR="00F24D8B">
        <w:rPr>
          <w:rFonts w:asciiTheme="minorHAnsi" w:hAnsiTheme="minorHAnsi"/>
        </w:rPr>
        <w:t> per cent</w:t>
      </w:r>
      <w:r w:rsidRPr="00585588">
        <w:rPr>
          <w:rFonts w:asciiTheme="minorHAnsi" w:hAnsiTheme="minorHAnsi"/>
        </w:rPr>
        <w:t xml:space="preserve"> (or 2 men) successfully completed the program and half (6 men) were still engaged in the program at the end of the period without having reoffended. </w:t>
      </w:r>
      <w:r w:rsidR="00F24D8B">
        <w:rPr>
          <w:rFonts w:asciiTheme="minorHAnsi" w:hAnsiTheme="minorHAnsi"/>
        </w:rPr>
        <w:t xml:space="preserve"> </w:t>
      </w:r>
      <w:r w:rsidRPr="00585588">
        <w:rPr>
          <w:rFonts w:asciiTheme="minorHAnsi" w:hAnsiTheme="minorHAnsi"/>
        </w:rPr>
        <w:t>There was a successful or pending outcome in 67</w:t>
      </w:r>
      <w:r w:rsidR="00F24D8B">
        <w:rPr>
          <w:rFonts w:asciiTheme="minorHAnsi" w:hAnsiTheme="minorHAnsi"/>
        </w:rPr>
        <w:t> per cent of matters;</w:t>
      </w:r>
    </w:p>
    <w:p w14:paraId="5F69BCFA" w14:textId="1987B0BE" w:rsidR="007A213E" w:rsidRDefault="007A213E" w:rsidP="0067521E">
      <w:pPr>
        <w:pStyle w:val="ListParagraph"/>
        <w:numPr>
          <w:ilvl w:val="0"/>
          <w:numId w:val="101"/>
        </w:numPr>
        <w:ind w:left="567" w:hanging="567"/>
      </w:pPr>
      <w:r>
        <w:t>improved data collection by the Court in relation to DFV</w:t>
      </w:r>
      <w:r w:rsidR="00F24D8B">
        <w:t>;</w:t>
      </w:r>
    </w:p>
    <w:p w14:paraId="7683A5A6" w14:textId="0D8B5CE6" w:rsidR="007A213E" w:rsidRDefault="007A213E" w:rsidP="0067521E">
      <w:pPr>
        <w:pStyle w:val="ListParagraph"/>
        <w:numPr>
          <w:ilvl w:val="0"/>
          <w:numId w:val="101"/>
        </w:numPr>
        <w:spacing w:after="200"/>
        <w:ind w:left="567" w:hanging="567"/>
      </w:pPr>
      <w:r>
        <w:t>improved collaboration, joint action and problems solving between the Local Court and other service providers.</w:t>
      </w:r>
    </w:p>
    <w:p w14:paraId="5F4A6042" w14:textId="681453CF" w:rsidR="00744923" w:rsidRDefault="007A213E" w:rsidP="007A213E">
      <w:r>
        <w:t>The internal evaluation identified a number of limitations with the model and identified are</w:t>
      </w:r>
      <w:r w:rsidR="00744923">
        <w:t xml:space="preserve">as that could </w:t>
      </w:r>
      <w:r w:rsidR="00FA0CB2">
        <w:t>be strengthened or that require</w:t>
      </w:r>
      <w:r w:rsidR="00744923">
        <w:t xml:space="preserve"> additional resourcing.</w:t>
      </w:r>
    </w:p>
    <w:p w14:paraId="1138A485" w14:textId="77777777" w:rsidR="00744923" w:rsidRDefault="007A213E" w:rsidP="005A5A64">
      <w:r>
        <w:t xml:space="preserve">However, the collaborative partnership approach between the Local Court and local service providers has provided an important foundation on which to ensure continuous improvement approach to justice responses to DFV over time. </w:t>
      </w:r>
    </w:p>
    <w:p w14:paraId="0827AB26" w14:textId="0912957D" w:rsidR="005A5A64" w:rsidRDefault="00744923" w:rsidP="00F24D8B">
      <w:pPr>
        <w:keepNext/>
        <w:spacing w:after="120"/>
      </w:pPr>
      <w:r>
        <w:t xml:space="preserve">The Specialist Approach has moved the Local Court closer towards the vision for the justice system identified in </w:t>
      </w:r>
      <w:r w:rsidR="00FA0CB2">
        <w:t xml:space="preserve">the DFV </w:t>
      </w:r>
      <w:r>
        <w:t>victim journey mapping report for:</w:t>
      </w:r>
      <w:r w:rsidR="007A213E">
        <w:rPr>
          <w:rStyle w:val="FootnoteReference"/>
        </w:rPr>
        <w:footnoteReference w:id="211"/>
      </w:r>
    </w:p>
    <w:p w14:paraId="286B3D2B" w14:textId="50E7D015" w:rsidR="00744923" w:rsidRDefault="00F24D8B" w:rsidP="00F24D8B">
      <w:pPr>
        <w:pStyle w:val="ListParagraph"/>
        <w:numPr>
          <w:ilvl w:val="0"/>
          <w:numId w:val="11"/>
        </w:numPr>
        <w:ind w:left="567" w:hanging="567"/>
        <w:rPr>
          <w:lang w:eastAsia="en-AU"/>
        </w:rPr>
      </w:pPr>
      <w:r>
        <w:rPr>
          <w:lang w:eastAsia="en-AU"/>
        </w:rPr>
        <w:t xml:space="preserve">an </w:t>
      </w:r>
      <w:r w:rsidR="00744923">
        <w:rPr>
          <w:lang w:eastAsia="en-AU"/>
        </w:rPr>
        <w:t>integrated, understandable, trauma-informed system</w:t>
      </w:r>
      <w:r>
        <w:rPr>
          <w:lang w:eastAsia="en-AU"/>
        </w:rPr>
        <w:t>;</w:t>
      </w:r>
    </w:p>
    <w:p w14:paraId="391CF9C2" w14:textId="76DD2378" w:rsidR="00744923" w:rsidRDefault="00F24D8B" w:rsidP="00F24D8B">
      <w:pPr>
        <w:pStyle w:val="ListParagraph"/>
        <w:numPr>
          <w:ilvl w:val="0"/>
          <w:numId w:val="11"/>
        </w:numPr>
        <w:ind w:left="567" w:hanging="567"/>
        <w:rPr>
          <w:lang w:eastAsia="en-AU"/>
        </w:rPr>
      </w:pPr>
      <w:r>
        <w:rPr>
          <w:lang w:eastAsia="en-AU"/>
        </w:rPr>
        <w:t xml:space="preserve">that </w:t>
      </w:r>
      <w:r w:rsidR="00FA0CB2">
        <w:rPr>
          <w:lang w:eastAsia="en-AU"/>
        </w:rPr>
        <w:t>prioritises</w:t>
      </w:r>
      <w:r w:rsidR="00744923">
        <w:rPr>
          <w:lang w:eastAsia="en-AU"/>
        </w:rPr>
        <w:t xml:space="preserve"> victim safety and supports and empowers victim-survivors</w:t>
      </w:r>
      <w:r>
        <w:rPr>
          <w:lang w:eastAsia="en-AU"/>
        </w:rPr>
        <w:t>;</w:t>
      </w:r>
      <w:r w:rsidR="00FA0CB2">
        <w:rPr>
          <w:lang w:eastAsia="en-AU"/>
        </w:rPr>
        <w:t xml:space="preserve"> and </w:t>
      </w:r>
    </w:p>
    <w:p w14:paraId="31ED979D" w14:textId="5192FA17" w:rsidR="00744923" w:rsidRPr="005A5A64" w:rsidRDefault="00F24D8B" w:rsidP="00F24D8B">
      <w:pPr>
        <w:pStyle w:val="ListParagraph"/>
        <w:numPr>
          <w:ilvl w:val="0"/>
          <w:numId w:val="11"/>
        </w:numPr>
        <w:spacing w:after="200"/>
        <w:ind w:left="567" w:hanging="567"/>
        <w:rPr>
          <w:lang w:eastAsia="en-AU"/>
        </w:rPr>
      </w:pPr>
      <w:r>
        <w:rPr>
          <w:lang w:eastAsia="en-AU"/>
        </w:rPr>
        <w:t xml:space="preserve">that </w:t>
      </w:r>
      <w:r w:rsidR="00744923">
        <w:rPr>
          <w:lang w:eastAsia="en-AU"/>
        </w:rPr>
        <w:t>provides greater accountability and behaviour change for perpetrators of DFV.</w:t>
      </w:r>
    </w:p>
    <w:p w14:paraId="51958B8B" w14:textId="1CF930E5" w:rsidR="007A213E" w:rsidRDefault="00744923" w:rsidP="007A213E">
      <w:r>
        <w:lastRenderedPageBreak/>
        <w:t>T</w:t>
      </w:r>
      <w:r w:rsidR="007A213E">
        <w:t>he results of the 18-month evaluation are so promising that it would be worthwhile for discussions to commence between the Local Court and partner organisations in Darwin, Katherine and Tennant Creek about whether</w:t>
      </w:r>
      <w:r w:rsidR="00FA0CB2">
        <w:t xml:space="preserve"> this model could be adapted for the Local Court in each area</w:t>
      </w:r>
      <w:r w:rsidR="007A213E">
        <w:t xml:space="preserve">. </w:t>
      </w:r>
      <w:r w:rsidR="00F24D8B">
        <w:t xml:space="preserve"> </w:t>
      </w:r>
      <w:r w:rsidR="007A213E">
        <w:t xml:space="preserve">Aspects of the approach could also be adapted to bush court settings. </w:t>
      </w:r>
    </w:p>
    <w:p w14:paraId="71173EDE" w14:textId="1EBD1432" w:rsidR="007A213E" w:rsidRDefault="007A213E" w:rsidP="007A213E">
      <w:r>
        <w:t xml:space="preserve">One of the striking features of the Specialist Approach is that it grew from a local collaboration and commitment to improve responses to DFV in Alice Springs. </w:t>
      </w:r>
      <w:r w:rsidR="00F24D8B">
        <w:t xml:space="preserve"> </w:t>
      </w:r>
      <w:r>
        <w:t xml:space="preserve">Place-based responses </w:t>
      </w:r>
      <w:r w:rsidR="00332404">
        <w:t>can be effective because professionals in that location have a shared commitment to improve the system</w:t>
      </w:r>
      <w:r>
        <w:t xml:space="preserve">. </w:t>
      </w:r>
      <w:r w:rsidR="00F24D8B">
        <w:t xml:space="preserve"> </w:t>
      </w:r>
      <w:r>
        <w:t>This respect for the value of local collaboration is consistent with the ethos behind NT’s Local Decision Making Framework, and the commitment to Community Cou</w:t>
      </w:r>
      <w:r w:rsidR="00FA0CB2">
        <w:t xml:space="preserve">rts and </w:t>
      </w:r>
      <w:r>
        <w:t>Law and Justic</w:t>
      </w:r>
      <w:r w:rsidR="00896EA6">
        <w:t>e</w:t>
      </w:r>
      <w:r>
        <w:t xml:space="preserve"> Groups as part of </w:t>
      </w:r>
      <w:r w:rsidR="00FA0CB2">
        <w:t>the AJA</w:t>
      </w:r>
      <w:r>
        <w:t>.</w:t>
      </w:r>
    </w:p>
    <w:p w14:paraId="0B066DD1" w14:textId="6E9316E3" w:rsidR="007A213E" w:rsidRDefault="00E633CF" w:rsidP="00F24D8B">
      <w:pPr>
        <w:pStyle w:val="Heading4"/>
        <w:keepNext/>
        <w:numPr>
          <w:ilvl w:val="0"/>
          <w:numId w:val="0"/>
        </w:numPr>
        <w:spacing w:after="0" w:line="259" w:lineRule="auto"/>
        <w:ind w:left="864" w:hanging="864"/>
      </w:pPr>
      <w:r>
        <w:t>PROPOSAL SR 10</w:t>
      </w:r>
    </w:p>
    <w:p w14:paraId="10AF9DBB" w14:textId="018A79AF" w:rsidR="007A213E" w:rsidRPr="0074330D" w:rsidRDefault="007A213E" w:rsidP="00F24D8B">
      <w:pPr>
        <w:keepNext/>
        <w:spacing w:after="0" w:line="259" w:lineRule="auto"/>
        <w:rPr>
          <w:b/>
        </w:rPr>
      </w:pPr>
      <w:r w:rsidRPr="0074330D">
        <w:rPr>
          <w:b/>
        </w:rPr>
        <w:t>It is proposed that the NT progressively work towards a</w:t>
      </w:r>
      <w:r w:rsidR="00D31D43">
        <w:rPr>
          <w:b/>
        </w:rPr>
        <w:t xml:space="preserve"> </w:t>
      </w:r>
      <w:r w:rsidR="00EB5EE2">
        <w:rPr>
          <w:b/>
        </w:rPr>
        <w:t>specialist approach to DFV</w:t>
      </w:r>
      <w:r w:rsidR="00D31D43">
        <w:rPr>
          <w:b/>
        </w:rPr>
        <w:t xml:space="preserve"> </w:t>
      </w:r>
      <w:r w:rsidRPr="0074330D">
        <w:rPr>
          <w:b/>
        </w:rPr>
        <w:t>(incorporating civil and criminal</w:t>
      </w:r>
      <w:r w:rsidR="00602674">
        <w:rPr>
          <w:b/>
        </w:rPr>
        <w:t xml:space="preserve"> law) </w:t>
      </w:r>
      <w:r w:rsidRPr="0074330D">
        <w:rPr>
          <w:b/>
        </w:rPr>
        <w:t>centred around the Local Court</w:t>
      </w:r>
      <w:r w:rsidR="00602674">
        <w:rPr>
          <w:b/>
        </w:rPr>
        <w:t xml:space="preserve"> in the following areas</w:t>
      </w:r>
      <w:r w:rsidRPr="0074330D">
        <w:rPr>
          <w:b/>
        </w:rPr>
        <w:t>:</w:t>
      </w:r>
    </w:p>
    <w:p w14:paraId="3C42C841" w14:textId="77777777" w:rsidR="007A213E" w:rsidRPr="0074330D" w:rsidRDefault="007A213E" w:rsidP="00F24D8B">
      <w:pPr>
        <w:pStyle w:val="ListParagraph"/>
        <w:spacing w:after="0" w:line="259" w:lineRule="auto"/>
        <w:rPr>
          <w:b/>
        </w:rPr>
      </w:pPr>
      <w:r w:rsidRPr="0074330D">
        <w:rPr>
          <w:b/>
        </w:rPr>
        <w:t>Southern Region</w:t>
      </w:r>
    </w:p>
    <w:p w14:paraId="69093DBA" w14:textId="56100056" w:rsidR="007A213E" w:rsidRPr="00F24D8B" w:rsidRDefault="00F24D8B" w:rsidP="0067521E">
      <w:pPr>
        <w:pStyle w:val="ListParagraph"/>
        <w:numPr>
          <w:ilvl w:val="0"/>
          <w:numId w:val="182"/>
        </w:numPr>
        <w:spacing w:after="0" w:line="259" w:lineRule="auto"/>
        <w:ind w:left="993" w:hanging="426"/>
        <w:rPr>
          <w:b/>
        </w:rPr>
      </w:pPr>
      <w:r w:rsidRPr="00F24D8B">
        <w:rPr>
          <w:b/>
        </w:rPr>
        <w:t xml:space="preserve">continuation </w:t>
      </w:r>
      <w:r w:rsidR="00602674" w:rsidRPr="00F24D8B">
        <w:rPr>
          <w:b/>
        </w:rPr>
        <w:t xml:space="preserve">of the Specialist Approach in </w:t>
      </w:r>
      <w:r w:rsidR="007A213E" w:rsidRPr="00F24D8B">
        <w:rPr>
          <w:b/>
        </w:rPr>
        <w:t>Alice Springs</w:t>
      </w:r>
    </w:p>
    <w:p w14:paraId="2291F9CA" w14:textId="25C4488B" w:rsidR="007A213E" w:rsidRPr="00F24D8B" w:rsidRDefault="00F24D8B" w:rsidP="0067521E">
      <w:pPr>
        <w:pStyle w:val="ListParagraph"/>
        <w:numPr>
          <w:ilvl w:val="0"/>
          <w:numId w:val="182"/>
        </w:numPr>
        <w:spacing w:after="0" w:line="259" w:lineRule="auto"/>
        <w:ind w:left="993" w:hanging="426"/>
        <w:rPr>
          <w:b/>
        </w:rPr>
      </w:pPr>
      <w:r w:rsidRPr="00F24D8B">
        <w:rPr>
          <w:b/>
        </w:rPr>
        <w:t xml:space="preserve">commence </w:t>
      </w:r>
      <w:r w:rsidR="00C6471D" w:rsidRPr="00F24D8B">
        <w:rPr>
          <w:b/>
        </w:rPr>
        <w:t xml:space="preserve">discussions in </w:t>
      </w:r>
      <w:r w:rsidR="007A213E" w:rsidRPr="00F24D8B">
        <w:rPr>
          <w:b/>
        </w:rPr>
        <w:t>Tennant Creek</w:t>
      </w:r>
    </w:p>
    <w:p w14:paraId="55287F77" w14:textId="77777777" w:rsidR="007A213E" w:rsidRPr="0074330D" w:rsidRDefault="007A213E" w:rsidP="00F24D8B">
      <w:pPr>
        <w:spacing w:after="0" w:line="259" w:lineRule="auto"/>
        <w:rPr>
          <w:b/>
        </w:rPr>
      </w:pPr>
      <w:r w:rsidRPr="0074330D">
        <w:rPr>
          <w:b/>
        </w:rPr>
        <w:t>Northern Region</w:t>
      </w:r>
    </w:p>
    <w:p w14:paraId="0DAEE435" w14:textId="729A7A7D" w:rsidR="007A213E" w:rsidRPr="0074330D" w:rsidRDefault="00F24D8B" w:rsidP="0067521E">
      <w:pPr>
        <w:pStyle w:val="ListParagraph"/>
        <w:numPr>
          <w:ilvl w:val="0"/>
          <w:numId w:val="181"/>
        </w:numPr>
        <w:spacing w:after="0" w:line="259" w:lineRule="auto"/>
        <w:ind w:left="993" w:hanging="426"/>
        <w:rPr>
          <w:b/>
        </w:rPr>
      </w:pPr>
      <w:r>
        <w:rPr>
          <w:b/>
        </w:rPr>
        <w:t xml:space="preserve">commence </w:t>
      </w:r>
      <w:r w:rsidR="00C6471D">
        <w:rPr>
          <w:b/>
        </w:rPr>
        <w:t xml:space="preserve">discussions in </w:t>
      </w:r>
      <w:r w:rsidR="007A213E" w:rsidRPr="0074330D">
        <w:rPr>
          <w:b/>
        </w:rPr>
        <w:t>Darwin</w:t>
      </w:r>
    </w:p>
    <w:p w14:paraId="09756EEB" w14:textId="26B81BC5" w:rsidR="007A213E" w:rsidRPr="0074330D" w:rsidRDefault="00F24D8B" w:rsidP="0067521E">
      <w:pPr>
        <w:pStyle w:val="ListParagraph"/>
        <w:numPr>
          <w:ilvl w:val="0"/>
          <w:numId w:val="181"/>
        </w:numPr>
        <w:spacing w:line="259" w:lineRule="auto"/>
        <w:ind w:left="992" w:hanging="425"/>
        <w:rPr>
          <w:b/>
        </w:rPr>
      </w:pPr>
      <w:r>
        <w:rPr>
          <w:b/>
        </w:rPr>
        <w:t xml:space="preserve">commence </w:t>
      </w:r>
      <w:r w:rsidR="00C6471D">
        <w:rPr>
          <w:b/>
        </w:rPr>
        <w:t xml:space="preserve">discussions in </w:t>
      </w:r>
      <w:r w:rsidR="007A213E" w:rsidRPr="0074330D">
        <w:rPr>
          <w:b/>
        </w:rPr>
        <w:t>Katherin</w:t>
      </w:r>
      <w:r>
        <w:rPr>
          <w:b/>
        </w:rPr>
        <w:t>e</w:t>
      </w:r>
    </w:p>
    <w:p w14:paraId="5A6C3615" w14:textId="77777777" w:rsidR="00C6471D" w:rsidRDefault="00602674" w:rsidP="00F24D8B">
      <w:pPr>
        <w:spacing w:after="0" w:line="259" w:lineRule="auto"/>
        <w:rPr>
          <w:b/>
        </w:rPr>
      </w:pPr>
      <w:r>
        <w:rPr>
          <w:b/>
        </w:rPr>
        <w:t xml:space="preserve">It is </w:t>
      </w:r>
      <w:r w:rsidR="00C6471D">
        <w:rPr>
          <w:b/>
        </w:rPr>
        <w:t>further proposed that:</w:t>
      </w:r>
    </w:p>
    <w:p w14:paraId="075A3F82" w14:textId="4D0AB32E" w:rsidR="00C6471D" w:rsidRDefault="00702F3D" w:rsidP="0067521E">
      <w:pPr>
        <w:pStyle w:val="ListParagraph"/>
        <w:numPr>
          <w:ilvl w:val="0"/>
          <w:numId w:val="138"/>
        </w:numPr>
        <w:spacing w:after="0" w:line="259" w:lineRule="auto"/>
        <w:ind w:left="567" w:hanging="567"/>
        <w:rPr>
          <w:b/>
        </w:rPr>
      </w:pPr>
      <w:r>
        <w:rPr>
          <w:b/>
        </w:rPr>
        <w:t>T</w:t>
      </w:r>
      <w:r w:rsidR="007A213E" w:rsidRPr="00C6471D">
        <w:rPr>
          <w:b/>
        </w:rPr>
        <w:t xml:space="preserve">he </w:t>
      </w:r>
      <w:r w:rsidR="00EB5EE2">
        <w:rPr>
          <w:b/>
        </w:rPr>
        <w:t>specialist approach</w:t>
      </w:r>
      <w:r w:rsidR="007A213E" w:rsidRPr="00C6471D">
        <w:rPr>
          <w:b/>
        </w:rPr>
        <w:t xml:space="preserve"> to DFV be </w:t>
      </w:r>
      <w:r w:rsidR="006C7D46">
        <w:rPr>
          <w:b/>
        </w:rPr>
        <w:t xml:space="preserve">permitted to evolve in each location to take into account </w:t>
      </w:r>
      <w:r w:rsidR="007A213E" w:rsidRPr="00C6471D">
        <w:rPr>
          <w:b/>
        </w:rPr>
        <w:t>local needs and circumstances but that it be guided by a set of Territory-wide overarching shared principles to ensure consistency and co-ordination and to align with go</w:t>
      </w:r>
      <w:r w:rsidR="006C7D46">
        <w:rPr>
          <w:b/>
        </w:rPr>
        <w:t>od practice</w:t>
      </w:r>
      <w:r w:rsidR="007A213E" w:rsidRPr="00C6471D">
        <w:rPr>
          <w:b/>
        </w:rPr>
        <w:t>.</w:t>
      </w:r>
    </w:p>
    <w:p w14:paraId="5765E637" w14:textId="7E99AB67" w:rsidR="00C6471D" w:rsidRDefault="00550712" w:rsidP="0067521E">
      <w:pPr>
        <w:pStyle w:val="ListParagraph"/>
        <w:numPr>
          <w:ilvl w:val="0"/>
          <w:numId w:val="138"/>
        </w:numPr>
        <w:spacing w:after="0" w:line="259" w:lineRule="auto"/>
        <w:ind w:left="567" w:hanging="567"/>
        <w:rPr>
          <w:b/>
        </w:rPr>
      </w:pPr>
      <w:r>
        <w:rPr>
          <w:b/>
        </w:rPr>
        <w:t xml:space="preserve">The </w:t>
      </w:r>
      <w:r w:rsidR="00E37E7C">
        <w:rPr>
          <w:b/>
        </w:rPr>
        <w:t>DFSV-ICRO</w:t>
      </w:r>
      <w:r>
        <w:rPr>
          <w:b/>
        </w:rPr>
        <w:t xml:space="preserve"> reform agenda</w:t>
      </w:r>
      <w:r w:rsidR="007A213E" w:rsidRPr="00C6471D">
        <w:rPr>
          <w:b/>
        </w:rPr>
        <w:t xml:space="preserve"> i</w:t>
      </w:r>
      <w:r>
        <w:rPr>
          <w:b/>
        </w:rPr>
        <w:t xml:space="preserve">nclude </w:t>
      </w:r>
      <w:r w:rsidR="0030545F">
        <w:rPr>
          <w:b/>
        </w:rPr>
        <w:t xml:space="preserve">consideration of </w:t>
      </w:r>
      <w:r w:rsidR="00F24D8B">
        <w:rPr>
          <w:b/>
        </w:rPr>
        <w:t>funding for a DFV Co</w:t>
      </w:r>
      <w:r w:rsidR="00F24D8B">
        <w:rPr>
          <w:b/>
        </w:rPr>
        <w:noBreakHyphen/>
      </w:r>
      <w:r w:rsidR="007A213E" w:rsidRPr="00C6471D">
        <w:rPr>
          <w:b/>
        </w:rPr>
        <w:t>ordinator/Registrar position in each Local Court (other than Alice Springs which already has that position) and a centra</w:t>
      </w:r>
      <w:r w:rsidR="0023562B">
        <w:rPr>
          <w:b/>
        </w:rPr>
        <w:t>l position in the AGD</w:t>
      </w:r>
      <w:r w:rsidR="007A213E" w:rsidRPr="00C6471D">
        <w:rPr>
          <w:b/>
        </w:rPr>
        <w:t xml:space="preserve"> dedicated to support </w:t>
      </w:r>
      <w:r w:rsidR="00C6471D">
        <w:rPr>
          <w:b/>
        </w:rPr>
        <w:t>the development of the response.</w:t>
      </w:r>
    </w:p>
    <w:p w14:paraId="1267C8E9" w14:textId="0C063F73" w:rsidR="00C6471D" w:rsidRDefault="00702F3D" w:rsidP="0067521E">
      <w:pPr>
        <w:pStyle w:val="ListParagraph"/>
        <w:numPr>
          <w:ilvl w:val="0"/>
          <w:numId w:val="138"/>
        </w:numPr>
        <w:spacing w:after="0" w:line="259" w:lineRule="auto"/>
        <w:ind w:left="567" w:hanging="567"/>
        <w:rPr>
          <w:b/>
        </w:rPr>
      </w:pPr>
      <w:r>
        <w:rPr>
          <w:b/>
        </w:rPr>
        <w:t>T</w:t>
      </w:r>
      <w:r w:rsidR="007A213E" w:rsidRPr="00C6471D">
        <w:rPr>
          <w:b/>
          <w:lang w:eastAsia="en-AU"/>
        </w:rPr>
        <w:t xml:space="preserve">he Specialist Approach to DFV in the Local Court in Alice Springs continue and </w:t>
      </w:r>
      <w:r w:rsidR="00EB5EE2">
        <w:rPr>
          <w:b/>
          <w:lang w:eastAsia="en-AU"/>
        </w:rPr>
        <w:t xml:space="preserve">that the </w:t>
      </w:r>
      <w:r w:rsidR="00E37E7C">
        <w:rPr>
          <w:b/>
          <w:lang w:eastAsia="en-AU"/>
        </w:rPr>
        <w:t>DFSV-ICRO</w:t>
      </w:r>
      <w:r w:rsidR="00EB5EE2">
        <w:rPr>
          <w:b/>
          <w:lang w:eastAsia="en-AU"/>
        </w:rPr>
        <w:t xml:space="preserve"> reform agenda include consideration of funding to strengthen its approach in line with </w:t>
      </w:r>
      <w:r w:rsidR="007A213E" w:rsidRPr="00C6471D">
        <w:rPr>
          <w:b/>
          <w:lang w:eastAsia="en-AU"/>
        </w:rPr>
        <w:t>its Internal Evaluation Report.</w:t>
      </w:r>
    </w:p>
    <w:p w14:paraId="6B376F80" w14:textId="261BEDDE" w:rsidR="00827745" w:rsidRDefault="0023562B" w:rsidP="0067521E">
      <w:pPr>
        <w:pStyle w:val="ListParagraph"/>
        <w:numPr>
          <w:ilvl w:val="0"/>
          <w:numId w:val="138"/>
        </w:numPr>
        <w:spacing w:after="0" w:line="259" w:lineRule="auto"/>
        <w:ind w:left="567" w:hanging="567"/>
        <w:rPr>
          <w:b/>
        </w:rPr>
      </w:pPr>
      <w:r>
        <w:rPr>
          <w:b/>
        </w:rPr>
        <w:t>AGD</w:t>
      </w:r>
      <w:r w:rsidR="007A213E" w:rsidRPr="00C6471D">
        <w:rPr>
          <w:b/>
        </w:rPr>
        <w:t xml:space="preserve"> identify funding to conduct the three-</w:t>
      </w:r>
      <w:r w:rsidR="00E45CAB" w:rsidRPr="00C6471D">
        <w:rPr>
          <w:b/>
        </w:rPr>
        <w:t xml:space="preserve">year </w:t>
      </w:r>
      <w:r w:rsidR="007A213E" w:rsidRPr="00C6471D">
        <w:rPr>
          <w:b/>
        </w:rPr>
        <w:t xml:space="preserve">external evaluation of the Specialist Approach for the </w:t>
      </w:r>
      <w:r w:rsidR="00827745">
        <w:rPr>
          <w:b/>
        </w:rPr>
        <w:t xml:space="preserve">period July 2020 to June 2023. </w:t>
      </w:r>
    </w:p>
    <w:p w14:paraId="198AD6A2" w14:textId="038A2EFB" w:rsidR="00827745" w:rsidRDefault="00702F3D" w:rsidP="0067521E">
      <w:pPr>
        <w:pStyle w:val="ListParagraph"/>
        <w:numPr>
          <w:ilvl w:val="0"/>
          <w:numId w:val="138"/>
        </w:numPr>
        <w:spacing w:after="0" w:line="259" w:lineRule="auto"/>
        <w:ind w:left="567" w:hanging="567"/>
        <w:rPr>
          <w:b/>
        </w:rPr>
      </w:pPr>
      <w:r>
        <w:rPr>
          <w:b/>
          <w:lang w:eastAsia="en-AU"/>
        </w:rPr>
        <w:t>T</w:t>
      </w:r>
      <w:r w:rsidR="00FA0CB2" w:rsidRPr="00827745">
        <w:rPr>
          <w:b/>
          <w:lang w:eastAsia="en-AU"/>
        </w:rPr>
        <w:t xml:space="preserve">he </w:t>
      </w:r>
      <w:r w:rsidR="007A213E" w:rsidRPr="00827745">
        <w:rPr>
          <w:b/>
          <w:lang w:eastAsia="en-AU"/>
        </w:rPr>
        <w:t>Local Court commence discussions with key stakeholders about the establishment of a Specialist Approach to DFV in the Local Court in Darwin</w:t>
      </w:r>
      <w:r w:rsidR="00D01542" w:rsidRPr="00827745">
        <w:rPr>
          <w:b/>
          <w:lang w:eastAsia="en-AU"/>
        </w:rPr>
        <w:t>, Katherine and Tennant Creek</w:t>
      </w:r>
      <w:r w:rsidR="00827745">
        <w:rPr>
          <w:b/>
          <w:lang w:eastAsia="en-AU"/>
        </w:rPr>
        <w:t>.</w:t>
      </w:r>
    </w:p>
    <w:p w14:paraId="58CC3619" w14:textId="019CF2CB" w:rsidR="00566827" w:rsidRPr="00566827" w:rsidRDefault="0023562B" w:rsidP="0067521E">
      <w:pPr>
        <w:pStyle w:val="ListParagraph"/>
        <w:numPr>
          <w:ilvl w:val="0"/>
          <w:numId w:val="138"/>
        </w:numPr>
        <w:spacing w:after="0" w:line="259" w:lineRule="auto"/>
        <w:ind w:left="567" w:hanging="567"/>
        <w:rPr>
          <w:b/>
        </w:rPr>
      </w:pPr>
      <w:r>
        <w:rPr>
          <w:b/>
        </w:rPr>
        <w:t>AGD</w:t>
      </w:r>
      <w:r w:rsidR="00566827" w:rsidRPr="004731B3">
        <w:rPr>
          <w:b/>
        </w:rPr>
        <w:t xml:space="preserve"> consider how a more integrated specialist approach can be fostered in bush courts, and that this be done in collaboration with the Aboriginal Justice Unit, as part of t</w:t>
      </w:r>
      <w:r w:rsidR="00566827">
        <w:rPr>
          <w:b/>
        </w:rPr>
        <w:t>he Aboriginal Justice Agreement.</w:t>
      </w:r>
    </w:p>
    <w:p w14:paraId="52850EAE" w14:textId="73A7471F" w:rsidR="007A213E" w:rsidRDefault="00550712" w:rsidP="0067521E">
      <w:pPr>
        <w:pStyle w:val="ListParagraph"/>
        <w:numPr>
          <w:ilvl w:val="0"/>
          <w:numId w:val="138"/>
        </w:numPr>
        <w:spacing w:after="0" w:line="259" w:lineRule="auto"/>
        <w:ind w:left="567" w:hanging="567"/>
        <w:rPr>
          <w:b/>
        </w:rPr>
      </w:pPr>
      <w:r>
        <w:rPr>
          <w:b/>
          <w:lang w:eastAsia="en-AU"/>
        </w:rPr>
        <w:t xml:space="preserve">The </w:t>
      </w:r>
      <w:r w:rsidR="00E37E7C">
        <w:rPr>
          <w:b/>
          <w:lang w:eastAsia="en-AU"/>
        </w:rPr>
        <w:t>DFSV-ICRO</w:t>
      </w:r>
      <w:r>
        <w:rPr>
          <w:b/>
          <w:lang w:eastAsia="en-AU"/>
        </w:rPr>
        <w:t xml:space="preserve"> reform agenda include </w:t>
      </w:r>
      <w:r w:rsidR="00BD015D">
        <w:rPr>
          <w:b/>
          <w:lang w:eastAsia="en-AU"/>
        </w:rPr>
        <w:t xml:space="preserve">consideration of </w:t>
      </w:r>
      <w:r>
        <w:rPr>
          <w:b/>
          <w:lang w:eastAsia="en-AU"/>
        </w:rPr>
        <w:t>funding</w:t>
      </w:r>
      <w:r w:rsidR="007A213E" w:rsidRPr="00827745">
        <w:rPr>
          <w:b/>
          <w:lang w:eastAsia="en-AU"/>
        </w:rPr>
        <w:t xml:space="preserve"> for a comprehensive training package on DFV for all personnel working in the justice system, including both introductory and advanced courses.</w:t>
      </w:r>
    </w:p>
    <w:p w14:paraId="5590FB8E" w14:textId="52CD9953" w:rsidR="007A213E" w:rsidRPr="00827745" w:rsidRDefault="00550712" w:rsidP="0067521E">
      <w:pPr>
        <w:pStyle w:val="ListParagraph"/>
        <w:numPr>
          <w:ilvl w:val="0"/>
          <w:numId w:val="138"/>
        </w:numPr>
        <w:spacing w:after="0" w:line="259" w:lineRule="auto"/>
        <w:ind w:left="567" w:hanging="567"/>
        <w:rPr>
          <w:b/>
        </w:rPr>
      </w:pPr>
      <w:r>
        <w:rPr>
          <w:b/>
          <w:lang w:eastAsia="en-AU"/>
        </w:rPr>
        <w:t xml:space="preserve">The </w:t>
      </w:r>
      <w:r w:rsidR="00E37E7C">
        <w:rPr>
          <w:b/>
          <w:lang w:eastAsia="en-AU"/>
        </w:rPr>
        <w:t>DFSV-ICRO</w:t>
      </w:r>
      <w:r>
        <w:rPr>
          <w:b/>
          <w:lang w:eastAsia="en-AU"/>
        </w:rPr>
        <w:t xml:space="preserve"> reform agenda include </w:t>
      </w:r>
      <w:r w:rsidR="00BD015D">
        <w:rPr>
          <w:b/>
          <w:lang w:eastAsia="en-AU"/>
        </w:rPr>
        <w:t xml:space="preserve">consideration of </w:t>
      </w:r>
      <w:r>
        <w:rPr>
          <w:b/>
          <w:lang w:eastAsia="en-AU"/>
        </w:rPr>
        <w:t>funding for a</w:t>
      </w:r>
      <w:r w:rsidR="007A213E" w:rsidRPr="00827745">
        <w:rPr>
          <w:b/>
          <w:lang w:eastAsia="en-AU"/>
        </w:rPr>
        <w:t xml:space="preserve">dditional </w:t>
      </w:r>
      <w:r>
        <w:rPr>
          <w:b/>
          <w:lang w:eastAsia="en-AU"/>
        </w:rPr>
        <w:t xml:space="preserve">specialist </w:t>
      </w:r>
      <w:r w:rsidR="007A213E" w:rsidRPr="00827745">
        <w:rPr>
          <w:b/>
          <w:lang w:eastAsia="en-AU"/>
        </w:rPr>
        <w:t xml:space="preserve">DFV training </w:t>
      </w:r>
      <w:r>
        <w:rPr>
          <w:b/>
          <w:lang w:eastAsia="en-AU"/>
        </w:rPr>
        <w:t>for judges</w:t>
      </w:r>
      <w:r w:rsidR="007A213E" w:rsidRPr="00827745">
        <w:rPr>
          <w:b/>
          <w:lang w:eastAsia="en-AU"/>
        </w:rPr>
        <w:t>, with a two–tiered approach:</w:t>
      </w:r>
    </w:p>
    <w:p w14:paraId="360F6854" w14:textId="3D53CFA5" w:rsidR="007A213E" w:rsidRPr="0074330D" w:rsidRDefault="00F24D8B" w:rsidP="0067521E">
      <w:pPr>
        <w:pStyle w:val="ListParagraph"/>
        <w:numPr>
          <w:ilvl w:val="1"/>
          <w:numId w:val="59"/>
        </w:numPr>
        <w:spacing w:after="0" w:line="259" w:lineRule="auto"/>
        <w:ind w:left="993" w:hanging="426"/>
        <w:rPr>
          <w:b/>
          <w:lang w:eastAsia="en-AU"/>
        </w:rPr>
      </w:pPr>
      <w:r>
        <w:rPr>
          <w:b/>
          <w:lang w:eastAsia="en-AU"/>
        </w:rPr>
        <w:t xml:space="preserve">advanced </w:t>
      </w:r>
      <w:r w:rsidR="00FA0CB2">
        <w:rPr>
          <w:b/>
          <w:lang w:eastAsia="en-AU"/>
        </w:rPr>
        <w:t xml:space="preserve">understanding of </w:t>
      </w:r>
      <w:r w:rsidR="007A213E" w:rsidRPr="0074330D">
        <w:rPr>
          <w:b/>
          <w:lang w:eastAsia="en-AU"/>
        </w:rPr>
        <w:t>the dynamics of DFV</w:t>
      </w:r>
      <w:r>
        <w:rPr>
          <w:b/>
          <w:lang w:eastAsia="en-AU"/>
        </w:rPr>
        <w:t>;</w:t>
      </w:r>
    </w:p>
    <w:p w14:paraId="5B05A657" w14:textId="76BCDAD1" w:rsidR="00330156" w:rsidRPr="003B3089" w:rsidRDefault="00F24D8B" w:rsidP="0067521E">
      <w:pPr>
        <w:pStyle w:val="ListParagraph"/>
        <w:numPr>
          <w:ilvl w:val="1"/>
          <w:numId w:val="59"/>
        </w:numPr>
        <w:spacing w:after="0" w:line="259" w:lineRule="auto"/>
        <w:ind w:left="993" w:hanging="426"/>
        <w:rPr>
          <w:b/>
          <w:lang w:eastAsia="en-AU"/>
        </w:rPr>
      </w:pPr>
      <w:r w:rsidRPr="0074330D">
        <w:rPr>
          <w:b/>
          <w:lang w:eastAsia="en-AU"/>
        </w:rPr>
        <w:t xml:space="preserve">best </w:t>
      </w:r>
      <w:r w:rsidR="007A213E" w:rsidRPr="0074330D">
        <w:rPr>
          <w:b/>
          <w:lang w:eastAsia="en-AU"/>
        </w:rPr>
        <w:t xml:space="preserve">practice court craft and a trauma-informed approach to handling DFV matters in </w:t>
      </w:r>
      <w:r w:rsidRPr="0074330D">
        <w:rPr>
          <w:b/>
          <w:lang w:eastAsia="en-AU"/>
        </w:rPr>
        <w:t>court</w:t>
      </w:r>
      <w:r w:rsidR="007A213E" w:rsidRPr="0074330D">
        <w:rPr>
          <w:b/>
          <w:lang w:eastAsia="en-AU"/>
        </w:rPr>
        <w:t>.</w:t>
      </w:r>
    </w:p>
    <w:p w14:paraId="78D0BD79" w14:textId="77777777" w:rsidR="00F24D8B" w:rsidRDefault="00F24D8B">
      <w:pPr>
        <w:rPr>
          <w:rFonts w:asciiTheme="majorHAnsi" w:eastAsiaTheme="majorEastAsia" w:hAnsiTheme="majorHAnsi" w:cstheme="majorBidi"/>
          <w:bCs/>
          <w:iCs/>
          <w:color w:val="454347"/>
          <w:sz w:val="32"/>
          <w:szCs w:val="32"/>
        </w:rPr>
      </w:pPr>
      <w:r>
        <w:br w:type="page"/>
      </w:r>
    </w:p>
    <w:p w14:paraId="4777E454" w14:textId="3EFFDD11" w:rsidR="0095673C" w:rsidRDefault="004731B3" w:rsidP="00F24D8B">
      <w:pPr>
        <w:pStyle w:val="Heading2"/>
        <w:keepNext/>
        <w:ind w:left="1134" w:hanging="578"/>
      </w:pPr>
      <w:bookmarkStart w:id="109" w:name="_Toc112051893"/>
      <w:r>
        <w:lastRenderedPageBreak/>
        <w:t>Improved p</w:t>
      </w:r>
      <w:r w:rsidR="0095673C" w:rsidRPr="000A0EF3">
        <w:t xml:space="preserve">olicing </w:t>
      </w:r>
      <w:r w:rsidR="00967F2B">
        <w:t>of DFV</w:t>
      </w:r>
      <w:bookmarkEnd w:id="109"/>
    </w:p>
    <w:p w14:paraId="4F381461" w14:textId="0D42A250" w:rsidR="00865668" w:rsidRDefault="00D20BA5" w:rsidP="00F24D8B">
      <w:pPr>
        <w:spacing w:after="0"/>
      </w:pPr>
      <w:r>
        <w:t xml:space="preserve">Police in the NT are often the first responders to a DFV situation, and on many occasions meet a scene that is chaotic and where adults and children may be injured or distressed. </w:t>
      </w:r>
      <w:r w:rsidR="00FD76A8">
        <w:t xml:space="preserve"> </w:t>
      </w:r>
      <w:r w:rsidR="009A7546">
        <w:t xml:space="preserve">The way that police </w:t>
      </w:r>
      <w:r w:rsidR="007F3A64">
        <w:t>handle their first contact with a victim-survivor and a perp</w:t>
      </w:r>
      <w:r w:rsidR="009A7546">
        <w:t>etrator in a DFV situation can make</w:t>
      </w:r>
      <w:r w:rsidR="007F3A64">
        <w:t xml:space="preserve"> a significant difference in victim-survivor safety and offender accountability </w:t>
      </w:r>
      <w:r w:rsidR="003E2F38">
        <w:t>and how the matter progresses through the justice system</w:t>
      </w:r>
      <w:r w:rsidR="007F3A64">
        <w:t>.</w:t>
      </w:r>
    </w:p>
    <w:p w14:paraId="76E1238E" w14:textId="56243055" w:rsidR="00D20BA5" w:rsidRDefault="00C66C65" w:rsidP="00865668">
      <w:pPr>
        <w:pStyle w:val="Heading3"/>
      </w:pPr>
      <w:bookmarkStart w:id="110" w:name="_Toc112051894"/>
      <w:r>
        <w:t>The experience of victim-survivors</w:t>
      </w:r>
      <w:bookmarkEnd w:id="110"/>
    </w:p>
    <w:p w14:paraId="193D0C1E" w14:textId="77777777" w:rsidR="00BB0DD1" w:rsidRDefault="00D6576F" w:rsidP="00F24D8B">
      <w:r>
        <w:t>T</w:t>
      </w:r>
      <w:r w:rsidR="00D20BA5">
        <w:t xml:space="preserve">he </w:t>
      </w:r>
      <w:r w:rsidR="009A7546">
        <w:t xml:space="preserve">DFV </w:t>
      </w:r>
      <w:r w:rsidR="00D20BA5">
        <w:t>victi</w:t>
      </w:r>
      <w:r w:rsidR="006B6E05">
        <w:t>m journey-mapping research</w:t>
      </w:r>
      <w:r>
        <w:t xml:space="preserve"> </w:t>
      </w:r>
      <w:r w:rsidR="00D20BA5">
        <w:t xml:space="preserve">found the police response </w:t>
      </w:r>
      <w:r w:rsidR="006B6E05">
        <w:t xml:space="preserve">to DFV was </w:t>
      </w:r>
      <w:r w:rsidR="00D20BA5">
        <w:t>inc</w:t>
      </w:r>
      <w:r>
        <w:t>onsistent.</w:t>
      </w:r>
      <w:r w:rsidR="006B6E05" w:rsidRPr="006B6E05">
        <w:rPr>
          <w:rStyle w:val="FootnoteReference"/>
        </w:rPr>
        <w:t xml:space="preserve"> </w:t>
      </w:r>
      <w:r w:rsidR="006B6E05">
        <w:rPr>
          <w:rStyle w:val="FootnoteReference"/>
        </w:rPr>
        <w:footnoteReference w:id="212"/>
      </w:r>
      <w:r>
        <w:t xml:space="preserve"> Some police responded</w:t>
      </w:r>
      <w:r w:rsidR="00D20BA5">
        <w:t xml:space="preserve"> in a supportive, resp</w:t>
      </w:r>
      <w:r w:rsidR="00BF2F1C">
        <w:t>ectful and helpful way</w:t>
      </w:r>
      <w:r w:rsidR="006B6E05">
        <w:t xml:space="preserve">, going to great lengths to keep victim-survivors safe. On other occasions police </w:t>
      </w:r>
      <w:r w:rsidR="00D20BA5">
        <w:t xml:space="preserve">were dismissive </w:t>
      </w:r>
      <w:r w:rsidR="006B6E05">
        <w:t xml:space="preserve">of DFV </w:t>
      </w:r>
      <w:r w:rsidR="00D20BA5">
        <w:t>and did not take the offen</w:t>
      </w:r>
      <w:r w:rsidR="00330156">
        <w:t xml:space="preserve">ding seriously or instigate </w:t>
      </w:r>
      <w:r w:rsidR="00D20BA5">
        <w:t>action</w:t>
      </w:r>
      <w:r w:rsidR="006B6E05">
        <w:t>, causing victim</w:t>
      </w:r>
      <w:r w:rsidR="00BB0DD1">
        <w:t>-survivor</w:t>
      </w:r>
      <w:r w:rsidR="006B6E05">
        <w:t xml:space="preserve"> dissatisfaction and distress</w:t>
      </w:r>
      <w:r w:rsidR="00D20BA5">
        <w:t xml:space="preserve">.  </w:t>
      </w:r>
    </w:p>
    <w:p w14:paraId="73C0409E" w14:textId="75465970" w:rsidR="00D20BA5" w:rsidRDefault="00D20BA5" w:rsidP="00F24D8B">
      <w:pPr>
        <w:spacing w:after="120"/>
      </w:pPr>
      <w:r>
        <w:t>For examp</w:t>
      </w:r>
      <w:r w:rsidR="003D318B">
        <w:t>le, one victim-survivor said</w:t>
      </w:r>
      <w:r>
        <w:t xml:space="preserve"> that her partner had choked her (a known high risk factor for domestic homicide) and the police advised that they could not assist and she should take out her own DVO.  Victim-survivors expressed frustration at having to tell the</w:t>
      </w:r>
      <w:r w:rsidR="003F0FE3">
        <w:t>ir stories over and over again</w:t>
      </w:r>
      <w:r w:rsidR="006B6E05">
        <w:t xml:space="preserve"> </w:t>
      </w:r>
      <w:r w:rsidR="00BB0DD1">
        <w:t>to different police officers</w:t>
      </w:r>
      <w:r w:rsidR="003F0FE3">
        <w:t xml:space="preserve">. </w:t>
      </w:r>
      <w:r w:rsidR="00C9358A">
        <w:t xml:space="preserve">There were </w:t>
      </w:r>
      <w:r>
        <w:t>case</w:t>
      </w:r>
      <w:r w:rsidR="00C9358A">
        <w:t>s of police misidentifying the victim and the perpetrator, and some victim-survivors believed police were siding with the defendant.</w:t>
      </w:r>
      <w:r w:rsidR="00C66C65">
        <w:rPr>
          <w:rStyle w:val="FootnoteReference"/>
        </w:rPr>
        <w:footnoteReference w:id="213"/>
      </w:r>
      <w:r>
        <w:t xml:space="preserve"> </w:t>
      </w:r>
      <w:r w:rsidR="00F24D8B">
        <w:t xml:space="preserve"> </w:t>
      </w:r>
      <w:r>
        <w:t>One victim</w:t>
      </w:r>
      <w:r w:rsidR="00DE6E1C">
        <w:t>-survivor</w:t>
      </w:r>
      <w:r w:rsidR="00BB0DD1">
        <w:t xml:space="preserve"> said</w:t>
      </w:r>
      <w:r>
        <w:t>:</w:t>
      </w:r>
    </w:p>
    <w:p w14:paraId="7A9BFB96" w14:textId="0358012C" w:rsidR="00D20BA5" w:rsidRDefault="00D20BA5" w:rsidP="00F24D8B">
      <w:pPr>
        <w:ind w:left="567"/>
      </w:pPr>
      <w:r w:rsidRPr="00780440">
        <w:rPr>
          <w:iCs/>
          <w:sz w:val="20"/>
          <w:szCs w:val="20"/>
        </w:rPr>
        <w:t>“While he was assaulting me, he called them [Police]. They came and put a DVO on me. You can’t trust them, they’ll always believe him.”  -</w:t>
      </w:r>
      <w:r w:rsidRPr="00780440">
        <w:rPr>
          <w:sz w:val="20"/>
          <w:szCs w:val="20"/>
        </w:rPr>
        <w:t xml:space="preserve"> Jenna</w:t>
      </w:r>
      <w:r w:rsidR="00BB0DD1">
        <w:rPr>
          <w:sz w:val="20"/>
          <w:szCs w:val="20"/>
        </w:rPr>
        <w:t xml:space="preserve"> </w:t>
      </w:r>
      <w:r>
        <w:rPr>
          <w:rStyle w:val="FootnoteReference"/>
        </w:rPr>
        <w:footnoteReference w:id="214"/>
      </w:r>
    </w:p>
    <w:p w14:paraId="36088A6A" w14:textId="3E1DB9A1" w:rsidR="00C66C65" w:rsidRDefault="00C9358A" w:rsidP="00F24D8B">
      <w:pPr>
        <w:spacing w:after="0"/>
      </w:pPr>
      <w:r>
        <w:t>The attitudes and actions of police had a significant influence the level of trust and confidence in the justice system.</w:t>
      </w:r>
    </w:p>
    <w:p w14:paraId="7C5A371C" w14:textId="19C9FC61" w:rsidR="00C9358A" w:rsidRDefault="00C66C65" w:rsidP="00A32A56">
      <w:pPr>
        <w:pStyle w:val="Heading3"/>
        <w:keepNext/>
      </w:pPr>
      <w:bookmarkStart w:id="111" w:name="_Toc112051895"/>
      <w:r>
        <w:t>Issues raised in this review</w:t>
      </w:r>
      <w:bookmarkEnd w:id="111"/>
    </w:p>
    <w:p w14:paraId="34B3099E" w14:textId="4F758284" w:rsidR="00CF6083" w:rsidRDefault="00CF6083" w:rsidP="00A32A56">
      <w:pPr>
        <w:keepNext/>
        <w:spacing w:after="120" w:line="276" w:lineRule="auto"/>
      </w:pPr>
      <w:r>
        <w:t>Is</w:t>
      </w:r>
      <w:r w:rsidR="00C66C65">
        <w:t>sues raised during</w:t>
      </w:r>
      <w:r>
        <w:t xml:space="preserve"> this review about the policing of DFV include:</w:t>
      </w:r>
    </w:p>
    <w:p w14:paraId="7B3C9C5D" w14:textId="4741767F" w:rsidR="00D32B01" w:rsidRDefault="00D20BA5" w:rsidP="0067521E">
      <w:pPr>
        <w:pStyle w:val="ListParagraph"/>
        <w:numPr>
          <w:ilvl w:val="0"/>
          <w:numId w:val="108"/>
        </w:numPr>
        <w:spacing w:line="259" w:lineRule="auto"/>
        <w:ind w:left="567" w:hanging="567"/>
        <w:jc w:val="both"/>
      </w:pPr>
      <w:r>
        <w:t>Police respons</w:t>
      </w:r>
      <w:r w:rsidR="003D318B">
        <w:t>e</w:t>
      </w:r>
      <w:r w:rsidR="00D32B01">
        <w:t>s to DFV are</w:t>
      </w:r>
      <w:r w:rsidR="003D318B">
        <w:t xml:space="preserve"> perceived as </w:t>
      </w:r>
      <w:r>
        <w:t>inconsistent, with responses ranging from extremely helpful and proactive to dismissive</w:t>
      </w:r>
      <w:r w:rsidR="007C423D">
        <w:t xml:space="preserve"> and failing to take </w:t>
      </w:r>
      <w:r>
        <w:t>DFV seriously.</w:t>
      </w:r>
      <w:r w:rsidR="00883819">
        <w:t xml:space="preserve"> </w:t>
      </w:r>
      <w:r w:rsidR="007C423D">
        <w:rPr>
          <w:rStyle w:val="FootnoteReference"/>
        </w:rPr>
        <w:footnoteReference w:id="215"/>
      </w:r>
      <w:r w:rsidR="00D83215">
        <w:t xml:space="preserve">  </w:t>
      </w:r>
    </w:p>
    <w:p w14:paraId="49846CE2" w14:textId="28768146" w:rsidR="00883819" w:rsidRDefault="0090399A" w:rsidP="0067521E">
      <w:pPr>
        <w:pStyle w:val="ListParagraph"/>
        <w:numPr>
          <w:ilvl w:val="0"/>
          <w:numId w:val="108"/>
        </w:numPr>
        <w:spacing w:line="259" w:lineRule="auto"/>
        <w:ind w:left="567" w:hanging="567"/>
        <w:jc w:val="both"/>
      </w:pPr>
      <w:r>
        <w:t xml:space="preserve">Some police </w:t>
      </w:r>
      <w:r w:rsidR="00883819" w:rsidRPr="003D318B">
        <w:t xml:space="preserve">feel ill-equipped to deal with the complexity of intra-familial crimes like DFV, </w:t>
      </w:r>
      <w:r w:rsidR="00D32B01">
        <w:t xml:space="preserve">yet often police </w:t>
      </w:r>
      <w:r w:rsidR="00883819">
        <w:t>are the only service available at the scene.</w:t>
      </w:r>
      <w:r w:rsidR="00CF6083">
        <w:rPr>
          <w:rStyle w:val="FootnoteReference"/>
        </w:rPr>
        <w:footnoteReference w:id="216"/>
      </w:r>
    </w:p>
    <w:p w14:paraId="7A2E3FEF" w14:textId="393C2CAD" w:rsidR="0061564D" w:rsidRDefault="00DE6E1C" w:rsidP="0067521E">
      <w:pPr>
        <w:pStyle w:val="ListParagraph"/>
        <w:numPr>
          <w:ilvl w:val="0"/>
          <w:numId w:val="108"/>
        </w:numPr>
        <w:spacing w:line="259" w:lineRule="auto"/>
        <w:ind w:left="567" w:hanging="567"/>
        <w:jc w:val="both"/>
      </w:pPr>
      <w:r>
        <w:t>Some</w:t>
      </w:r>
      <w:r w:rsidR="00D20BA5">
        <w:t xml:space="preserve"> police fail to understand the dynamics of DFV, and fail to recognise</w:t>
      </w:r>
      <w:r w:rsidR="00FC02C6">
        <w:t xml:space="preserve"> </w:t>
      </w:r>
      <w:r w:rsidR="00ED2BB1">
        <w:t xml:space="preserve">and manage </w:t>
      </w:r>
      <w:r w:rsidR="00FC02C6">
        <w:t xml:space="preserve">the risk </w:t>
      </w:r>
      <w:r w:rsidR="00ED2BB1">
        <w:t>associated with DFV, especially the risk that</w:t>
      </w:r>
      <w:r w:rsidR="000060AB">
        <w:t xml:space="preserve"> accompanies</w:t>
      </w:r>
      <w:r w:rsidR="00D20BA5">
        <w:t xml:space="preserve"> non-physical forms of abuse such as coercive control. This hinders </w:t>
      </w:r>
      <w:r w:rsidR="000060AB">
        <w:t>police</w:t>
      </w:r>
      <w:r w:rsidR="00D20BA5">
        <w:t xml:space="preserve"> in responding to DFV in a way that prioritises safety. For example, </w:t>
      </w:r>
      <w:r w:rsidR="006477C9">
        <w:t>it contributes to police</w:t>
      </w:r>
      <w:r w:rsidR="00D20BA5">
        <w:t xml:space="preserve"> underestimat</w:t>
      </w:r>
      <w:r w:rsidR="006477C9">
        <w:t>ing</w:t>
      </w:r>
      <w:r w:rsidR="00D20BA5">
        <w:t xml:space="preserve"> the severity of the abuse</w:t>
      </w:r>
      <w:r w:rsidR="006477C9">
        <w:t xml:space="preserve">, </w:t>
      </w:r>
      <w:r w:rsidR="00D20BA5">
        <w:t xml:space="preserve">or </w:t>
      </w:r>
      <w:r w:rsidR="00603B08">
        <w:t xml:space="preserve">erroneously </w:t>
      </w:r>
      <w:r w:rsidR="006477C9">
        <w:t>see</w:t>
      </w:r>
      <w:r w:rsidR="003D318B">
        <w:t>ing the parties as equally abusive</w:t>
      </w:r>
      <w:r w:rsidR="006477C9">
        <w:t xml:space="preserve">, or </w:t>
      </w:r>
      <w:r w:rsidR="00D20BA5">
        <w:t>misidentif</w:t>
      </w:r>
      <w:r w:rsidR="002C6DE4">
        <w:t>y</w:t>
      </w:r>
      <w:r w:rsidR="006477C9">
        <w:t>ing</w:t>
      </w:r>
      <w:r w:rsidR="00D20BA5">
        <w:t xml:space="preserve"> the person most in need of protection.  </w:t>
      </w:r>
    </w:p>
    <w:p w14:paraId="05DD3183" w14:textId="7A5D2BAD" w:rsidR="00DE6E1C" w:rsidRDefault="0090399A" w:rsidP="0067521E">
      <w:pPr>
        <w:pStyle w:val="ListParagraph"/>
        <w:numPr>
          <w:ilvl w:val="0"/>
          <w:numId w:val="108"/>
        </w:numPr>
        <w:spacing w:line="259" w:lineRule="auto"/>
        <w:ind w:left="567" w:hanging="567"/>
        <w:jc w:val="both"/>
      </w:pPr>
      <w:r>
        <w:t xml:space="preserve">In the NT the Police General Order on DFV does not reflect a contemporary understanding of DFV and does not provide guidance on how to identify and respond to coercive control and </w:t>
      </w:r>
      <w:r>
        <w:lastRenderedPageBreak/>
        <w:t>non</w:t>
      </w:r>
      <w:r w:rsidR="00A32A56">
        <w:noBreakHyphen/>
      </w:r>
      <w:r>
        <w:t xml:space="preserve">physical abuse. </w:t>
      </w:r>
      <w:r w:rsidR="00ED2BB1">
        <w:t xml:space="preserve"> NT Poli</w:t>
      </w:r>
      <w:r w:rsidR="00C66C65">
        <w:t xml:space="preserve">ce </w:t>
      </w:r>
      <w:r w:rsidR="00ED2BB1">
        <w:t>are currently reviewing the General O</w:t>
      </w:r>
      <w:r w:rsidR="0029099B">
        <w:t>rder to bring it into line with a contemporary understanding of DFV.</w:t>
      </w:r>
    </w:p>
    <w:p w14:paraId="47282887" w14:textId="2B5D67BD" w:rsidR="0090399A" w:rsidRDefault="003D318B" w:rsidP="0067521E">
      <w:pPr>
        <w:pStyle w:val="ListParagraph"/>
        <w:numPr>
          <w:ilvl w:val="0"/>
          <w:numId w:val="108"/>
        </w:numPr>
        <w:spacing w:line="259" w:lineRule="auto"/>
        <w:ind w:left="567" w:hanging="567"/>
        <w:jc w:val="both"/>
      </w:pPr>
      <w:r>
        <w:t xml:space="preserve">Current law and policy prompts police to </w:t>
      </w:r>
      <w:r w:rsidR="00D50D46" w:rsidRPr="003D318B">
        <w:t xml:space="preserve">deal with DFV as </w:t>
      </w:r>
      <w:r w:rsidR="00986292" w:rsidRPr="003D318B">
        <w:t>a single incident</w:t>
      </w:r>
      <w:r w:rsidR="00D50D46" w:rsidRPr="003D318B">
        <w:t xml:space="preserve">, </w:t>
      </w:r>
      <w:r>
        <w:t>rather than recognising</w:t>
      </w:r>
      <w:r w:rsidR="00D50D46" w:rsidRPr="003D318B">
        <w:t xml:space="preserve"> it is </w:t>
      </w:r>
      <w:r w:rsidR="00603B08">
        <w:t xml:space="preserve">a pattern of behaviour over time. The </w:t>
      </w:r>
      <w:r>
        <w:t>cumulative harm</w:t>
      </w:r>
      <w:r w:rsidR="00883819">
        <w:t xml:space="preserve"> </w:t>
      </w:r>
      <w:r w:rsidR="00603B08">
        <w:t xml:space="preserve">of DFV </w:t>
      </w:r>
      <w:r w:rsidR="00883819">
        <w:t>and entrapment of</w:t>
      </w:r>
      <w:r w:rsidR="00D50D46" w:rsidRPr="003D318B">
        <w:t xml:space="preserve"> the victim-survivor</w:t>
      </w:r>
      <w:r w:rsidR="00BF2F1C">
        <w:t xml:space="preserve"> is under-recognised by </w:t>
      </w:r>
      <w:r w:rsidR="0029099B">
        <w:t xml:space="preserve">some </w:t>
      </w:r>
      <w:r w:rsidR="00BF2F1C">
        <w:t>police.</w:t>
      </w:r>
    </w:p>
    <w:p w14:paraId="368E48EF" w14:textId="39102ECA" w:rsidR="0090399A" w:rsidRDefault="003D318B" w:rsidP="0067521E">
      <w:pPr>
        <w:pStyle w:val="ListParagraph"/>
        <w:numPr>
          <w:ilvl w:val="0"/>
          <w:numId w:val="108"/>
        </w:numPr>
        <w:spacing w:line="259" w:lineRule="auto"/>
        <w:ind w:left="567" w:hanging="567"/>
        <w:jc w:val="both"/>
      </w:pPr>
      <w:r>
        <w:t>P</w:t>
      </w:r>
      <w:r w:rsidR="0086328C" w:rsidRPr="003D318B">
        <w:t xml:space="preserve">olice </w:t>
      </w:r>
      <w:r>
        <w:t xml:space="preserve">sometimes </w:t>
      </w:r>
      <w:r w:rsidR="00B26498">
        <w:t xml:space="preserve">view the issues as a general disturbance rather than a DFV situation, and </w:t>
      </w:r>
      <w:r>
        <w:t xml:space="preserve">fail to </w:t>
      </w:r>
      <w:r w:rsidR="0086328C" w:rsidRPr="003D318B">
        <w:t>inter</w:t>
      </w:r>
      <w:r>
        <w:t>view the parties</w:t>
      </w:r>
      <w:r w:rsidR="00B26498">
        <w:t>, or fail to interview them</w:t>
      </w:r>
      <w:r>
        <w:t xml:space="preserve"> separately.  Given the extent to which coercive control may be operating within the relationship, this means that they are unable t</w:t>
      </w:r>
      <w:r w:rsidR="00964972">
        <w:t xml:space="preserve">o </w:t>
      </w:r>
      <w:r w:rsidR="00883819">
        <w:t xml:space="preserve">accurately </w:t>
      </w:r>
      <w:r w:rsidR="00964972">
        <w:t xml:space="preserve">identify </w:t>
      </w:r>
      <w:r w:rsidR="00B26498">
        <w:t xml:space="preserve">who is </w:t>
      </w:r>
      <w:r w:rsidR="00964972">
        <w:t xml:space="preserve">the </w:t>
      </w:r>
      <w:r w:rsidR="00883819">
        <w:t xml:space="preserve">victim and </w:t>
      </w:r>
      <w:r w:rsidR="00B26498">
        <w:t xml:space="preserve">who is </w:t>
      </w:r>
      <w:r w:rsidR="00883819">
        <w:t xml:space="preserve">the perpetrator </w:t>
      </w:r>
      <w:r w:rsidR="00964972">
        <w:t>of DFV</w:t>
      </w:r>
      <w:r w:rsidR="00B26498">
        <w:t>, or</w:t>
      </w:r>
      <w:r w:rsidR="0090399A">
        <w:t xml:space="preserve"> </w:t>
      </w:r>
      <w:r w:rsidR="00B26498">
        <w:t xml:space="preserve">to gauge </w:t>
      </w:r>
      <w:r w:rsidR="0090399A">
        <w:t xml:space="preserve">the </w:t>
      </w:r>
      <w:r w:rsidR="00A42FB4">
        <w:t>level of risk</w:t>
      </w:r>
      <w:r w:rsidR="0090399A">
        <w:t>.</w:t>
      </w:r>
    </w:p>
    <w:p w14:paraId="189BABEE" w14:textId="70163F03" w:rsidR="0090399A" w:rsidRDefault="0053361F" w:rsidP="0067521E">
      <w:pPr>
        <w:pStyle w:val="ListParagraph"/>
        <w:numPr>
          <w:ilvl w:val="0"/>
          <w:numId w:val="108"/>
        </w:numPr>
        <w:spacing w:line="259" w:lineRule="auto"/>
        <w:ind w:left="567" w:hanging="567"/>
      </w:pPr>
      <w:r>
        <w:t>A police officer may make a DVO under s</w:t>
      </w:r>
      <w:r w:rsidR="00A32A56">
        <w:t>ection </w:t>
      </w:r>
      <w:r>
        <w:t>41 if satisfied that (a) it is necessary to ensure a person’s safety because of urgent circumstances or it is not otherwise practicable to obtain a Court DVO.  Some police may not</w:t>
      </w:r>
      <w:r w:rsidR="00CF6083">
        <w:t xml:space="preserve"> issue a Police D</w:t>
      </w:r>
      <w:r>
        <w:t>VO because they consider the circumstances are not urgent and advise</w:t>
      </w:r>
      <w:r w:rsidR="00CF6083">
        <w:t xml:space="preserve"> a victim-survivor to make their own</w:t>
      </w:r>
      <w:r w:rsidR="00BF2F1C">
        <w:t xml:space="preserve"> application.  </w:t>
      </w:r>
      <w:r>
        <w:t xml:space="preserve">However, the victim-survivor and support services may consider that it is urgent.  </w:t>
      </w:r>
      <w:r w:rsidR="00AB6A82">
        <w:t xml:space="preserve">The current General Order </w:t>
      </w:r>
      <w:r w:rsidR="00CF6083">
        <w:t>requires police to issue a Poli</w:t>
      </w:r>
      <w:r w:rsidR="00AB6A82">
        <w:t>ce DVO if the victim-survivor has been</w:t>
      </w:r>
      <w:r w:rsidR="00CF6083">
        <w:t xml:space="preserve"> </w:t>
      </w:r>
      <w:r w:rsidR="00AB6A82">
        <w:t xml:space="preserve">‘physically </w:t>
      </w:r>
      <w:r w:rsidR="00CF6083">
        <w:t>injured</w:t>
      </w:r>
      <w:r w:rsidR="00AB6A82">
        <w:t>.’</w:t>
      </w:r>
      <w:r w:rsidR="00CF6083">
        <w:t xml:space="preserve"> </w:t>
      </w:r>
      <w:r w:rsidR="00AB6A82">
        <w:t xml:space="preserve"> However, this </w:t>
      </w:r>
      <w:r w:rsidR="00124E85">
        <w:t xml:space="preserve">guidance </w:t>
      </w:r>
      <w:r w:rsidR="00CF6083">
        <w:t xml:space="preserve">does not take into account </w:t>
      </w:r>
      <w:r w:rsidR="00BF2F1C">
        <w:t xml:space="preserve">other risk factors, for example, </w:t>
      </w:r>
      <w:r w:rsidR="00124E85">
        <w:t xml:space="preserve">the presence of </w:t>
      </w:r>
      <w:r w:rsidR="00AB6A82">
        <w:t xml:space="preserve">coercive control </w:t>
      </w:r>
      <w:r w:rsidR="001508D7">
        <w:t>or the heighten risk following separation, or pregnancy/new birth</w:t>
      </w:r>
      <w:r w:rsidR="00CF6083">
        <w:t>.</w:t>
      </w:r>
    </w:p>
    <w:p w14:paraId="1EB721E8" w14:textId="00C7300A" w:rsidR="00D20BA5" w:rsidRDefault="0090399A" w:rsidP="0067521E">
      <w:pPr>
        <w:pStyle w:val="ListParagraph"/>
        <w:numPr>
          <w:ilvl w:val="0"/>
          <w:numId w:val="108"/>
        </w:numPr>
        <w:spacing w:line="259" w:lineRule="auto"/>
        <w:ind w:left="567" w:hanging="567"/>
      </w:pPr>
      <w:r>
        <w:t>There is</w:t>
      </w:r>
      <w:r w:rsidR="005F1831">
        <w:t xml:space="preserve"> currently no </w:t>
      </w:r>
      <w:r w:rsidR="00811C04">
        <w:t xml:space="preserve">suitable </w:t>
      </w:r>
      <w:r w:rsidR="00603B08">
        <w:t>tool or guideline to help</w:t>
      </w:r>
      <w:r>
        <w:t xml:space="preserve"> </w:t>
      </w:r>
      <w:r w:rsidR="00603B08">
        <w:t>police</w:t>
      </w:r>
      <w:r w:rsidR="00811C04">
        <w:t xml:space="preserve"> effectively</w:t>
      </w:r>
      <w:r w:rsidR="00603B08">
        <w:t xml:space="preserve"> </w:t>
      </w:r>
      <w:r>
        <w:t>identi</w:t>
      </w:r>
      <w:r w:rsidR="00603B08">
        <w:t xml:space="preserve">fy and manage the risk of </w:t>
      </w:r>
      <w:r>
        <w:t>DFV</w:t>
      </w:r>
      <w:r w:rsidR="00603B08">
        <w:t>.</w:t>
      </w:r>
      <w:r>
        <w:t xml:space="preserve"> The NT has a </w:t>
      </w:r>
      <w:r w:rsidR="00E45CAB">
        <w:t xml:space="preserve">Common Risk Assessment Tool (CRAT) as part of the </w:t>
      </w:r>
      <w:r>
        <w:t xml:space="preserve">DFV </w:t>
      </w:r>
      <w:r w:rsidR="00E45CAB">
        <w:t xml:space="preserve">RAMF </w:t>
      </w:r>
      <w:r w:rsidR="00811C04">
        <w:t xml:space="preserve">and police </w:t>
      </w:r>
      <w:r w:rsidR="000E19CA">
        <w:t xml:space="preserve">policies and </w:t>
      </w:r>
      <w:r w:rsidR="00811C04">
        <w:t xml:space="preserve">procedures </w:t>
      </w:r>
      <w:r w:rsidR="00E45CAB">
        <w:t xml:space="preserve">are required to align with </w:t>
      </w:r>
      <w:r w:rsidR="000E19CA">
        <w:t>this RAMF</w:t>
      </w:r>
      <w:r w:rsidR="00814D1F">
        <w:t xml:space="preserve"> </w:t>
      </w:r>
      <w:r w:rsidR="000E19CA">
        <w:t xml:space="preserve">under section 124R of the DFVA. </w:t>
      </w:r>
      <w:r w:rsidR="00A32A56">
        <w:t xml:space="preserve"> </w:t>
      </w:r>
      <w:r w:rsidR="000E19CA">
        <w:t xml:space="preserve">However, the CRAT </w:t>
      </w:r>
      <w:r>
        <w:t>is perceived to be too lengthy</w:t>
      </w:r>
      <w:r w:rsidR="00603B08">
        <w:t xml:space="preserve"> and complex for</w:t>
      </w:r>
      <w:r>
        <w:t xml:space="preserve"> use by </w:t>
      </w:r>
      <w:r w:rsidR="000E19CA">
        <w:t xml:space="preserve">general duties </w:t>
      </w:r>
      <w:r>
        <w:t xml:space="preserve">police attending a DFV incident.  Police may </w:t>
      </w:r>
      <w:r w:rsidR="006477C9">
        <w:t>benefit from a</w:t>
      </w:r>
      <w:r w:rsidR="000060AB">
        <w:t xml:space="preserve"> </w:t>
      </w:r>
      <w:r w:rsidR="00E45CAB">
        <w:t>modified risk-assessment tool</w:t>
      </w:r>
      <w:r w:rsidR="000060AB">
        <w:t xml:space="preserve"> </w:t>
      </w:r>
      <w:r w:rsidR="000E19CA">
        <w:t>that is specific to policing</w:t>
      </w:r>
      <w:r w:rsidR="009D13BC">
        <w:t xml:space="preserve"> </w:t>
      </w:r>
      <w:r w:rsidR="000060AB">
        <w:t>that is aligned with the RAMF</w:t>
      </w:r>
      <w:r w:rsidR="009D13BC">
        <w:t xml:space="preserve"> and </w:t>
      </w:r>
      <w:r w:rsidR="006477C9">
        <w:t>informed by the same evidence</w:t>
      </w:r>
      <w:r w:rsidR="007F3A64">
        <w:t xml:space="preserve"> about risk factors</w:t>
      </w:r>
      <w:r w:rsidR="000E19CA">
        <w:t>.</w:t>
      </w:r>
      <w:r w:rsidR="00A32A56">
        <w:t xml:space="preserve"> </w:t>
      </w:r>
      <w:r w:rsidR="000E19CA">
        <w:t xml:space="preserve"> The RAMF is informed by</w:t>
      </w:r>
      <w:r w:rsidR="000060AB">
        <w:t xml:space="preserve"> data </w:t>
      </w:r>
      <w:r w:rsidR="007B10F9">
        <w:t xml:space="preserve">and research </w:t>
      </w:r>
      <w:r w:rsidR="000060AB">
        <w:t xml:space="preserve">on the risk factors for </w:t>
      </w:r>
      <w:r w:rsidR="00D43478">
        <w:t xml:space="preserve">serious harm and </w:t>
      </w:r>
      <w:r w:rsidR="000060AB">
        <w:t>domestic homicide</w:t>
      </w:r>
      <w:r w:rsidR="00D43478">
        <w:t xml:space="preserve"> </w:t>
      </w:r>
      <w:r w:rsidR="00FD76A8">
        <w:t xml:space="preserve">(including </w:t>
      </w:r>
      <w:r w:rsidR="00D43478">
        <w:t xml:space="preserve">the </w:t>
      </w:r>
      <w:r w:rsidR="007F3A64">
        <w:t>h</w:t>
      </w:r>
      <w:r w:rsidR="00FD76A8">
        <w:t>istory of DFV between the parties, coercive control, choking, threats to kill, pregnancy o</w:t>
      </w:r>
      <w:r w:rsidR="007F3A64">
        <w:t>r</w:t>
      </w:r>
      <w:r w:rsidR="00FD76A8">
        <w:t xml:space="preserve"> new birth, actual or pending separation</w:t>
      </w:r>
      <w:r w:rsidR="00D43478">
        <w:t xml:space="preserve">, </w:t>
      </w:r>
      <w:r w:rsidR="000E19CA">
        <w:t xml:space="preserve">and </w:t>
      </w:r>
      <w:r w:rsidR="00D43478">
        <w:t xml:space="preserve">victim’s </w:t>
      </w:r>
      <w:r w:rsidR="000E19CA">
        <w:t xml:space="preserve">own </w:t>
      </w:r>
      <w:r w:rsidR="00D43478">
        <w:t>assessment of the risk</w:t>
      </w:r>
      <w:r w:rsidR="000E19CA">
        <w:t>).  Y</w:t>
      </w:r>
      <w:r w:rsidR="000060AB">
        <w:t xml:space="preserve">et this available information is </w:t>
      </w:r>
      <w:r w:rsidR="007F3A64">
        <w:t xml:space="preserve">typically </w:t>
      </w:r>
      <w:r w:rsidR="000060AB">
        <w:t xml:space="preserve">not used by </w:t>
      </w:r>
      <w:r w:rsidR="00ED2BB1">
        <w:t xml:space="preserve">general duties </w:t>
      </w:r>
      <w:r w:rsidR="000060AB">
        <w:t xml:space="preserve">police </w:t>
      </w:r>
      <w:r w:rsidR="00ED2BB1">
        <w:t xml:space="preserve">officers </w:t>
      </w:r>
      <w:r w:rsidR="000060AB">
        <w:t xml:space="preserve">to </w:t>
      </w:r>
      <w:r w:rsidR="00FD76A8">
        <w:t>prioritise or inform responses.</w:t>
      </w:r>
      <w:r w:rsidR="007B10F9">
        <w:t xml:space="preserve"> </w:t>
      </w:r>
    </w:p>
    <w:p w14:paraId="4AE427B7" w14:textId="3029B1A1" w:rsidR="006A0512" w:rsidRDefault="00BF2F1C" w:rsidP="0067521E">
      <w:pPr>
        <w:pStyle w:val="ListParagraph"/>
        <w:numPr>
          <w:ilvl w:val="0"/>
          <w:numId w:val="108"/>
        </w:numPr>
        <w:spacing w:line="259" w:lineRule="auto"/>
        <w:ind w:left="567" w:hanging="567"/>
      </w:pPr>
      <w:r>
        <w:rPr>
          <w:lang w:eastAsia="en-AU"/>
        </w:rPr>
        <w:t>Recorded evidence from body wo</w:t>
      </w:r>
      <w:r w:rsidR="00964972" w:rsidRPr="00964972">
        <w:rPr>
          <w:lang w:eastAsia="en-AU"/>
        </w:rPr>
        <w:t>rn camera</w:t>
      </w:r>
      <w:r w:rsidR="00ED2BB1">
        <w:rPr>
          <w:lang w:eastAsia="en-AU"/>
        </w:rPr>
        <w:t xml:space="preserve">s can be used to capture </w:t>
      </w:r>
      <w:r w:rsidR="00964972" w:rsidRPr="00964972">
        <w:rPr>
          <w:lang w:eastAsia="en-AU"/>
        </w:rPr>
        <w:t xml:space="preserve">evidence </w:t>
      </w:r>
      <w:r w:rsidR="00ED2BB1">
        <w:rPr>
          <w:lang w:eastAsia="en-AU"/>
        </w:rPr>
        <w:t xml:space="preserve">of DFV </w:t>
      </w:r>
      <w:r w:rsidR="00964972" w:rsidRPr="00964972">
        <w:rPr>
          <w:lang w:eastAsia="en-AU"/>
        </w:rPr>
        <w:t>but this form of evidence is underutilised in some areas of the NT</w:t>
      </w:r>
      <w:r w:rsidR="002C6DE4" w:rsidRPr="00964972">
        <w:rPr>
          <w:lang w:eastAsia="en-AU"/>
        </w:rPr>
        <w:t xml:space="preserve">. </w:t>
      </w:r>
      <w:r w:rsidR="00964972" w:rsidRPr="00964972">
        <w:rPr>
          <w:lang w:eastAsia="en-AU"/>
        </w:rPr>
        <w:t xml:space="preserve"> </w:t>
      </w:r>
    </w:p>
    <w:p w14:paraId="788DF034" w14:textId="43301894" w:rsidR="006A0512" w:rsidRDefault="00350005" w:rsidP="0067521E">
      <w:pPr>
        <w:pStyle w:val="ListParagraph"/>
        <w:numPr>
          <w:ilvl w:val="0"/>
          <w:numId w:val="108"/>
        </w:numPr>
        <w:spacing w:line="259" w:lineRule="auto"/>
        <w:ind w:left="567" w:hanging="567"/>
      </w:pPr>
      <w:r>
        <w:t>While police refer v</w:t>
      </w:r>
      <w:r w:rsidR="003B37BD">
        <w:t>ictim-survivors of DFV (with their consent)</w:t>
      </w:r>
      <w:r>
        <w:t xml:space="preserve"> to other services through SupportLink </w:t>
      </w:r>
      <w:r w:rsidR="004F1DB4">
        <w:t xml:space="preserve">some </w:t>
      </w:r>
      <w:r w:rsidR="003B37BD">
        <w:t xml:space="preserve">stakeholders have expressed </w:t>
      </w:r>
      <w:r>
        <w:t>the view th</w:t>
      </w:r>
      <w:r w:rsidR="004F1DB4">
        <w:t>at these referral pathways need to</w:t>
      </w:r>
      <w:r>
        <w:t xml:space="preserve"> be strengthened</w:t>
      </w:r>
      <w:r w:rsidR="006A0512">
        <w:t>.</w:t>
      </w:r>
      <w:r w:rsidR="00A32A56">
        <w:t xml:space="preserve"> </w:t>
      </w:r>
      <w:r w:rsidR="006A0512">
        <w:t xml:space="preserve"> In some jurisdictions there are mechanisms for compulsory police referral to DFV service providers to bridge that divide and make sure that </w:t>
      </w:r>
      <w:r w:rsidR="004F1DB4">
        <w:t xml:space="preserve">all </w:t>
      </w:r>
      <w:r w:rsidR="006A0512">
        <w:t>victim-survivors are offered assistance.</w:t>
      </w:r>
    </w:p>
    <w:p w14:paraId="6D73D43C" w14:textId="6DF21143" w:rsidR="00865668" w:rsidRDefault="00ED2BB1" w:rsidP="0067521E">
      <w:pPr>
        <w:pStyle w:val="ListParagraph"/>
        <w:numPr>
          <w:ilvl w:val="0"/>
          <w:numId w:val="108"/>
        </w:numPr>
        <w:spacing w:after="0" w:line="259" w:lineRule="auto"/>
        <w:ind w:left="567" w:hanging="567"/>
      </w:pPr>
      <w:r w:rsidRPr="00ED2BB1">
        <w:t>S</w:t>
      </w:r>
      <w:r w:rsidR="002C6DE4" w:rsidRPr="00ED2BB1">
        <w:t xml:space="preserve">ome jurisdictions have considered a co-responder model in which police respond to DFV incidents in partnership with social workers or other professionals with expertise in DFV.  In some jurisdictions police are co-located with workers who have DFV expertise </w:t>
      </w:r>
      <w:r w:rsidR="00675BEE">
        <w:t xml:space="preserve">to support the handling of </w:t>
      </w:r>
      <w:r w:rsidR="002C6DE4" w:rsidRPr="00ED2BB1">
        <w:t>DFV matters an</w:t>
      </w:r>
      <w:r w:rsidR="00675BEE">
        <w:t>d provide informal education at the coalface</w:t>
      </w:r>
      <w:r w:rsidR="002C6DE4" w:rsidRPr="00ED2BB1">
        <w:t>.</w:t>
      </w:r>
      <w:r w:rsidRPr="00ED2BB1">
        <w:t xml:space="preserve"> </w:t>
      </w:r>
      <w:r w:rsidR="00A32A56">
        <w:t xml:space="preserve"> </w:t>
      </w:r>
      <w:r w:rsidR="002C6DE4" w:rsidRPr="00ED2BB1">
        <w:t xml:space="preserve">Regardless of whether models such as those described above are put in place in the Northern Territory, it is critical that all agencies work together to ensure that each victim and alleged offender, and any children, involved receive an appropriate evidence-based response. </w:t>
      </w:r>
    </w:p>
    <w:p w14:paraId="5E87BB23" w14:textId="77777777" w:rsidR="00A32A56" w:rsidRDefault="00A32A56">
      <w:pPr>
        <w:rPr>
          <w:rFonts w:asciiTheme="majorHAnsi" w:hAnsiTheme="majorHAnsi" w:cs="Arial"/>
          <w:bCs/>
          <w:color w:val="1F1F5F" w:themeColor="text1"/>
          <w:sz w:val="28"/>
          <w:szCs w:val="28"/>
        </w:rPr>
      </w:pPr>
      <w:r>
        <w:br w:type="page"/>
      </w:r>
    </w:p>
    <w:p w14:paraId="4C7E8B96" w14:textId="2ABE386F" w:rsidR="003C48A5" w:rsidRDefault="003C48A5" w:rsidP="00A32A56">
      <w:pPr>
        <w:pStyle w:val="Heading3"/>
        <w:keepNext/>
      </w:pPr>
      <w:bookmarkStart w:id="112" w:name="_Toc112051896"/>
      <w:r>
        <w:lastRenderedPageBreak/>
        <w:t>Experience in other jurisdictions</w:t>
      </w:r>
      <w:bookmarkEnd w:id="112"/>
    </w:p>
    <w:p w14:paraId="450EBFCC" w14:textId="77777777" w:rsidR="007360B8" w:rsidRDefault="007360B8" w:rsidP="003C48A5">
      <w:r>
        <w:t>The</w:t>
      </w:r>
      <w:r w:rsidR="006B6E05">
        <w:t xml:space="preserve"> challenges </w:t>
      </w:r>
      <w:r>
        <w:t xml:space="preserve">associated </w:t>
      </w:r>
      <w:r w:rsidR="006B6E05">
        <w:t>wi</w:t>
      </w:r>
      <w:r>
        <w:t xml:space="preserve">th the policing of DFV are </w:t>
      </w:r>
      <w:r w:rsidR="00856B88">
        <w:t>evident</w:t>
      </w:r>
      <w:r w:rsidR="00B00515">
        <w:t xml:space="preserve"> in other jurisdictions.  </w:t>
      </w:r>
    </w:p>
    <w:p w14:paraId="1A77A890" w14:textId="1E2F5128" w:rsidR="007360B8" w:rsidRDefault="006B6E05" w:rsidP="003C48A5">
      <w:r>
        <w:t xml:space="preserve">Victoria Police have </w:t>
      </w:r>
      <w:r w:rsidR="00C5517E">
        <w:t xml:space="preserve">long </w:t>
      </w:r>
      <w:r>
        <w:t>been proactive in improving their</w:t>
      </w:r>
      <w:r w:rsidR="00B00515">
        <w:t xml:space="preserve"> response to DFV as part of an integrated approach,</w:t>
      </w:r>
      <w:r w:rsidR="00B00515">
        <w:rPr>
          <w:rStyle w:val="FootnoteReference"/>
        </w:rPr>
        <w:footnoteReference w:id="217"/>
      </w:r>
      <w:r w:rsidR="00055104">
        <w:t xml:space="preserve"> </w:t>
      </w:r>
      <w:r w:rsidR="00B23F1A">
        <w:t xml:space="preserve">although some commentators have noted that there continues to </w:t>
      </w:r>
      <w:r w:rsidR="007360B8">
        <w:t>be</w:t>
      </w:r>
      <w:r w:rsidR="00B00515">
        <w:t xml:space="preserve"> a bifurcation</w:t>
      </w:r>
      <w:r w:rsidR="00B23F1A">
        <w:t>,</w:t>
      </w:r>
      <w:r w:rsidR="00B00515">
        <w:t xml:space="preserve"> with </w:t>
      </w:r>
      <w:r w:rsidR="00B23F1A">
        <w:t xml:space="preserve">a cohort of </w:t>
      </w:r>
      <w:r w:rsidR="00B00515">
        <w:t xml:space="preserve">police </w:t>
      </w:r>
      <w:r w:rsidR="00C5517E">
        <w:t xml:space="preserve">who </w:t>
      </w:r>
      <w:r w:rsidR="00B00515">
        <w:t>respond</w:t>
      </w:r>
      <w:r w:rsidR="00B23F1A">
        <w:t xml:space="preserve"> well to DFV situations and a cohort of police</w:t>
      </w:r>
      <w:r w:rsidR="00B00515">
        <w:t xml:space="preserve"> who don’t.</w:t>
      </w:r>
      <w:r w:rsidR="00B00515">
        <w:rPr>
          <w:rStyle w:val="FootnoteReference"/>
        </w:rPr>
        <w:footnoteReference w:id="218"/>
      </w:r>
      <w:r w:rsidR="00B00515">
        <w:t xml:space="preserve"> </w:t>
      </w:r>
      <w:r w:rsidR="00E96684">
        <w:t xml:space="preserve"> </w:t>
      </w:r>
    </w:p>
    <w:p w14:paraId="492A103B" w14:textId="6BFC98CF" w:rsidR="00856B88" w:rsidRDefault="00C5517E" w:rsidP="003C48A5">
      <w:r>
        <w:t>The Audit</w:t>
      </w:r>
      <w:r w:rsidR="00BB5010">
        <w:t>or General</w:t>
      </w:r>
      <w:r>
        <w:t xml:space="preserve"> </w:t>
      </w:r>
      <w:r w:rsidR="00BB5010">
        <w:t>for NSW r</w:t>
      </w:r>
      <w:r>
        <w:t xml:space="preserve">eleased a review of NSW Police responses to domestic and family violence in April 2022, which identified significant improvements that could be made. </w:t>
      </w:r>
      <w:r w:rsidR="00BB5010">
        <w:t xml:space="preserve"> For example, </w:t>
      </w:r>
      <w:r w:rsidR="00B23F1A">
        <w:t xml:space="preserve">the </w:t>
      </w:r>
      <w:r w:rsidR="00BB5010">
        <w:t>Auditor-General</w:t>
      </w:r>
      <w:r>
        <w:t xml:space="preserve"> </w:t>
      </w:r>
      <w:r w:rsidR="00BB5010">
        <w:t xml:space="preserve">for NSW </w:t>
      </w:r>
      <w:r>
        <w:t>found that NSW Police did not have</w:t>
      </w:r>
      <w:r w:rsidR="007360B8">
        <w:t xml:space="preserve"> a method to capture or analyse</w:t>
      </w:r>
      <w:r>
        <w:t xml:space="preserve"> feedback from victim-survivors of DFV to improve it</w:t>
      </w:r>
      <w:r w:rsidR="007360B8">
        <w:t xml:space="preserve">s responses to them. </w:t>
      </w:r>
      <w:r w:rsidR="00BB5010">
        <w:t>The Auditor-General</w:t>
      </w:r>
      <w:r>
        <w:t xml:space="preserve"> noted, ‘A poor experience with police can have a negative effect on victims and reduce the likelihood of reporting to police in future.’</w:t>
      </w:r>
      <w:r>
        <w:rPr>
          <w:rStyle w:val="FootnoteReference"/>
        </w:rPr>
        <w:footnoteReference w:id="219"/>
      </w:r>
      <w:r>
        <w:t xml:space="preserve">  </w:t>
      </w:r>
    </w:p>
    <w:p w14:paraId="151387B8" w14:textId="02C5738D" w:rsidR="006B6E05" w:rsidRDefault="00C5517E" w:rsidP="00A32A56">
      <w:pPr>
        <w:spacing w:after="120"/>
      </w:pPr>
      <w:r>
        <w:t>The Queensland Women’s Safety and Justice Taskforce</w:t>
      </w:r>
      <w:r w:rsidR="00856B88">
        <w:t xml:space="preserve"> found that:</w:t>
      </w:r>
    </w:p>
    <w:p w14:paraId="1548A853" w14:textId="08758C4F" w:rsidR="00856B88" w:rsidRDefault="00856B88" w:rsidP="00A32A56">
      <w:pPr>
        <w:pStyle w:val="ListParagraph"/>
        <w:spacing w:after="200"/>
        <w:ind w:left="567"/>
      </w:pPr>
      <w:r>
        <w:t xml:space="preserve">‘Every day, good police officers are </w:t>
      </w:r>
      <w:r w:rsidR="00B23F1A">
        <w:t>changing and saving the lives of</w:t>
      </w:r>
      <w:r>
        <w:t xml:space="preserve"> women and girls in Queensland….It is clear, however, that a widespread and negative culture within QPS continues to undermine the good work and intensions of QPS change leaders.’</w:t>
      </w:r>
    </w:p>
    <w:p w14:paraId="47D7AB67" w14:textId="7D6586BA" w:rsidR="00856B88" w:rsidRDefault="00CF1770" w:rsidP="00856B88">
      <w:r>
        <w:t xml:space="preserve">The Taskforce recommended that </w:t>
      </w:r>
      <w:r w:rsidR="001304C7">
        <w:t>the Qu</w:t>
      </w:r>
      <w:r w:rsidR="00D70BF1">
        <w:t>eensland Government establish a wide-ranging</w:t>
      </w:r>
      <w:r w:rsidR="001304C7">
        <w:t xml:space="preserve"> independent commission of inquiry to examine the widespread cultural issues within Queensland Police Service relating to the investigation</w:t>
      </w:r>
      <w:r w:rsidR="00B23F1A">
        <w:t xml:space="preserve"> of DFV</w:t>
      </w:r>
      <w:r w:rsidR="001304C7">
        <w:t>.</w:t>
      </w:r>
      <w:r w:rsidR="007360B8">
        <w:t xml:space="preserve">  Her Honour Judge Deborah Richards has been appointed by the Queensland Government to lead the Commission of Inquiry which has wide ranging terms of reference.</w:t>
      </w:r>
      <w:r w:rsidR="007360B8">
        <w:rPr>
          <w:rStyle w:val="FootnoteReference"/>
        </w:rPr>
        <w:footnoteReference w:id="220"/>
      </w:r>
    </w:p>
    <w:p w14:paraId="0A669361" w14:textId="3CBD83D4" w:rsidR="007360B8" w:rsidRDefault="007360B8" w:rsidP="00856B88">
      <w:r>
        <w:t>Some police services around Australia have their DFV procedures in a format that can be shared with other service providers to facilitate dialogue</w:t>
      </w:r>
      <w:r w:rsidR="00C62495">
        <w:t xml:space="preserve"> with other services, inter-agency co-ordination</w:t>
      </w:r>
      <w:r>
        <w:t xml:space="preserve"> and continuous improvement.</w:t>
      </w:r>
      <w:r>
        <w:rPr>
          <w:rStyle w:val="FootnoteReference"/>
        </w:rPr>
        <w:footnoteReference w:id="221"/>
      </w:r>
      <w:r>
        <w:t xml:space="preserve">  </w:t>
      </w:r>
      <w:r w:rsidRPr="00ED2BB1">
        <w:t xml:space="preserve">The </w:t>
      </w:r>
      <w:r w:rsidR="00C62495">
        <w:t xml:space="preserve">NT </w:t>
      </w:r>
      <w:r>
        <w:t xml:space="preserve">Police </w:t>
      </w:r>
      <w:r w:rsidRPr="00ED2BB1">
        <w:t xml:space="preserve">General Order </w:t>
      </w:r>
      <w:r>
        <w:t xml:space="preserve">on DFV </w:t>
      </w:r>
      <w:r w:rsidRPr="00ED2BB1">
        <w:t>is internal and confidential and not available to inform discussions with oth</w:t>
      </w:r>
      <w:r>
        <w:t>er agencies about how to co-ordinate</w:t>
      </w:r>
      <w:r w:rsidRPr="00ED2BB1">
        <w:t xml:space="preserve"> responses. </w:t>
      </w:r>
      <w:r>
        <w:t xml:space="preserve"> </w:t>
      </w:r>
      <w:r w:rsidRPr="007360B8">
        <w:t>This impedes the development of a collaborative or integrated with other agencies, or open and frank inter-agency communication to improve responses</w:t>
      </w:r>
      <w:r w:rsidRPr="00C62495">
        <w:t>.</w:t>
      </w:r>
      <w:r>
        <w:t xml:space="preserve">  NT Police are considering whether </w:t>
      </w:r>
      <w:r w:rsidR="00E20E00">
        <w:t xml:space="preserve">it would be useful to create a document </w:t>
      </w:r>
      <w:r>
        <w:t xml:space="preserve">summarising police procedures </w:t>
      </w:r>
      <w:r w:rsidR="00E20E00">
        <w:t xml:space="preserve">on DFV </w:t>
      </w:r>
      <w:r>
        <w:t>suitab</w:t>
      </w:r>
      <w:r w:rsidR="00E20E00">
        <w:t>le for sharing with stakeholders.</w:t>
      </w:r>
    </w:p>
    <w:p w14:paraId="69FC22F9" w14:textId="61DB3688" w:rsidR="00865668" w:rsidRDefault="00D467F5" w:rsidP="00A32A56">
      <w:pPr>
        <w:pStyle w:val="Heading3"/>
        <w:keepNext/>
      </w:pPr>
      <w:bookmarkStart w:id="113" w:name="_Toc112051897"/>
      <w:r>
        <w:t>P</w:t>
      </w:r>
      <w:r w:rsidR="0019446E">
        <w:t>olice responses ‘change lives and save lives’</w:t>
      </w:r>
      <w:bookmarkEnd w:id="113"/>
    </w:p>
    <w:p w14:paraId="2BAA8455" w14:textId="5B767334" w:rsidR="003E73A0" w:rsidRDefault="00850869" w:rsidP="00A32A56">
      <w:r>
        <w:t>The policing of D</w:t>
      </w:r>
      <w:r w:rsidR="00806444">
        <w:t>FV is an important part of the justice response</w:t>
      </w:r>
      <w:r>
        <w:t xml:space="preserve"> because </w:t>
      </w:r>
      <w:r w:rsidR="003E73A0">
        <w:t>if police respond in accordance with best practice it can</w:t>
      </w:r>
      <w:r w:rsidR="00FB7EAB">
        <w:t xml:space="preserve"> </w:t>
      </w:r>
      <w:r w:rsidR="00ED78C0">
        <w:t xml:space="preserve">‘change lives and save lives’ as the </w:t>
      </w:r>
      <w:r w:rsidR="00FB7EAB">
        <w:t xml:space="preserve">Queensland </w:t>
      </w:r>
      <w:r w:rsidR="00ED78C0">
        <w:t>Women’s Saf</w:t>
      </w:r>
      <w:r w:rsidR="00FB7EAB">
        <w:t>ety and Justice Taskforce described it</w:t>
      </w:r>
      <w:r w:rsidR="00ED78C0">
        <w:t>.</w:t>
      </w:r>
      <w:r w:rsidR="00FB7EAB">
        <w:t xml:space="preserve">  </w:t>
      </w:r>
    </w:p>
    <w:p w14:paraId="34A9958B" w14:textId="42ADB103" w:rsidR="003E73A0" w:rsidRDefault="003E73A0" w:rsidP="00A32A56">
      <w:r>
        <w:t>During the course of this review a nu</w:t>
      </w:r>
      <w:r w:rsidR="00D35644">
        <w:t>mber of case studies of proactive</w:t>
      </w:r>
      <w:r>
        <w:t xml:space="preserve"> police practice in responding to DFV were reviewed, including where NT Police had received</w:t>
      </w:r>
      <w:r w:rsidR="00EB4B5B">
        <w:t xml:space="preserve"> positive feedback from DF</w:t>
      </w:r>
      <w:r>
        <w:t xml:space="preserve">V legal </w:t>
      </w:r>
      <w:r>
        <w:lastRenderedPageBreak/>
        <w:t>services about the way they had handled some challenging DFV situations</w:t>
      </w:r>
      <w:r w:rsidR="00EB4B5B">
        <w:t>.</w:t>
      </w:r>
      <w:r>
        <w:t xml:space="preserve">  Those case studies are not being included in the review, to protect the privacy of the parties involved.</w:t>
      </w:r>
    </w:p>
    <w:p w14:paraId="6B270A5E" w14:textId="7A4EC02B" w:rsidR="00BB34F0" w:rsidRDefault="00D35644" w:rsidP="00A32A56">
      <w:pPr>
        <w:spacing w:after="120" w:line="276" w:lineRule="auto"/>
      </w:pPr>
      <w:r>
        <w:t>However, t</w:t>
      </w:r>
      <w:r w:rsidR="003E73A0">
        <w:t xml:space="preserve">he </w:t>
      </w:r>
      <w:r w:rsidR="00A746B6">
        <w:t xml:space="preserve">case studies revealed the following </w:t>
      </w:r>
      <w:r w:rsidR="003E73A0">
        <w:t>fe</w:t>
      </w:r>
      <w:r w:rsidR="00A746B6">
        <w:t>atures of good police practice in responding to DFV</w:t>
      </w:r>
      <w:r w:rsidR="003E73A0">
        <w:t>:</w:t>
      </w:r>
    </w:p>
    <w:p w14:paraId="3FCF9A9D" w14:textId="38F93A0E" w:rsidR="00677DF7" w:rsidRDefault="00A32A56" w:rsidP="0067521E">
      <w:pPr>
        <w:pStyle w:val="ListParagraph"/>
        <w:numPr>
          <w:ilvl w:val="0"/>
          <w:numId w:val="170"/>
        </w:numPr>
        <w:spacing w:line="276" w:lineRule="auto"/>
        <w:ind w:left="567" w:hanging="567"/>
      </w:pPr>
      <w:r>
        <w:t xml:space="preserve">interviewing </w:t>
      </w:r>
      <w:r w:rsidR="00677DF7">
        <w:t>the parties separately to identify what happened</w:t>
      </w:r>
      <w:r>
        <w:t>;</w:t>
      </w:r>
    </w:p>
    <w:p w14:paraId="6192DF04" w14:textId="64EA6955" w:rsidR="00A746B6" w:rsidRDefault="00A32A56" w:rsidP="0067521E">
      <w:pPr>
        <w:pStyle w:val="ListParagraph"/>
        <w:numPr>
          <w:ilvl w:val="0"/>
          <w:numId w:val="170"/>
        </w:numPr>
        <w:spacing w:line="276" w:lineRule="auto"/>
        <w:ind w:left="567" w:hanging="567"/>
      </w:pPr>
      <w:r>
        <w:t xml:space="preserve">the </w:t>
      </w:r>
      <w:r w:rsidR="00A746B6">
        <w:t>building of rapport and</w:t>
      </w:r>
      <w:r w:rsidR="00AB5ECA">
        <w:t xml:space="preserve"> respectful</w:t>
      </w:r>
      <w:r w:rsidR="00A746B6">
        <w:t xml:space="preserve"> communication with the victim-survivor to minimise stress and trauma</w:t>
      </w:r>
      <w:r>
        <w:t>;</w:t>
      </w:r>
    </w:p>
    <w:p w14:paraId="097F9CF7" w14:textId="203412F1" w:rsidR="00EE29F6" w:rsidRDefault="00A32A56" w:rsidP="0067521E">
      <w:pPr>
        <w:pStyle w:val="ListParagraph"/>
        <w:numPr>
          <w:ilvl w:val="0"/>
          <w:numId w:val="170"/>
        </w:numPr>
        <w:spacing w:line="276" w:lineRule="auto"/>
        <w:ind w:left="567" w:hanging="567"/>
      </w:pPr>
      <w:r>
        <w:t xml:space="preserve">recognition </w:t>
      </w:r>
      <w:r w:rsidR="00EE29F6">
        <w:t>by police of high risk factors for serious harm, for example, choking, controlling behaviour, pregnancy and new birth, impending or actual separation, release from prison</w:t>
      </w:r>
      <w:r>
        <w:t>;</w:t>
      </w:r>
    </w:p>
    <w:p w14:paraId="6B0BF57F" w14:textId="6B36B715" w:rsidR="003E73A0" w:rsidRDefault="00A32A56" w:rsidP="0067521E">
      <w:pPr>
        <w:pStyle w:val="ListParagraph"/>
        <w:numPr>
          <w:ilvl w:val="0"/>
          <w:numId w:val="170"/>
        </w:numPr>
        <w:spacing w:line="276" w:lineRule="auto"/>
        <w:ind w:left="567" w:hanging="567"/>
      </w:pPr>
      <w:r>
        <w:t xml:space="preserve">seeking </w:t>
      </w:r>
      <w:r w:rsidR="00A746B6">
        <w:t xml:space="preserve">the views of the </w:t>
      </w:r>
      <w:r w:rsidR="00EE29F6">
        <w:t>victim-survivor about their</w:t>
      </w:r>
      <w:r w:rsidR="00A746B6">
        <w:t xml:space="preserve"> own assessment of the risk presented by the defendant</w:t>
      </w:r>
      <w:r>
        <w:t>;</w:t>
      </w:r>
    </w:p>
    <w:p w14:paraId="123F68E0" w14:textId="11EDEFA0" w:rsidR="00A746B6" w:rsidRDefault="00A32A56" w:rsidP="0067521E">
      <w:pPr>
        <w:pStyle w:val="ListParagraph"/>
        <w:numPr>
          <w:ilvl w:val="0"/>
          <w:numId w:val="170"/>
        </w:numPr>
        <w:spacing w:line="276" w:lineRule="auto"/>
        <w:ind w:left="567" w:hanging="567"/>
      </w:pPr>
      <w:r>
        <w:t xml:space="preserve">a </w:t>
      </w:r>
      <w:r w:rsidR="00A746B6">
        <w:t>full review of the relationship history by police</w:t>
      </w:r>
      <w:r>
        <w:t>;</w:t>
      </w:r>
    </w:p>
    <w:p w14:paraId="2D004AA5" w14:textId="1E5AEFD9" w:rsidR="00A746B6" w:rsidRDefault="00A32A56" w:rsidP="0067521E">
      <w:pPr>
        <w:pStyle w:val="ListParagraph"/>
        <w:numPr>
          <w:ilvl w:val="0"/>
          <w:numId w:val="170"/>
        </w:numPr>
        <w:spacing w:line="276" w:lineRule="auto"/>
        <w:ind w:left="567" w:hanging="567"/>
      </w:pPr>
      <w:r>
        <w:t xml:space="preserve">a </w:t>
      </w:r>
      <w:r w:rsidR="00A746B6">
        <w:t>productive working relationship with other professionals supporting the victim-survivor, including lawyers and support workers</w:t>
      </w:r>
      <w:r>
        <w:t>;</w:t>
      </w:r>
    </w:p>
    <w:p w14:paraId="47FB019A" w14:textId="130FBB93" w:rsidR="00A746B6" w:rsidRDefault="00A32A56" w:rsidP="0067521E">
      <w:pPr>
        <w:pStyle w:val="ListParagraph"/>
        <w:numPr>
          <w:ilvl w:val="0"/>
          <w:numId w:val="170"/>
        </w:numPr>
        <w:spacing w:line="276" w:lineRule="auto"/>
        <w:ind w:left="567" w:hanging="567"/>
      </w:pPr>
      <w:r>
        <w:t xml:space="preserve">ongoing </w:t>
      </w:r>
      <w:r w:rsidR="00A746B6">
        <w:t>communication so that the victim-survivor is kept informed throughout the process</w:t>
      </w:r>
      <w:r>
        <w:t>;</w:t>
      </w:r>
    </w:p>
    <w:p w14:paraId="2F8FB0FE" w14:textId="2B2A3098" w:rsidR="00A746B6" w:rsidRDefault="00A32A56" w:rsidP="0067521E">
      <w:pPr>
        <w:pStyle w:val="ListParagraph"/>
        <w:numPr>
          <w:ilvl w:val="0"/>
          <w:numId w:val="170"/>
        </w:numPr>
        <w:spacing w:line="276" w:lineRule="auto"/>
        <w:ind w:left="567" w:hanging="567"/>
      </w:pPr>
      <w:r>
        <w:t xml:space="preserve">the </w:t>
      </w:r>
      <w:r w:rsidR="00A746B6">
        <w:t>taking of proactive steps by police to recognise the seriousness of the offending</w:t>
      </w:r>
      <w:r w:rsidR="00EE29F6">
        <w:t>, including appealing inadequate sentences</w:t>
      </w:r>
      <w:r>
        <w:t>;</w:t>
      </w:r>
    </w:p>
    <w:p w14:paraId="6A4D1894" w14:textId="3B858878" w:rsidR="00A746B6" w:rsidRDefault="00A32A56" w:rsidP="0067521E">
      <w:pPr>
        <w:pStyle w:val="ListParagraph"/>
        <w:numPr>
          <w:ilvl w:val="0"/>
          <w:numId w:val="170"/>
        </w:numPr>
        <w:spacing w:line="276" w:lineRule="auto"/>
        <w:ind w:left="567" w:hanging="567"/>
      </w:pPr>
      <w:r>
        <w:t xml:space="preserve">investigating </w:t>
      </w:r>
      <w:r w:rsidR="00EE29F6">
        <w:t xml:space="preserve">(and where necessary challenging) </w:t>
      </w:r>
      <w:r w:rsidR="00A746B6">
        <w:t xml:space="preserve">the initial claims made at the scene about what happened, to </w:t>
      </w:r>
      <w:r w:rsidR="00677DF7">
        <w:t xml:space="preserve">accurately </w:t>
      </w:r>
      <w:r w:rsidR="00A746B6">
        <w:t>identify the person most in need of protection</w:t>
      </w:r>
      <w:r>
        <w:t>;</w:t>
      </w:r>
    </w:p>
    <w:p w14:paraId="52E58F49" w14:textId="72857A63" w:rsidR="00A746B6" w:rsidRDefault="00A32A56" w:rsidP="0067521E">
      <w:pPr>
        <w:pStyle w:val="ListParagraph"/>
        <w:numPr>
          <w:ilvl w:val="0"/>
          <w:numId w:val="170"/>
        </w:numPr>
        <w:spacing w:line="276" w:lineRule="auto"/>
        <w:ind w:left="567" w:hanging="567"/>
      </w:pPr>
      <w:r>
        <w:t xml:space="preserve">proactive </w:t>
      </w:r>
      <w:r w:rsidR="00677DF7">
        <w:t xml:space="preserve">referral of victim-survivors to services that may help them rebuild their </w:t>
      </w:r>
      <w:r w:rsidR="00EE29F6">
        <w:t>lives</w:t>
      </w:r>
      <w:r>
        <w:t>;</w:t>
      </w:r>
    </w:p>
    <w:p w14:paraId="2B12557F" w14:textId="1FBBBFA7" w:rsidR="00EE29F6" w:rsidRDefault="00A32A56" w:rsidP="0067521E">
      <w:pPr>
        <w:pStyle w:val="ListParagraph"/>
        <w:numPr>
          <w:ilvl w:val="0"/>
          <w:numId w:val="170"/>
        </w:numPr>
        <w:spacing w:line="276" w:lineRule="auto"/>
        <w:ind w:left="567" w:hanging="567"/>
      </w:pPr>
      <w:r>
        <w:t xml:space="preserve">using </w:t>
      </w:r>
      <w:r w:rsidR="00EE29F6">
        <w:t>the service of documents as an opportunity to talk with defendants about their use of violence and hold them to account</w:t>
      </w:r>
      <w:r>
        <w:t>;</w:t>
      </w:r>
    </w:p>
    <w:p w14:paraId="2EE70970" w14:textId="0C1B9818" w:rsidR="00677DF7" w:rsidRDefault="00A32A56" w:rsidP="0067521E">
      <w:pPr>
        <w:pStyle w:val="ListParagraph"/>
        <w:numPr>
          <w:ilvl w:val="0"/>
          <w:numId w:val="170"/>
        </w:numPr>
        <w:spacing w:after="200" w:line="276" w:lineRule="auto"/>
        <w:ind w:left="567" w:hanging="567"/>
      </w:pPr>
      <w:r>
        <w:t xml:space="preserve">referral </w:t>
      </w:r>
      <w:r w:rsidR="00677DF7">
        <w:t>of complex matters to the Police Domestic and Family Violence Unit</w:t>
      </w:r>
      <w:r w:rsidR="00AB5ECA">
        <w:t>.</w:t>
      </w:r>
    </w:p>
    <w:p w14:paraId="2FE8EC2A" w14:textId="66C656E9" w:rsidR="00AA47C5" w:rsidRDefault="00EE29F6" w:rsidP="00A32A56">
      <w:r>
        <w:t xml:space="preserve">Police </w:t>
      </w:r>
      <w:r w:rsidR="00AB5ECA">
        <w:t xml:space="preserve">may handle multiple DFV situations on every shift.  It is vital that they are well-trained, supported and supervised to undertaken this work and that what is expected of them as police is clear.  </w:t>
      </w:r>
      <w:r w:rsidR="001A6B76">
        <w:t>The challenge is to ensure consistent practice given</w:t>
      </w:r>
      <w:r w:rsidR="004100DA">
        <w:t xml:space="preserve"> </w:t>
      </w:r>
      <w:r w:rsidR="001A6B76">
        <w:t>the multitude of challenges police face in the</w:t>
      </w:r>
      <w:r w:rsidR="00E34F30">
        <w:t>ir</w:t>
      </w:r>
      <w:r w:rsidR="001A6B76">
        <w:t xml:space="preserve"> daily work.</w:t>
      </w:r>
    </w:p>
    <w:p w14:paraId="3C1B3DCB" w14:textId="3C113FC5" w:rsidR="00AA47C5" w:rsidRDefault="00AA47C5" w:rsidP="00AA47C5">
      <w:pPr>
        <w:pStyle w:val="Heading3"/>
      </w:pPr>
      <w:bookmarkStart w:id="114" w:name="_Toc112051898"/>
      <w:r>
        <w:t>P</w:t>
      </w:r>
      <w:r w:rsidR="005E560A">
        <w:t>olice powers for p</w:t>
      </w:r>
      <w:r>
        <w:t>roactive policing</w:t>
      </w:r>
      <w:r w:rsidR="005E560A">
        <w:t xml:space="preserve"> of DFV</w:t>
      </w:r>
      <w:bookmarkEnd w:id="114"/>
    </w:p>
    <w:p w14:paraId="547E6E22" w14:textId="0216BEE4" w:rsidR="00AA47C5" w:rsidRPr="005E560A" w:rsidRDefault="00E14EE4" w:rsidP="00AA47C5">
      <w:r>
        <w:t>Proactive policing can be extremely important in saving lives and preventing harm in DFV circumstances</w:t>
      </w:r>
      <w:r w:rsidR="005E560A">
        <w:t>, particularly given the hi</w:t>
      </w:r>
      <w:r w:rsidR="00A32A56">
        <w:t>gh rate of repeat offending (77 per cent</w:t>
      </w:r>
      <w:r w:rsidR="005E560A">
        <w:t xml:space="preserve"> of DFV offenders have a prior violent offence)</w:t>
      </w:r>
      <w:r>
        <w:t>.</w:t>
      </w:r>
      <w:r w:rsidR="005E560A">
        <w:t xml:space="preserve">  </w:t>
      </w:r>
      <w:r>
        <w:t xml:space="preserve">Police have power under the section </w:t>
      </w:r>
      <w:r w:rsidR="00AA47C5">
        <w:t xml:space="preserve">126B of the </w:t>
      </w:r>
      <w:r w:rsidR="00AA47C5" w:rsidRPr="00E14EE4">
        <w:rPr>
          <w:i/>
        </w:rPr>
        <w:t>Police Administration Act</w:t>
      </w:r>
      <w:r w:rsidRPr="00E14EE4">
        <w:rPr>
          <w:i/>
        </w:rPr>
        <w:t xml:space="preserve"> 1978</w:t>
      </w:r>
      <w:r>
        <w:t xml:space="preserve"> to </w:t>
      </w:r>
      <w:r w:rsidR="005E560A">
        <w:t>engage in proactive policing in DFV circumstances.</w:t>
      </w:r>
    </w:p>
    <w:p w14:paraId="3BCC09AD" w14:textId="4670B3DA" w:rsidR="005E560A" w:rsidRPr="00A32A56" w:rsidRDefault="005E560A" w:rsidP="00A32A56">
      <w:pPr>
        <w:pStyle w:val="NewSectionHeading"/>
        <w:spacing w:after="120"/>
        <w:ind w:left="567" w:hanging="567"/>
        <w:rPr>
          <w:rFonts w:asciiTheme="minorHAnsi" w:hAnsiTheme="minorHAnsi"/>
          <w:sz w:val="22"/>
          <w:szCs w:val="22"/>
        </w:rPr>
      </w:pPr>
      <w:bookmarkStart w:id="115" w:name="_Toc70431455"/>
      <w:r w:rsidRPr="00A32A56">
        <w:rPr>
          <w:rFonts w:asciiTheme="minorHAnsi" w:hAnsiTheme="minorHAnsi"/>
          <w:sz w:val="22"/>
          <w:szCs w:val="22"/>
        </w:rPr>
        <w:t>Power to enter and remain to protect a person</w:t>
      </w:r>
      <w:bookmarkEnd w:id="115"/>
    </w:p>
    <w:p w14:paraId="1D9C1222" w14:textId="0096E6B9" w:rsidR="005E560A" w:rsidRPr="00A32A56" w:rsidRDefault="005E560A" w:rsidP="00A32A56">
      <w:pPr>
        <w:pStyle w:val="Subsection"/>
        <w:spacing w:after="120"/>
        <w:ind w:left="567" w:hanging="567"/>
        <w:rPr>
          <w:rFonts w:asciiTheme="minorHAnsi" w:hAnsiTheme="minorHAnsi"/>
          <w:sz w:val="22"/>
          <w:szCs w:val="22"/>
        </w:rPr>
      </w:pPr>
      <w:r w:rsidRPr="00A32A56">
        <w:rPr>
          <w:rFonts w:asciiTheme="minorHAnsi" w:hAnsiTheme="minorHAnsi"/>
          <w:sz w:val="22"/>
          <w:szCs w:val="22"/>
        </w:rPr>
        <w:t>(1)</w:t>
      </w:r>
      <w:r w:rsidRPr="00A32A56">
        <w:rPr>
          <w:rFonts w:asciiTheme="minorHAnsi" w:hAnsiTheme="minorHAnsi"/>
          <w:sz w:val="22"/>
          <w:szCs w:val="22"/>
        </w:rPr>
        <w:tab/>
        <w:t>For the purpose of protecting a person at a place, a member of the Police Force may enter the place if the member believes on reasonable grounds that:</w:t>
      </w:r>
    </w:p>
    <w:p w14:paraId="0770657E" w14:textId="77777777" w:rsidR="005E560A" w:rsidRPr="00A32A56" w:rsidRDefault="005E560A" w:rsidP="00A32A56">
      <w:pPr>
        <w:pStyle w:val="Paragraph"/>
        <w:spacing w:after="120"/>
        <w:ind w:left="1134"/>
        <w:rPr>
          <w:rFonts w:asciiTheme="minorHAnsi" w:hAnsiTheme="minorHAnsi"/>
          <w:sz w:val="22"/>
          <w:szCs w:val="22"/>
        </w:rPr>
      </w:pPr>
      <w:r w:rsidRPr="00A32A56">
        <w:rPr>
          <w:rFonts w:asciiTheme="minorHAnsi" w:hAnsiTheme="minorHAnsi"/>
          <w:sz w:val="22"/>
          <w:szCs w:val="22"/>
        </w:rPr>
        <w:t>(a)</w:t>
      </w:r>
      <w:r w:rsidRPr="00A32A56">
        <w:rPr>
          <w:rFonts w:asciiTheme="minorHAnsi" w:hAnsiTheme="minorHAnsi"/>
          <w:sz w:val="22"/>
          <w:szCs w:val="22"/>
        </w:rPr>
        <w:tab/>
        <w:t>the person has suffered, is suffering or is in imminent danger of suffering personal injury at the hands of another person; or</w:t>
      </w:r>
    </w:p>
    <w:p w14:paraId="7DF23CA8" w14:textId="77777777" w:rsidR="005E560A" w:rsidRPr="00A32A56" w:rsidRDefault="005E560A" w:rsidP="00A32A56">
      <w:pPr>
        <w:pStyle w:val="Paragraph"/>
        <w:spacing w:after="120"/>
        <w:ind w:left="1134"/>
        <w:rPr>
          <w:rFonts w:asciiTheme="minorHAnsi" w:hAnsiTheme="minorHAnsi"/>
          <w:sz w:val="22"/>
          <w:szCs w:val="22"/>
        </w:rPr>
      </w:pPr>
      <w:r w:rsidRPr="00A32A56">
        <w:rPr>
          <w:rFonts w:asciiTheme="minorHAnsi" w:hAnsiTheme="minorHAnsi"/>
          <w:sz w:val="22"/>
          <w:szCs w:val="22"/>
        </w:rPr>
        <w:t>(b)</w:t>
      </w:r>
      <w:r w:rsidRPr="00A32A56">
        <w:rPr>
          <w:rFonts w:asciiTheme="minorHAnsi" w:hAnsiTheme="minorHAnsi"/>
          <w:sz w:val="22"/>
          <w:szCs w:val="22"/>
        </w:rPr>
        <w:tab/>
        <w:t xml:space="preserve">another person at the place has contravened, is contravening or is about to contravene an order under the </w:t>
      </w:r>
      <w:r w:rsidRPr="00A32A56">
        <w:rPr>
          <w:rFonts w:asciiTheme="minorHAnsi" w:hAnsiTheme="minorHAnsi"/>
          <w:i/>
          <w:sz w:val="22"/>
          <w:szCs w:val="22"/>
        </w:rPr>
        <w:t>Domestic and Family Violence Act 2007</w:t>
      </w:r>
      <w:r w:rsidRPr="00A32A56">
        <w:rPr>
          <w:rFonts w:asciiTheme="minorHAnsi" w:hAnsiTheme="minorHAnsi"/>
          <w:sz w:val="22"/>
          <w:szCs w:val="22"/>
        </w:rPr>
        <w:t>.</w:t>
      </w:r>
    </w:p>
    <w:p w14:paraId="510DE77A" w14:textId="71001ED8" w:rsidR="005E560A" w:rsidRPr="00A32A56" w:rsidRDefault="005E560A" w:rsidP="00541BEE">
      <w:pPr>
        <w:pStyle w:val="Subsection"/>
        <w:spacing w:after="120"/>
        <w:ind w:left="567" w:hanging="567"/>
        <w:rPr>
          <w:rFonts w:asciiTheme="minorHAnsi" w:hAnsiTheme="minorHAnsi"/>
          <w:sz w:val="22"/>
          <w:szCs w:val="22"/>
        </w:rPr>
      </w:pPr>
      <w:r w:rsidRPr="00A32A56">
        <w:rPr>
          <w:rFonts w:asciiTheme="minorHAnsi" w:hAnsiTheme="minorHAnsi"/>
          <w:sz w:val="22"/>
          <w:szCs w:val="22"/>
        </w:rPr>
        <w:lastRenderedPageBreak/>
        <w:t>(2)</w:t>
      </w:r>
      <w:r w:rsidRPr="00A32A56">
        <w:rPr>
          <w:rFonts w:asciiTheme="minorHAnsi" w:hAnsiTheme="minorHAnsi"/>
          <w:sz w:val="22"/>
          <w:szCs w:val="22"/>
        </w:rPr>
        <w:tab/>
        <w:t>For the purpose of protecting a child at a place, a member of the Police Force may enter the place if the member believes on reasonable grounds that there is a serious and imminent risk to the welfare of the child.</w:t>
      </w:r>
    </w:p>
    <w:p w14:paraId="1D760345" w14:textId="7195D52E" w:rsidR="005E560A" w:rsidRPr="00A32A56" w:rsidRDefault="005E560A" w:rsidP="00541BEE">
      <w:pPr>
        <w:pStyle w:val="Subsection"/>
        <w:spacing w:after="120"/>
        <w:ind w:left="567" w:hanging="567"/>
        <w:rPr>
          <w:rFonts w:asciiTheme="minorHAnsi" w:hAnsiTheme="minorHAnsi"/>
          <w:sz w:val="22"/>
          <w:szCs w:val="22"/>
        </w:rPr>
      </w:pPr>
      <w:r w:rsidRPr="00A32A56">
        <w:rPr>
          <w:rFonts w:asciiTheme="minorHAnsi" w:hAnsiTheme="minorHAnsi"/>
          <w:sz w:val="22"/>
          <w:szCs w:val="22"/>
        </w:rPr>
        <w:t>(3)</w:t>
      </w:r>
      <w:r w:rsidRPr="00A32A56">
        <w:rPr>
          <w:rFonts w:asciiTheme="minorHAnsi" w:hAnsiTheme="minorHAnsi"/>
          <w:sz w:val="22"/>
          <w:szCs w:val="22"/>
        </w:rPr>
        <w:tab/>
        <w:t>No warrant is required to enter a place under this section.</w:t>
      </w:r>
    </w:p>
    <w:p w14:paraId="536840A3" w14:textId="6FAEAFBD" w:rsidR="005E560A" w:rsidRPr="00A32A56" w:rsidRDefault="005E560A" w:rsidP="00541BEE">
      <w:pPr>
        <w:pStyle w:val="Subsection"/>
        <w:spacing w:after="0"/>
        <w:ind w:left="567" w:hanging="567"/>
        <w:rPr>
          <w:rFonts w:asciiTheme="minorHAnsi" w:hAnsiTheme="minorHAnsi"/>
          <w:sz w:val="22"/>
          <w:szCs w:val="22"/>
        </w:rPr>
      </w:pPr>
      <w:r w:rsidRPr="00A32A56">
        <w:rPr>
          <w:rFonts w:asciiTheme="minorHAnsi" w:hAnsiTheme="minorHAnsi"/>
          <w:sz w:val="22"/>
          <w:szCs w:val="22"/>
        </w:rPr>
        <w:t>(4)</w:t>
      </w:r>
      <w:r w:rsidRPr="00A32A56">
        <w:rPr>
          <w:rFonts w:asciiTheme="minorHAnsi" w:hAnsiTheme="minorHAnsi"/>
          <w:sz w:val="22"/>
          <w:szCs w:val="22"/>
        </w:rPr>
        <w:tab/>
        <w:t>The member may remain at the place entered under this section for the time needed to take any reasonable action the member considers necessary to do any of the following:</w:t>
      </w:r>
    </w:p>
    <w:p w14:paraId="61848D7F" w14:textId="77777777" w:rsidR="005E560A" w:rsidRPr="00A32A56" w:rsidRDefault="005E560A" w:rsidP="00541BEE">
      <w:pPr>
        <w:pStyle w:val="Paragraph"/>
        <w:spacing w:after="0"/>
        <w:ind w:left="1134"/>
        <w:rPr>
          <w:rFonts w:asciiTheme="minorHAnsi" w:hAnsiTheme="minorHAnsi"/>
          <w:sz w:val="22"/>
          <w:szCs w:val="22"/>
        </w:rPr>
      </w:pPr>
      <w:r w:rsidRPr="00A32A56">
        <w:rPr>
          <w:rFonts w:asciiTheme="minorHAnsi" w:hAnsiTheme="minorHAnsi"/>
          <w:sz w:val="22"/>
          <w:szCs w:val="22"/>
        </w:rPr>
        <w:t>(a)</w:t>
      </w:r>
      <w:r w:rsidRPr="00A32A56">
        <w:rPr>
          <w:rFonts w:asciiTheme="minorHAnsi" w:hAnsiTheme="minorHAnsi"/>
          <w:sz w:val="22"/>
          <w:szCs w:val="22"/>
        </w:rPr>
        <w:tab/>
        <w:t>verify the grounds of the member's belief;</w:t>
      </w:r>
    </w:p>
    <w:p w14:paraId="35352AA3" w14:textId="77777777" w:rsidR="005E560A" w:rsidRPr="00A32A56" w:rsidRDefault="005E560A" w:rsidP="00541BEE">
      <w:pPr>
        <w:pStyle w:val="Paragraph"/>
        <w:spacing w:after="0"/>
        <w:ind w:left="1134"/>
        <w:rPr>
          <w:rFonts w:asciiTheme="minorHAnsi" w:hAnsiTheme="minorHAnsi"/>
          <w:sz w:val="22"/>
          <w:szCs w:val="22"/>
        </w:rPr>
      </w:pPr>
      <w:r w:rsidRPr="00A32A56">
        <w:rPr>
          <w:rFonts w:asciiTheme="minorHAnsi" w:hAnsiTheme="minorHAnsi"/>
          <w:sz w:val="22"/>
          <w:szCs w:val="22"/>
        </w:rPr>
        <w:t>(b)</w:t>
      </w:r>
      <w:r w:rsidRPr="00A32A56">
        <w:rPr>
          <w:rFonts w:asciiTheme="minorHAnsi" w:hAnsiTheme="minorHAnsi"/>
          <w:sz w:val="22"/>
          <w:szCs w:val="22"/>
        </w:rPr>
        <w:tab/>
        <w:t>ensure that, in the member's opinion, no one at the place is in danger or at risk;</w:t>
      </w:r>
    </w:p>
    <w:p w14:paraId="53B17F76" w14:textId="77777777" w:rsidR="005E560A" w:rsidRPr="00A32A56" w:rsidRDefault="005E560A" w:rsidP="00541BEE">
      <w:pPr>
        <w:pStyle w:val="Paragraph"/>
        <w:spacing w:after="0"/>
        <w:ind w:left="1134"/>
        <w:rPr>
          <w:rFonts w:asciiTheme="minorHAnsi" w:hAnsiTheme="minorHAnsi"/>
          <w:sz w:val="22"/>
          <w:szCs w:val="22"/>
        </w:rPr>
      </w:pPr>
      <w:r w:rsidRPr="00A32A56">
        <w:rPr>
          <w:rFonts w:asciiTheme="minorHAnsi" w:hAnsiTheme="minorHAnsi"/>
          <w:sz w:val="22"/>
          <w:szCs w:val="22"/>
        </w:rPr>
        <w:t>(c)</w:t>
      </w:r>
      <w:r w:rsidRPr="00A32A56">
        <w:rPr>
          <w:rFonts w:asciiTheme="minorHAnsi" w:hAnsiTheme="minorHAnsi"/>
          <w:sz w:val="22"/>
          <w:szCs w:val="22"/>
        </w:rPr>
        <w:tab/>
        <w:t>prevent a breach of the peace or a contravention of the order at the place;</w:t>
      </w:r>
    </w:p>
    <w:p w14:paraId="2A62A3EB" w14:textId="28213BBB" w:rsidR="00AA47C5" w:rsidRPr="00A32A56" w:rsidRDefault="005E560A" w:rsidP="00541BEE">
      <w:pPr>
        <w:pStyle w:val="Paragraph"/>
        <w:spacing w:after="200"/>
        <w:ind w:left="1134"/>
        <w:rPr>
          <w:rFonts w:asciiTheme="minorHAnsi" w:hAnsiTheme="minorHAnsi"/>
          <w:sz w:val="22"/>
          <w:szCs w:val="22"/>
        </w:rPr>
      </w:pPr>
      <w:r w:rsidRPr="00A32A56">
        <w:rPr>
          <w:rFonts w:asciiTheme="minorHAnsi" w:hAnsiTheme="minorHAnsi"/>
          <w:sz w:val="22"/>
          <w:szCs w:val="22"/>
        </w:rPr>
        <w:t>(d)</w:t>
      </w:r>
      <w:r w:rsidRPr="00A32A56">
        <w:rPr>
          <w:rFonts w:asciiTheme="minorHAnsi" w:hAnsiTheme="minorHAnsi"/>
          <w:sz w:val="22"/>
          <w:szCs w:val="22"/>
        </w:rPr>
        <w:tab/>
        <w:t>assist, or arrange assistance for, any injured person at the place.</w:t>
      </w:r>
    </w:p>
    <w:p w14:paraId="137CCDB1" w14:textId="437FF549" w:rsidR="005E560A" w:rsidRPr="005E560A" w:rsidRDefault="005E560A" w:rsidP="005E560A">
      <w:pPr>
        <w:pStyle w:val="Paragraph"/>
        <w:spacing w:after="0"/>
        <w:ind w:left="0" w:firstLine="0"/>
        <w:rPr>
          <w:rFonts w:asciiTheme="minorHAnsi" w:hAnsiTheme="minorHAnsi"/>
          <w:sz w:val="22"/>
          <w:szCs w:val="22"/>
        </w:rPr>
      </w:pPr>
      <w:r>
        <w:rPr>
          <w:rFonts w:asciiTheme="minorHAnsi" w:hAnsiTheme="minorHAnsi"/>
          <w:sz w:val="22"/>
          <w:szCs w:val="22"/>
        </w:rPr>
        <w:t>The</w:t>
      </w:r>
      <w:r w:rsidR="00062A4B">
        <w:rPr>
          <w:rFonts w:asciiTheme="minorHAnsi" w:hAnsiTheme="minorHAnsi"/>
          <w:sz w:val="22"/>
          <w:szCs w:val="22"/>
        </w:rPr>
        <w:t xml:space="preserve"> review has not identified a need to amend these existing powers. However, changes to the police General Order on DFV are proposed below to facilitate proactive policing of DFV and particularly to identify high risk factors for DFV.</w:t>
      </w:r>
    </w:p>
    <w:p w14:paraId="334A5436" w14:textId="3AD08B4B" w:rsidR="002C6DE4" w:rsidRPr="006B6E05" w:rsidRDefault="00402181" w:rsidP="006B6E05">
      <w:pPr>
        <w:pStyle w:val="Heading3"/>
      </w:pPr>
      <w:bookmarkStart w:id="116" w:name="_Toc112051899"/>
      <w:r>
        <w:t>Coronial recommendations</w:t>
      </w:r>
      <w:bookmarkEnd w:id="116"/>
    </w:p>
    <w:p w14:paraId="4645DFAB" w14:textId="03936D8D" w:rsidR="00D20BA5" w:rsidRDefault="007F3A64" w:rsidP="00541BEE">
      <w:pPr>
        <w:spacing w:after="120"/>
      </w:pPr>
      <w:r>
        <w:t xml:space="preserve">This review supports recent </w:t>
      </w:r>
      <w:r w:rsidR="00D20BA5">
        <w:t>Coroner</w:t>
      </w:r>
      <w:r>
        <w:t>’s</w:t>
      </w:r>
      <w:r w:rsidR="00D20BA5">
        <w:t xml:space="preserve"> </w:t>
      </w:r>
      <w:r w:rsidR="007E5559">
        <w:t>recent recommendation</w:t>
      </w:r>
      <w:r>
        <w:t xml:space="preserve"> </w:t>
      </w:r>
      <w:r w:rsidR="00D20BA5">
        <w:t>that:</w:t>
      </w:r>
    </w:p>
    <w:p w14:paraId="539204AA" w14:textId="3296E102" w:rsidR="00D20BA5" w:rsidRDefault="00D20BA5" w:rsidP="0067521E">
      <w:pPr>
        <w:pStyle w:val="ListParagraph"/>
        <w:numPr>
          <w:ilvl w:val="0"/>
          <w:numId w:val="52"/>
        </w:numPr>
        <w:ind w:left="567" w:hanging="567"/>
      </w:pPr>
      <w:r>
        <w:t>The Commissioner of Police ensure that the General Order is updated so as to convey a contemporary understanding of domestic and family violence (including coercive control) and that all police officers have training in the identification of ‘red flags’ for coercive control.</w:t>
      </w:r>
      <w:r w:rsidR="00EB5750" w:rsidRPr="00EB5750">
        <w:rPr>
          <w:rStyle w:val="FootnoteReference"/>
        </w:rPr>
        <w:t xml:space="preserve"> </w:t>
      </w:r>
      <w:r w:rsidR="00EB5750">
        <w:rPr>
          <w:rStyle w:val="FootnoteReference"/>
        </w:rPr>
        <w:footnoteReference w:id="222"/>
      </w:r>
    </w:p>
    <w:p w14:paraId="0798F36D" w14:textId="1C1CFD3D" w:rsidR="00062A4B" w:rsidRDefault="00D20BA5" w:rsidP="0067521E">
      <w:pPr>
        <w:pStyle w:val="ListParagraph"/>
        <w:numPr>
          <w:ilvl w:val="0"/>
          <w:numId w:val="52"/>
        </w:numPr>
        <w:spacing w:after="0"/>
        <w:ind w:left="567" w:hanging="567"/>
      </w:pPr>
      <w:r>
        <w:t>The Commissioner of Police give consideration to developing a risk assessment process/tool to support police in identifying both the physical and non-physical aspects of domestic and family violence.</w:t>
      </w:r>
      <w:r w:rsidR="007F3A64" w:rsidRPr="007F3A64">
        <w:rPr>
          <w:rStyle w:val="FootnoteReference"/>
        </w:rPr>
        <w:t xml:space="preserve"> </w:t>
      </w:r>
      <w:r w:rsidR="007F3A64">
        <w:rPr>
          <w:rStyle w:val="FootnoteReference"/>
        </w:rPr>
        <w:footnoteReference w:id="223"/>
      </w:r>
    </w:p>
    <w:p w14:paraId="3C5646C6" w14:textId="6A81CB74" w:rsidR="00062A4B" w:rsidRPr="00C4371D" w:rsidRDefault="00404BAA" w:rsidP="00062A4B">
      <w:pPr>
        <w:pStyle w:val="Heading3"/>
      </w:pPr>
      <w:bookmarkStart w:id="117" w:name="_Toc112051900"/>
      <w:r>
        <w:t>P</w:t>
      </w:r>
      <w:r w:rsidR="00062A4B">
        <w:t>roposals</w:t>
      </w:r>
      <w:r>
        <w:t xml:space="preserve"> in relation to policing</w:t>
      </w:r>
      <w:bookmarkEnd w:id="117"/>
    </w:p>
    <w:p w14:paraId="318CEAD1" w14:textId="34997005" w:rsidR="00C4371D" w:rsidRPr="00C4371D" w:rsidRDefault="00E633CF" w:rsidP="00541BEE">
      <w:pPr>
        <w:pStyle w:val="Heading4"/>
        <w:keepNext/>
        <w:numPr>
          <w:ilvl w:val="0"/>
          <w:numId w:val="0"/>
        </w:numPr>
        <w:spacing w:after="0" w:line="259" w:lineRule="auto"/>
        <w:ind w:left="864" w:hanging="864"/>
      </w:pPr>
      <w:r>
        <w:t>PROPOSAL SR 11</w:t>
      </w:r>
    </w:p>
    <w:p w14:paraId="061912CB" w14:textId="279213D8" w:rsidR="0095673C" w:rsidRPr="00140888" w:rsidRDefault="00B00515" w:rsidP="00541BEE">
      <w:pPr>
        <w:keepNext/>
        <w:spacing w:after="0" w:line="259" w:lineRule="auto"/>
        <w:rPr>
          <w:b/>
        </w:rPr>
      </w:pPr>
      <w:r>
        <w:rPr>
          <w:b/>
        </w:rPr>
        <w:t>It is proposed</w:t>
      </w:r>
      <w:r w:rsidR="0095673C" w:rsidRPr="00140888">
        <w:rPr>
          <w:b/>
        </w:rPr>
        <w:t xml:space="preserve"> </w:t>
      </w:r>
      <w:r w:rsidR="0030545F">
        <w:rPr>
          <w:b/>
        </w:rPr>
        <w:t xml:space="preserve">that </w:t>
      </w:r>
      <w:r w:rsidR="0095673C" w:rsidRPr="00140888">
        <w:rPr>
          <w:b/>
        </w:rPr>
        <w:t>the Commissioner of Police</w:t>
      </w:r>
      <w:r w:rsidR="0030545F">
        <w:rPr>
          <w:b/>
        </w:rPr>
        <w:t xml:space="preserve"> – in collaboration with the </w:t>
      </w:r>
      <w:r w:rsidR="00E37E7C">
        <w:rPr>
          <w:b/>
        </w:rPr>
        <w:t>DFSV-ICRO</w:t>
      </w:r>
      <w:r w:rsidR="0030545F">
        <w:rPr>
          <w:b/>
        </w:rPr>
        <w:t xml:space="preserve"> and informed by consultation with DFSV specialists – revise the p</w:t>
      </w:r>
      <w:r w:rsidR="0095673C" w:rsidRPr="00140888">
        <w:rPr>
          <w:b/>
        </w:rPr>
        <w:t>o</w:t>
      </w:r>
      <w:r w:rsidR="00E676B3">
        <w:rPr>
          <w:b/>
        </w:rPr>
        <w:t>lice General Order on DFV and</w:t>
      </w:r>
      <w:r w:rsidR="0095673C" w:rsidRPr="00140888">
        <w:rPr>
          <w:b/>
        </w:rPr>
        <w:t xml:space="preserve"> other </w:t>
      </w:r>
      <w:r w:rsidR="0030545F">
        <w:rPr>
          <w:b/>
        </w:rPr>
        <w:t>relevant policy and procedures to</w:t>
      </w:r>
      <w:r w:rsidR="0095673C" w:rsidRPr="00140888">
        <w:rPr>
          <w:b/>
        </w:rPr>
        <w:t>:</w:t>
      </w:r>
    </w:p>
    <w:p w14:paraId="0AF2B870" w14:textId="541DC9E1" w:rsidR="0095673C" w:rsidRPr="00140888" w:rsidRDefault="00541BEE" w:rsidP="0067521E">
      <w:pPr>
        <w:pStyle w:val="ListParagraph"/>
        <w:numPr>
          <w:ilvl w:val="0"/>
          <w:numId w:val="68"/>
        </w:numPr>
        <w:spacing w:after="0" w:line="259" w:lineRule="auto"/>
        <w:ind w:left="567" w:hanging="567"/>
        <w:rPr>
          <w:b/>
        </w:rPr>
      </w:pPr>
      <w:r>
        <w:rPr>
          <w:b/>
        </w:rPr>
        <w:t>convey</w:t>
      </w:r>
      <w:r w:rsidRPr="00140888">
        <w:rPr>
          <w:b/>
        </w:rPr>
        <w:t xml:space="preserve"> </w:t>
      </w:r>
      <w:r w:rsidR="0095673C" w:rsidRPr="00140888">
        <w:rPr>
          <w:b/>
        </w:rPr>
        <w:t>a contemporary understanding of DFV, that reflects the centrality and seriousness of coercive control and psychological abuse</w:t>
      </w:r>
      <w:r>
        <w:rPr>
          <w:b/>
        </w:rPr>
        <w:t>;</w:t>
      </w:r>
    </w:p>
    <w:p w14:paraId="1C9A4721" w14:textId="27B30BDA" w:rsidR="0095673C" w:rsidRPr="00140888" w:rsidRDefault="00541BEE" w:rsidP="0067521E">
      <w:pPr>
        <w:pStyle w:val="ListParagraph"/>
        <w:numPr>
          <w:ilvl w:val="0"/>
          <w:numId w:val="68"/>
        </w:numPr>
        <w:spacing w:after="0" w:line="259" w:lineRule="auto"/>
        <w:ind w:left="567" w:hanging="567"/>
        <w:rPr>
          <w:b/>
        </w:rPr>
      </w:pPr>
      <w:r w:rsidRPr="00140888">
        <w:rPr>
          <w:b/>
        </w:rPr>
        <w:t xml:space="preserve">assist </w:t>
      </w:r>
      <w:r w:rsidR="0095673C" w:rsidRPr="00140888">
        <w:rPr>
          <w:b/>
        </w:rPr>
        <w:t>police officers to identify the ‘red flags’ for coercive control</w:t>
      </w:r>
      <w:r>
        <w:rPr>
          <w:b/>
        </w:rPr>
        <w:t>;</w:t>
      </w:r>
    </w:p>
    <w:p w14:paraId="65A7776E" w14:textId="3EFED01C" w:rsidR="0095673C" w:rsidRPr="00140888" w:rsidRDefault="00541BEE" w:rsidP="0067521E">
      <w:pPr>
        <w:pStyle w:val="ListParagraph"/>
        <w:numPr>
          <w:ilvl w:val="0"/>
          <w:numId w:val="68"/>
        </w:numPr>
        <w:spacing w:after="0" w:line="259" w:lineRule="auto"/>
        <w:ind w:left="567" w:hanging="567"/>
        <w:rPr>
          <w:b/>
        </w:rPr>
      </w:pPr>
      <w:r w:rsidRPr="00140888">
        <w:rPr>
          <w:b/>
        </w:rPr>
        <w:t xml:space="preserve">assist </w:t>
      </w:r>
      <w:r w:rsidR="0095673C" w:rsidRPr="00140888">
        <w:rPr>
          <w:b/>
        </w:rPr>
        <w:t>police to identify and manage the high risk factors associated with DFV in a way that is aligned with the NT’s Risk Assessment and Management Framework (RAMF) including:</w:t>
      </w:r>
    </w:p>
    <w:p w14:paraId="649DAAE0" w14:textId="627D61A9" w:rsidR="0095673C" w:rsidRPr="00140888" w:rsidRDefault="00A32A56" w:rsidP="0067521E">
      <w:pPr>
        <w:pStyle w:val="ListParagraph"/>
        <w:numPr>
          <w:ilvl w:val="2"/>
          <w:numId w:val="59"/>
        </w:numPr>
        <w:spacing w:after="0" w:line="259" w:lineRule="auto"/>
        <w:ind w:left="1134" w:hanging="283"/>
        <w:rPr>
          <w:b/>
        </w:rPr>
      </w:pPr>
      <w:r w:rsidRPr="00140888">
        <w:rPr>
          <w:b/>
        </w:rPr>
        <w:t xml:space="preserve">history </w:t>
      </w:r>
      <w:r w:rsidR="0095673C" w:rsidRPr="00140888">
        <w:rPr>
          <w:b/>
        </w:rPr>
        <w:t>of DFV between the parties</w:t>
      </w:r>
      <w:r w:rsidR="00541BEE">
        <w:rPr>
          <w:b/>
        </w:rPr>
        <w:t>;</w:t>
      </w:r>
    </w:p>
    <w:p w14:paraId="0FB12D24" w14:textId="65E4B899" w:rsidR="0095673C" w:rsidRPr="00140888" w:rsidRDefault="00A32A56" w:rsidP="0067521E">
      <w:pPr>
        <w:pStyle w:val="ListParagraph"/>
        <w:numPr>
          <w:ilvl w:val="2"/>
          <w:numId w:val="59"/>
        </w:numPr>
        <w:spacing w:after="0" w:line="259" w:lineRule="auto"/>
        <w:ind w:left="1134" w:hanging="283"/>
        <w:rPr>
          <w:b/>
        </w:rPr>
      </w:pPr>
      <w:r w:rsidRPr="00140888">
        <w:rPr>
          <w:b/>
        </w:rPr>
        <w:t>coercive contr</w:t>
      </w:r>
      <w:r w:rsidR="0095673C" w:rsidRPr="00140888">
        <w:rPr>
          <w:b/>
        </w:rPr>
        <w:t>ol</w:t>
      </w:r>
      <w:r w:rsidR="00541BEE">
        <w:rPr>
          <w:b/>
        </w:rPr>
        <w:t>;</w:t>
      </w:r>
    </w:p>
    <w:p w14:paraId="1B1D88C9" w14:textId="1D3BE168" w:rsidR="0095673C" w:rsidRPr="00140888" w:rsidRDefault="00A32A56" w:rsidP="0067521E">
      <w:pPr>
        <w:pStyle w:val="ListParagraph"/>
        <w:numPr>
          <w:ilvl w:val="2"/>
          <w:numId w:val="59"/>
        </w:numPr>
        <w:spacing w:after="0" w:line="259" w:lineRule="auto"/>
        <w:ind w:left="1134" w:hanging="283"/>
        <w:rPr>
          <w:b/>
        </w:rPr>
      </w:pPr>
      <w:r w:rsidRPr="00140888">
        <w:rPr>
          <w:b/>
        </w:rPr>
        <w:t>choking</w:t>
      </w:r>
      <w:r w:rsidR="00541BEE">
        <w:rPr>
          <w:b/>
        </w:rPr>
        <w:t>;</w:t>
      </w:r>
    </w:p>
    <w:p w14:paraId="57153E2A" w14:textId="7187B194" w:rsidR="0095673C" w:rsidRPr="00140888" w:rsidRDefault="00A32A56" w:rsidP="0067521E">
      <w:pPr>
        <w:pStyle w:val="ListParagraph"/>
        <w:numPr>
          <w:ilvl w:val="2"/>
          <w:numId w:val="59"/>
        </w:numPr>
        <w:spacing w:after="0" w:line="259" w:lineRule="auto"/>
        <w:ind w:left="1134" w:hanging="283"/>
        <w:rPr>
          <w:b/>
        </w:rPr>
      </w:pPr>
      <w:r w:rsidRPr="00140888">
        <w:rPr>
          <w:b/>
        </w:rPr>
        <w:t xml:space="preserve">threats </w:t>
      </w:r>
      <w:r w:rsidR="0095673C" w:rsidRPr="00140888">
        <w:rPr>
          <w:b/>
        </w:rPr>
        <w:t>to kill</w:t>
      </w:r>
      <w:r w:rsidR="00541BEE">
        <w:rPr>
          <w:b/>
        </w:rPr>
        <w:t>;</w:t>
      </w:r>
    </w:p>
    <w:p w14:paraId="64FEC578" w14:textId="5EA7D30B" w:rsidR="0095673C" w:rsidRPr="00140888" w:rsidRDefault="00A32A56" w:rsidP="0067521E">
      <w:pPr>
        <w:pStyle w:val="ListParagraph"/>
        <w:numPr>
          <w:ilvl w:val="2"/>
          <w:numId w:val="59"/>
        </w:numPr>
        <w:spacing w:after="0" w:line="259" w:lineRule="auto"/>
        <w:ind w:left="1134" w:hanging="283"/>
        <w:rPr>
          <w:b/>
        </w:rPr>
      </w:pPr>
      <w:r w:rsidRPr="00140888">
        <w:rPr>
          <w:b/>
        </w:rPr>
        <w:t xml:space="preserve">pregnancy </w:t>
      </w:r>
      <w:r w:rsidR="0095673C" w:rsidRPr="00140888">
        <w:rPr>
          <w:b/>
        </w:rPr>
        <w:t>of new birth</w:t>
      </w:r>
      <w:r w:rsidR="00541BEE">
        <w:rPr>
          <w:b/>
        </w:rPr>
        <w:t>;</w:t>
      </w:r>
    </w:p>
    <w:p w14:paraId="1CEA823C" w14:textId="024F107B" w:rsidR="0095673C" w:rsidRPr="00140888" w:rsidRDefault="00A32A56" w:rsidP="0067521E">
      <w:pPr>
        <w:pStyle w:val="ListParagraph"/>
        <w:numPr>
          <w:ilvl w:val="2"/>
          <w:numId w:val="59"/>
        </w:numPr>
        <w:spacing w:after="0" w:line="259" w:lineRule="auto"/>
        <w:ind w:left="1134" w:hanging="283"/>
        <w:rPr>
          <w:b/>
        </w:rPr>
      </w:pPr>
      <w:r w:rsidRPr="00140888">
        <w:rPr>
          <w:b/>
        </w:rPr>
        <w:t xml:space="preserve">actual </w:t>
      </w:r>
      <w:r w:rsidR="0095673C" w:rsidRPr="00140888">
        <w:rPr>
          <w:b/>
        </w:rPr>
        <w:t>or pending separation</w:t>
      </w:r>
      <w:r w:rsidR="00541BEE">
        <w:rPr>
          <w:b/>
        </w:rPr>
        <w:t>;</w:t>
      </w:r>
    </w:p>
    <w:p w14:paraId="6B92F204" w14:textId="572B7D57" w:rsidR="0095673C" w:rsidRPr="00140888" w:rsidRDefault="00541BEE" w:rsidP="0067521E">
      <w:pPr>
        <w:pStyle w:val="ListParagraph"/>
        <w:numPr>
          <w:ilvl w:val="0"/>
          <w:numId w:val="68"/>
        </w:numPr>
        <w:spacing w:after="0" w:line="259" w:lineRule="auto"/>
        <w:ind w:left="567" w:hanging="567"/>
        <w:rPr>
          <w:b/>
        </w:rPr>
      </w:pPr>
      <w:r w:rsidRPr="00140888">
        <w:rPr>
          <w:b/>
        </w:rPr>
        <w:t xml:space="preserve">guide </w:t>
      </w:r>
      <w:r w:rsidR="0095673C" w:rsidRPr="00140888">
        <w:rPr>
          <w:b/>
        </w:rPr>
        <w:t>police officers on when to initiate a Police DVO</w:t>
      </w:r>
      <w:r>
        <w:rPr>
          <w:b/>
        </w:rPr>
        <w:t>;</w:t>
      </w:r>
    </w:p>
    <w:p w14:paraId="7F5B6275" w14:textId="38492443" w:rsidR="0095673C" w:rsidRPr="00140888" w:rsidRDefault="00541BEE" w:rsidP="0067521E">
      <w:pPr>
        <w:pStyle w:val="ListParagraph"/>
        <w:numPr>
          <w:ilvl w:val="0"/>
          <w:numId w:val="68"/>
        </w:numPr>
        <w:spacing w:after="0" w:line="259" w:lineRule="auto"/>
        <w:ind w:left="567" w:hanging="567"/>
        <w:rPr>
          <w:b/>
        </w:rPr>
      </w:pPr>
      <w:r w:rsidRPr="00140888">
        <w:rPr>
          <w:b/>
        </w:rPr>
        <w:t xml:space="preserve">guide </w:t>
      </w:r>
      <w:r w:rsidR="0095673C" w:rsidRPr="00140888">
        <w:rPr>
          <w:b/>
        </w:rPr>
        <w:t>police in identifying the person most in need of protection where there are mutual allegations of violence or signs that both parties may have used violence (also a process for an internal review where mu</w:t>
      </w:r>
      <w:r>
        <w:rPr>
          <w:b/>
        </w:rPr>
        <w:t>tual DVOs are being considered);</w:t>
      </w:r>
    </w:p>
    <w:p w14:paraId="6FDD2EFE" w14:textId="776499E2" w:rsidR="0095673C" w:rsidRPr="00140888" w:rsidRDefault="00541BEE" w:rsidP="0067521E">
      <w:pPr>
        <w:pStyle w:val="ListParagraph"/>
        <w:numPr>
          <w:ilvl w:val="0"/>
          <w:numId w:val="68"/>
        </w:numPr>
        <w:spacing w:after="0" w:line="259" w:lineRule="auto"/>
        <w:ind w:left="567" w:hanging="567"/>
        <w:rPr>
          <w:b/>
        </w:rPr>
      </w:pPr>
      <w:r w:rsidRPr="00140888">
        <w:rPr>
          <w:b/>
        </w:rPr>
        <w:lastRenderedPageBreak/>
        <w:t xml:space="preserve">guide </w:t>
      </w:r>
      <w:r w:rsidR="0095673C" w:rsidRPr="00140888">
        <w:rPr>
          <w:b/>
        </w:rPr>
        <w:t>police in relation to appropriate responses to intoxicated victim-survivors (to prioritise safety and so that the best practice response is not downgra</w:t>
      </w:r>
      <w:r w:rsidR="00931315">
        <w:rPr>
          <w:b/>
        </w:rPr>
        <w:t>ded if victims are intoxicated)</w:t>
      </w:r>
      <w:r>
        <w:rPr>
          <w:b/>
        </w:rPr>
        <w:t>;</w:t>
      </w:r>
    </w:p>
    <w:p w14:paraId="1360B64B" w14:textId="524DF1E4" w:rsidR="0095673C" w:rsidRPr="00140888" w:rsidRDefault="00541BEE" w:rsidP="0067521E">
      <w:pPr>
        <w:pStyle w:val="ListParagraph"/>
        <w:numPr>
          <w:ilvl w:val="0"/>
          <w:numId w:val="68"/>
        </w:numPr>
        <w:spacing w:after="0" w:line="259" w:lineRule="auto"/>
        <w:ind w:left="567" w:hanging="567"/>
        <w:rPr>
          <w:b/>
        </w:rPr>
      </w:pPr>
      <w:r w:rsidRPr="00140888">
        <w:rPr>
          <w:b/>
        </w:rPr>
        <w:t xml:space="preserve">encourage </w:t>
      </w:r>
      <w:r w:rsidR="0095673C" w:rsidRPr="00140888">
        <w:rPr>
          <w:b/>
        </w:rPr>
        <w:t>the use of recorded statements for victim evidence where possible</w:t>
      </w:r>
      <w:r>
        <w:rPr>
          <w:b/>
        </w:rPr>
        <w:t>;</w:t>
      </w:r>
    </w:p>
    <w:p w14:paraId="003E2401" w14:textId="496AA8FF" w:rsidR="0095673C" w:rsidRPr="00140888" w:rsidRDefault="00541BEE" w:rsidP="0067521E">
      <w:pPr>
        <w:pStyle w:val="ListParagraph"/>
        <w:numPr>
          <w:ilvl w:val="0"/>
          <w:numId w:val="68"/>
        </w:numPr>
        <w:spacing w:after="0" w:line="259" w:lineRule="auto"/>
        <w:ind w:left="567" w:hanging="567"/>
        <w:rPr>
          <w:b/>
        </w:rPr>
      </w:pPr>
      <w:r w:rsidRPr="00140888">
        <w:rPr>
          <w:b/>
        </w:rPr>
        <w:t xml:space="preserve">guide </w:t>
      </w:r>
      <w:r w:rsidR="0095673C" w:rsidRPr="00140888">
        <w:rPr>
          <w:b/>
        </w:rPr>
        <w:t>police responses in remote contexts where there are limited services and options for safe accommodation available</w:t>
      </w:r>
      <w:r>
        <w:rPr>
          <w:b/>
        </w:rPr>
        <w:t>.</w:t>
      </w:r>
    </w:p>
    <w:p w14:paraId="1D850788" w14:textId="55FAA334" w:rsidR="00E633CF" w:rsidRPr="00E633CF" w:rsidRDefault="00E676B3" w:rsidP="00541BEE">
      <w:pPr>
        <w:spacing w:line="259" w:lineRule="auto"/>
        <w:rPr>
          <w:b/>
        </w:rPr>
      </w:pPr>
      <w:r>
        <w:rPr>
          <w:b/>
        </w:rPr>
        <w:t>It is further proposed that</w:t>
      </w:r>
      <w:r w:rsidR="0095673C" w:rsidRPr="00140888">
        <w:rPr>
          <w:b/>
        </w:rPr>
        <w:t xml:space="preserve"> th</w:t>
      </w:r>
      <w:r>
        <w:rPr>
          <w:b/>
        </w:rPr>
        <w:t xml:space="preserve">e </w:t>
      </w:r>
      <w:r w:rsidR="0030545F">
        <w:rPr>
          <w:b/>
        </w:rPr>
        <w:t xml:space="preserve">police </w:t>
      </w:r>
      <w:r>
        <w:rPr>
          <w:b/>
        </w:rPr>
        <w:t xml:space="preserve">General Order on DFV </w:t>
      </w:r>
      <w:r w:rsidR="00630093">
        <w:rPr>
          <w:b/>
        </w:rPr>
        <w:t xml:space="preserve">– </w:t>
      </w:r>
      <w:r>
        <w:rPr>
          <w:b/>
        </w:rPr>
        <w:t>or a summary of police procedures in responding to DFV</w:t>
      </w:r>
      <w:r w:rsidR="0095673C" w:rsidRPr="00140888">
        <w:rPr>
          <w:b/>
        </w:rPr>
        <w:t xml:space="preserve"> </w:t>
      </w:r>
      <w:r w:rsidR="00630093">
        <w:rPr>
          <w:b/>
        </w:rPr>
        <w:t xml:space="preserve">– </w:t>
      </w:r>
      <w:r w:rsidR="0095673C" w:rsidRPr="00140888">
        <w:rPr>
          <w:b/>
        </w:rPr>
        <w:t xml:space="preserve">is </w:t>
      </w:r>
      <w:r w:rsidR="00630093">
        <w:rPr>
          <w:b/>
        </w:rPr>
        <w:t xml:space="preserve">made </w:t>
      </w:r>
      <w:r w:rsidR="0095673C" w:rsidRPr="00140888">
        <w:rPr>
          <w:b/>
        </w:rPr>
        <w:t xml:space="preserve">available to </w:t>
      </w:r>
      <w:r>
        <w:rPr>
          <w:b/>
        </w:rPr>
        <w:t>DF</w:t>
      </w:r>
      <w:r w:rsidR="0030545F">
        <w:rPr>
          <w:b/>
        </w:rPr>
        <w:t>V service providers</w:t>
      </w:r>
      <w:r>
        <w:rPr>
          <w:b/>
        </w:rPr>
        <w:t xml:space="preserve"> to facilitate continuous improvement of </w:t>
      </w:r>
      <w:r w:rsidR="0030545F">
        <w:rPr>
          <w:b/>
        </w:rPr>
        <w:t xml:space="preserve">inter-agency </w:t>
      </w:r>
      <w:r>
        <w:rPr>
          <w:b/>
        </w:rPr>
        <w:t>response</w:t>
      </w:r>
      <w:r w:rsidR="0030545F">
        <w:rPr>
          <w:b/>
        </w:rPr>
        <w:t>s</w:t>
      </w:r>
      <w:r>
        <w:rPr>
          <w:b/>
        </w:rPr>
        <w:t xml:space="preserve"> to DFV.</w:t>
      </w:r>
    </w:p>
    <w:p w14:paraId="2E92E989" w14:textId="3B88F356" w:rsidR="00BF2F1C" w:rsidRPr="00BF2F1C" w:rsidRDefault="00E633CF" w:rsidP="00541BEE">
      <w:pPr>
        <w:pStyle w:val="Heading4"/>
        <w:keepNext/>
        <w:numPr>
          <w:ilvl w:val="0"/>
          <w:numId w:val="0"/>
        </w:numPr>
        <w:spacing w:after="0" w:line="259" w:lineRule="auto"/>
        <w:ind w:left="864" w:hanging="864"/>
      </w:pPr>
      <w:r>
        <w:t>PROPOSAL SR 12</w:t>
      </w:r>
    </w:p>
    <w:p w14:paraId="4A081543" w14:textId="194E5372" w:rsidR="0095673C" w:rsidRPr="00922FE8" w:rsidRDefault="007B7148" w:rsidP="00541BEE">
      <w:pPr>
        <w:keepNext/>
        <w:spacing w:after="0" w:line="259" w:lineRule="auto"/>
        <w:rPr>
          <w:b/>
        </w:rPr>
      </w:pPr>
      <w:r>
        <w:rPr>
          <w:b/>
        </w:rPr>
        <w:t>It is proposed t</w:t>
      </w:r>
      <w:r w:rsidR="00922FE8">
        <w:rPr>
          <w:b/>
        </w:rPr>
        <w:t xml:space="preserve">hat </w:t>
      </w:r>
      <w:r w:rsidR="0095673C" w:rsidRPr="00922FE8">
        <w:rPr>
          <w:b/>
        </w:rPr>
        <w:t xml:space="preserve">a review of police training on DFV </w:t>
      </w:r>
      <w:r w:rsidR="00922FE8">
        <w:rPr>
          <w:b/>
        </w:rPr>
        <w:t xml:space="preserve">be conducted </w:t>
      </w:r>
      <w:r w:rsidR="0095673C" w:rsidRPr="00922FE8">
        <w:rPr>
          <w:b/>
        </w:rPr>
        <w:t>to bolster the training with respect to DFV and coercive control.  Consideration should be provided to:</w:t>
      </w:r>
    </w:p>
    <w:p w14:paraId="33247692" w14:textId="622428E5" w:rsidR="0095673C" w:rsidRPr="00922FE8" w:rsidRDefault="00541BEE" w:rsidP="0067521E">
      <w:pPr>
        <w:pStyle w:val="ListParagraph"/>
        <w:numPr>
          <w:ilvl w:val="0"/>
          <w:numId w:val="105"/>
        </w:numPr>
        <w:spacing w:after="0" w:line="259" w:lineRule="auto"/>
        <w:ind w:left="567" w:hanging="567"/>
        <w:rPr>
          <w:b/>
        </w:rPr>
      </w:pPr>
      <w:r w:rsidRPr="00922FE8">
        <w:rPr>
          <w:b/>
        </w:rPr>
        <w:t xml:space="preserve">compulsory </w:t>
      </w:r>
      <w:r w:rsidR="0095673C" w:rsidRPr="00922FE8">
        <w:rPr>
          <w:b/>
        </w:rPr>
        <w:t>training for all police officers in the NT;</w:t>
      </w:r>
    </w:p>
    <w:p w14:paraId="18E5809B" w14:textId="087F7B5F" w:rsidR="0095673C" w:rsidRPr="00922FE8" w:rsidRDefault="00541BEE" w:rsidP="0067521E">
      <w:pPr>
        <w:pStyle w:val="ListParagraph"/>
        <w:numPr>
          <w:ilvl w:val="0"/>
          <w:numId w:val="105"/>
        </w:numPr>
        <w:spacing w:after="0" w:line="259" w:lineRule="auto"/>
        <w:ind w:left="567" w:hanging="567"/>
        <w:rPr>
          <w:b/>
        </w:rPr>
      </w:pPr>
      <w:r w:rsidRPr="00922FE8">
        <w:rPr>
          <w:b/>
        </w:rPr>
        <w:t xml:space="preserve">high </w:t>
      </w:r>
      <w:r w:rsidR="0095673C" w:rsidRPr="00922FE8">
        <w:rPr>
          <w:b/>
        </w:rPr>
        <w:t>level training for selected officers;</w:t>
      </w:r>
    </w:p>
    <w:p w14:paraId="40A2332B" w14:textId="75161D8F" w:rsidR="00EA192E" w:rsidRDefault="00541BEE" w:rsidP="0067521E">
      <w:pPr>
        <w:pStyle w:val="ListParagraph"/>
        <w:numPr>
          <w:ilvl w:val="0"/>
          <w:numId w:val="105"/>
        </w:numPr>
        <w:spacing w:after="0" w:line="259" w:lineRule="auto"/>
        <w:ind w:left="567" w:hanging="567"/>
        <w:rPr>
          <w:b/>
        </w:rPr>
      </w:pPr>
      <w:r w:rsidRPr="00922FE8">
        <w:rPr>
          <w:b/>
        </w:rPr>
        <w:t xml:space="preserve">the </w:t>
      </w:r>
      <w:r w:rsidR="0095673C" w:rsidRPr="00922FE8">
        <w:rPr>
          <w:b/>
        </w:rPr>
        <w:t>identification of selected police members as DFV champions to foster best practice through NT Police (see the Scottish model).</w:t>
      </w:r>
    </w:p>
    <w:p w14:paraId="4D943BD4" w14:textId="42C2F0C5" w:rsidR="00922FE8" w:rsidRPr="00922FE8" w:rsidRDefault="00922FE8" w:rsidP="00541BEE">
      <w:pPr>
        <w:spacing w:line="259" w:lineRule="auto"/>
        <w:rPr>
          <w:b/>
        </w:rPr>
      </w:pPr>
      <w:r w:rsidRPr="00922FE8">
        <w:rPr>
          <w:b/>
        </w:rPr>
        <w:t xml:space="preserve">It is </w:t>
      </w:r>
      <w:r w:rsidR="007B7148">
        <w:rPr>
          <w:b/>
        </w:rPr>
        <w:t xml:space="preserve">further </w:t>
      </w:r>
      <w:r w:rsidRPr="00922FE8">
        <w:rPr>
          <w:b/>
        </w:rPr>
        <w:t>pr</w:t>
      </w:r>
      <w:r>
        <w:rPr>
          <w:b/>
        </w:rPr>
        <w:t xml:space="preserve">oposed that the review be </w:t>
      </w:r>
      <w:r w:rsidR="004B048E">
        <w:rPr>
          <w:b/>
        </w:rPr>
        <w:t xml:space="preserve">jointly </w:t>
      </w:r>
      <w:r>
        <w:rPr>
          <w:b/>
        </w:rPr>
        <w:t xml:space="preserve">conducted by </w:t>
      </w:r>
      <w:r w:rsidR="004B048E">
        <w:rPr>
          <w:b/>
        </w:rPr>
        <w:t xml:space="preserve">the </w:t>
      </w:r>
      <w:r w:rsidR="00E37E7C">
        <w:rPr>
          <w:b/>
        </w:rPr>
        <w:t>DFSV-ICRO</w:t>
      </w:r>
      <w:r w:rsidR="004B048E">
        <w:rPr>
          <w:b/>
        </w:rPr>
        <w:t xml:space="preserve"> and </w:t>
      </w:r>
      <w:r>
        <w:rPr>
          <w:b/>
        </w:rPr>
        <w:t xml:space="preserve">the police </w:t>
      </w:r>
      <w:r w:rsidRPr="00922FE8">
        <w:rPr>
          <w:b/>
        </w:rPr>
        <w:t xml:space="preserve">Training and Assessment Advisory Committee </w:t>
      </w:r>
      <w:r w:rsidR="004B048E">
        <w:rPr>
          <w:b/>
        </w:rPr>
        <w:t>(</w:t>
      </w:r>
      <w:r w:rsidRPr="00922FE8">
        <w:rPr>
          <w:b/>
        </w:rPr>
        <w:t>TAAC)</w:t>
      </w:r>
      <w:r>
        <w:rPr>
          <w:b/>
        </w:rPr>
        <w:t>,</w:t>
      </w:r>
      <w:r w:rsidRPr="00922FE8">
        <w:rPr>
          <w:b/>
        </w:rPr>
        <w:t xml:space="preserve"> and </w:t>
      </w:r>
      <w:r>
        <w:rPr>
          <w:b/>
        </w:rPr>
        <w:t xml:space="preserve">include representation from </w:t>
      </w:r>
      <w:r w:rsidR="004B048E">
        <w:rPr>
          <w:b/>
        </w:rPr>
        <w:t>Police with a high level of DF</w:t>
      </w:r>
      <w:r w:rsidR="0034731E">
        <w:rPr>
          <w:b/>
        </w:rPr>
        <w:t>S</w:t>
      </w:r>
      <w:r w:rsidR="004B048E">
        <w:rPr>
          <w:b/>
        </w:rPr>
        <w:t>V experience and DF</w:t>
      </w:r>
      <w:r w:rsidR="0034731E">
        <w:rPr>
          <w:b/>
        </w:rPr>
        <w:t>S</w:t>
      </w:r>
      <w:r w:rsidR="004B048E">
        <w:rPr>
          <w:b/>
        </w:rPr>
        <w:t xml:space="preserve">V experts </w:t>
      </w:r>
      <w:r>
        <w:rPr>
          <w:b/>
        </w:rPr>
        <w:t>outside of NT P</w:t>
      </w:r>
      <w:r w:rsidRPr="00922FE8">
        <w:rPr>
          <w:b/>
        </w:rPr>
        <w:t>olice.</w:t>
      </w:r>
    </w:p>
    <w:p w14:paraId="7A1F4D76" w14:textId="294D6EC3" w:rsidR="00BF2F1C" w:rsidRPr="00BF2F1C" w:rsidRDefault="00E633CF" w:rsidP="00541BEE">
      <w:pPr>
        <w:pStyle w:val="Heading4"/>
        <w:keepNext/>
        <w:numPr>
          <w:ilvl w:val="0"/>
          <w:numId w:val="0"/>
        </w:numPr>
        <w:spacing w:after="0" w:line="259" w:lineRule="auto"/>
      </w:pPr>
      <w:r>
        <w:t>PROPOSAL SR 13</w:t>
      </w:r>
    </w:p>
    <w:p w14:paraId="134FD6B4" w14:textId="6963E2C2" w:rsidR="00190DB7" w:rsidRDefault="007B7148" w:rsidP="00541BEE">
      <w:pPr>
        <w:keepNext/>
        <w:spacing w:after="0" w:line="259" w:lineRule="auto"/>
        <w:rPr>
          <w:b/>
        </w:rPr>
      </w:pPr>
      <w:r>
        <w:rPr>
          <w:b/>
        </w:rPr>
        <w:t>It is proposed that</w:t>
      </w:r>
      <w:r w:rsidR="00190DB7">
        <w:rPr>
          <w:b/>
        </w:rPr>
        <w:t xml:space="preserve"> NT Police</w:t>
      </w:r>
      <w:r w:rsidR="00D838B3">
        <w:rPr>
          <w:b/>
        </w:rPr>
        <w:t xml:space="preserve">, in collaboration with </w:t>
      </w:r>
      <w:r w:rsidR="00E37E7C">
        <w:rPr>
          <w:b/>
        </w:rPr>
        <w:t>DFSV-ICRO</w:t>
      </w:r>
      <w:r w:rsidR="00D838B3">
        <w:rPr>
          <w:b/>
        </w:rPr>
        <w:t>,</w:t>
      </w:r>
      <w:r w:rsidR="00190DB7">
        <w:rPr>
          <w:b/>
        </w:rPr>
        <w:t xml:space="preserve"> </w:t>
      </w:r>
      <w:r w:rsidR="00AC26F0">
        <w:rPr>
          <w:b/>
        </w:rPr>
        <w:t xml:space="preserve">institute effective practices to assess and manage risk associated with DFV </w:t>
      </w:r>
      <w:r w:rsidR="00C00486">
        <w:rPr>
          <w:b/>
        </w:rPr>
        <w:t>that are aligned with the NT’s Risk Assessment and Management Framework (RAMF), including</w:t>
      </w:r>
      <w:r w:rsidR="00190DB7">
        <w:rPr>
          <w:b/>
        </w:rPr>
        <w:t>:</w:t>
      </w:r>
    </w:p>
    <w:p w14:paraId="47BB3DB1" w14:textId="77777777" w:rsidR="00C00486" w:rsidRDefault="00022896" w:rsidP="0067521E">
      <w:pPr>
        <w:pStyle w:val="ListParagraph"/>
        <w:numPr>
          <w:ilvl w:val="0"/>
          <w:numId w:val="106"/>
        </w:numPr>
        <w:spacing w:after="0" w:line="259" w:lineRule="auto"/>
        <w:ind w:left="567" w:hanging="567"/>
        <w:rPr>
          <w:b/>
        </w:rPr>
      </w:pPr>
      <w:r>
        <w:rPr>
          <w:b/>
        </w:rPr>
        <w:t>At the scene,</w:t>
      </w:r>
    </w:p>
    <w:p w14:paraId="67BB824C" w14:textId="0B17E056" w:rsidR="00C00486" w:rsidRDefault="00C00486" w:rsidP="00F20B43">
      <w:pPr>
        <w:pStyle w:val="ListParagraph"/>
        <w:numPr>
          <w:ilvl w:val="1"/>
          <w:numId w:val="202"/>
        </w:numPr>
        <w:spacing w:after="0" w:line="259" w:lineRule="auto"/>
        <w:rPr>
          <w:b/>
        </w:rPr>
      </w:pPr>
      <w:r>
        <w:rPr>
          <w:b/>
        </w:rPr>
        <w:t>ensure</w:t>
      </w:r>
      <w:r w:rsidR="00A52D89" w:rsidRPr="00022896">
        <w:rPr>
          <w:b/>
        </w:rPr>
        <w:t xml:space="preserve"> the immediate safety of </w:t>
      </w:r>
      <w:r w:rsidR="00022896" w:rsidRPr="00022896">
        <w:rPr>
          <w:b/>
        </w:rPr>
        <w:t xml:space="preserve">alleged </w:t>
      </w:r>
      <w:r w:rsidR="00A52D89" w:rsidRPr="00022896">
        <w:rPr>
          <w:b/>
        </w:rPr>
        <w:t xml:space="preserve">victims, alleged offenders and children, </w:t>
      </w:r>
    </w:p>
    <w:p w14:paraId="5C59AD73" w14:textId="59123F39" w:rsidR="00A52D89" w:rsidRPr="00022896" w:rsidRDefault="00A52D89" w:rsidP="00F20B43">
      <w:pPr>
        <w:pStyle w:val="ListParagraph"/>
        <w:numPr>
          <w:ilvl w:val="1"/>
          <w:numId w:val="202"/>
        </w:numPr>
        <w:spacing w:after="0" w:line="259" w:lineRule="auto"/>
        <w:rPr>
          <w:b/>
        </w:rPr>
      </w:pPr>
      <w:r w:rsidRPr="00022896">
        <w:rPr>
          <w:b/>
        </w:rPr>
        <w:t>ensure that the parties are interviewed separately to accurately identify risk in</w:t>
      </w:r>
      <w:r w:rsidR="00022896" w:rsidRPr="00022896">
        <w:rPr>
          <w:b/>
        </w:rPr>
        <w:t xml:space="preserve"> the context of the relationship</w:t>
      </w:r>
      <w:r w:rsidR="00C00486">
        <w:rPr>
          <w:b/>
        </w:rPr>
        <w:t xml:space="preserve"> overall</w:t>
      </w:r>
      <w:r w:rsidR="00022896" w:rsidRPr="00022896">
        <w:rPr>
          <w:b/>
        </w:rPr>
        <w:t>.</w:t>
      </w:r>
    </w:p>
    <w:p w14:paraId="5A72AD05" w14:textId="76E71188" w:rsidR="000B7C98" w:rsidRDefault="00C00486" w:rsidP="0067521E">
      <w:pPr>
        <w:pStyle w:val="ListParagraph"/>
        <w:numPr>
          <w:ilvl w:val="0"/>
          <w:numId w:val="106"/>
        </w:numPr>
        <w:spacing w:after="0" w:line="259" w:lineRule="auto"/>
        <w:ind w:left="567" w:hanging="567"/>
        <w:rPr>
          <w:b/>
        </w:rPr>
      </w:pPr>
      <w:r>
        <w:rPr>
          <w:b/>
        </w:rPr>
        <w:t xml:space="preserve">Develop a modified CRAT specifically for frontline police to </w:t>
      </w:r>
      <w:r w:rsidR="000B7C98">
        <w:rPr>
          <w:b/>
        </w:rPr>
        <w:t xml:space="preserve">assist them to </w:t>
      </w:r>
      <w:r>
        <w:rPr>
          <w:b/>
        </w:rPr>
        <w:t xml:space="preserve">accurately assess and manage risk of </w:t>
      </w:r>
      <w:r w:rsidR="003646B0">
        <w:rPr>
          <w:b/>
        </w:rPr>
        <w:t xml:space="preserve">harm, or further harm, from </w:t>
      </w:r>
      <w:r>
        <w:rPr>
          <w:b/>
        </w:rPr>
        <w:t xml:space="preserve">DFV </w:t>
      </w:r>
      <w:r w:rsidR="000B7C98">
        <w:rPr>
          <w:b/>
        </w:rPr>
        <w:t>during operational duties</w:t>
      </w:r>
      <w:r>
        <w:rPr>
          <w:b/>
        </w:rPr>
        <w:t xml:space="preserve"> </w:t>
      </w:r>
      <w:r w:rsidR="00A90AE4">
        <w:rPr>
          <w:b/>
        </w:rPr>
        <w:t>that</w:t>
      </w:r>
      <w:r w:rsidR="000B7C98">
        <w:rPr>
          <w:b/>
        </w:rPr>
        <w:t>:</w:t>
      </w:r>
    </w:p>
    <w:p w14:paraId="4AB62B33" w14:textId="27B1F4A0" w:rsidR="000B7C98" w:rsidRDefault="00A90AE4" w:rsidP="00F20B43">
      <w:pPr>
        <w:pStyle w:val="ListParagraph"/>
        <w:numPr>
          <w:ilvl w:val="1"/>
          <w:numId w:val="203"/>
        </w:numPr>
        <w:spacing w:after="0" w:line="259" w:lineRule="auto"/>
        <w:rPr>
          <w:b/>
        </w:rPr>
      </w:pPr>
      <w:r>
        <w:rPr>
          <w:b/>
        </w:rPr>
        <w:t xml:space="preserve">is </w:t>
      </w:r>
      <w:r w:rsidR="00C00486">
        <w:rPr>
          <w:b/>
        </w:rPr>
        <w:t xml:space="preserve">aligned </w:t>
      </w:r>
      <w:r w:rsidR="000B7C98">
        <w:rPr>
          <w:b/>
        </w:rPr>
        <w:t xml:space="preserve">with, and informed by, </w:t>
      </w:r>
      <w:r w:rsidR="00C00486">
        <w:rPr>
          <w:b/>
        </w:rPr>
        <w:t>the RAMF/CRAT,</w:t>
      </w:r>
    </w:p>
    <w:p w14:paraId="0D398620" w14:textId="7EE3BA76" w:rsidR="000B7C98" w:rsidRDefault="000B7C98" w:rsidP="00F20B43">
      <w:pPr>
        <w:pStyle w:val="ListParagraph"/>
        <w:numPr>
          <w:ilvl w:val="1"/>
          <w:numId w:val="203"/>
        </w:numPr>
        <w:spacing w:after="0" w:line="259" w:lineRule="auto"/>
        <w:rPr>
          <w:b/>
        </w:rPr>
      </w:pPr>
      <w:r>
        <w:rPr>
          <w:b/>
        </w:rPr>
        <w:t xml:space="preserve">assists </w:t>
      </w:r>
      <w:r w:rsidR="00A90AE4">
        <w:rPr>
          <w:b/>
        </w:rPr>
        <w:t xml:space="preserve">frontline </w:t>
      </w:r>
      <w:r>
        <w:rPr>
          <w:b/>
        </w:rPr>
        <w:t>police to accurately identify the person most in need of protection,</w:t>
      </w:r>
      <w:r w:rsidR="00C00486">
        <w:rPr>
          <w:b/>
        </w:rPr>
        <w:t xml:space="preserve"> </w:t>
      </w:r>
    </w:p>
    <w:p w14:paraId="07A0E0B8" w14:textId="21EB0968" w:rsidR="000B7C98" w:rsidRDefault="00C00486" w:rsidP="00F20B43">
      <w:pPr>
        <w:pStyle w:val="ListParagraph"/>
        <w:numPr>
          <w:ilvl w:val="1"/>
          <w:numId w:val="203"/>
        </w:numPr>
        <w:spacing w:after="0" w:line="259" w:lineRule="auto"/>
        <w:rPr>
          <w:b/>
        </w:rPr>
      </w:pPr>
      <w:r>
        <w:rPr>
          <w:b/>
        </w:rPr>
        <w:t>meets police requirements and</w:t>
      </w:r>
      <w:r w:rsidR="00AC26F0" w:rsidRPr="00C00486">
        <w:rPr>
          <w:b/>
        </w:rPr>
        <w:t xml:space="preserve"> </w:t>
      </w:r>
      <w:r w:rsidR="000B7C98">
        <w:rPr>
          <w:b/>
        </w:rPr>
        <w:t xml:space="preserve">is compatible with the existing police </w:t>
      </w:r>
      <w:r w:rsidR="00A90AE4">
        <w:rPr>
          <w:b/>
        </w:rPr>
        <w:t xml:space="preserve">IT </w:t>
      </w:r>
      <w:r w:rsidR="000B7C98">
        <w:rPr>
          <w:b/>
        </w:rPr>
        <w:t>system</w:t>
      </w:r>
      <w:r w:rsidR="00A90AE4">
        <w:rPr>
          <w:b/>
        </w:rPr>
        <w:t>s</w:t>
      </w:r>
      <w:r w:rsidR="000B7C98">
        <w:rPr>
          <w:b/>
        </w:rPr>
        <w:t xml:space="preserve"> (Promise/Serpro),</w:t>
      </w:r>
    </w:p>
    <w:p w14:paraId="59BCB3EF" w14:textId="7544B0BD" w:rsidR="000B7C98" w:rsidRDefault="00AC26F0" w:rsidP="00F20B43">
      <w:pPr>
        <w:pStyle w:val="ListParagraph"/>
        <w:numPr>
          <w:ilvl w:val="1"/>
          <w:numId w:val="203"/>
        </w:numPr>
        <w:spacing w:after="0" w:line="259" w:lineRule="auto"/>
        <w:rPr>
          <w:b/>
        </w:rPr>
      </w:pPr>
      <w:r w:rsidRPr="00C00486">
        <w:rPr>
          <w:b/>
        </w:rPr>
        <w:t>minimise</w:t>
      </w:r>
      <w:r w:rsidR="00C00486">
        <w:rPr>
          <w:b/>
        </w:rPr>
        <w:t>s</w:t>
      </w:r>
      <w:r w:rsidRPr="00C00486">
        <w:rPr>
          <w:b/>
        </w:rPr>
        <w:t xml:space="preserve"> administrative burden</w:t>
      </w:r>
      <w:r w:rsidR="000B7C98">
        <w:rPr>
          <w:b/>
        </w:rPr>
        <w:t xml:space="preserve"> for frontline police officers,  </w:t>
      </w:r>
    </w:p>
    <w:p w14:paraId="519E30D4" w14:textId="3570F9D5" w:rsidR="00C00486" w:rsidRPr="000B7C98" w:rsidRDefault="003646B0" w:rsidP="00F20B43">
      <w:pPr>
        <w:pStyle w:val="ListParagraph"/>
        <w:numPr>
          <w:ilvl w:val="1"/>
          <w:numId w:val="203"/>
        </w:numPr>
        <w:spacing w:after="0" w:line="259" w:lineRule="auto"/>
        <w:rPr>
          <w:b/>
        </w:rPr>
      </w:pPr>
      <w:r>
        <w:rPr>
          <w:b/>
        </w:rPr>
        <w:t xml:space="preserve">is </w:t>
      </w:r>
      <w:r w:rsidR="000B7C98">
        <w:rPr>
          <w:b/>
        </w:rPr>
        <w:t>i</w:t>
      </w:r>
      <w:r w:rsidR="00C00486" w:rsidRPr="000B7C98">
        <w:rPr>
          <w:b/>
        </w:rPr>
        <w:t>ncorporate</w:t>
      </w:r>
      <w:r w:rsidR="000B7C98">
        <w:rPr>
          <w:b/>
        </w:rPr>
        <w:t>d</w:t>
      </w:r>
      <w:r w:rsidR="00C00486" w:rsidRPr="000B7C98">
        <w:rPr>
          <w:b/>
        </w:rPr>
        <w:t xml:space="preserve"> into the NT Police Minimal Response </w:t>
      </w:r>
    </w:p>
    <w:p w14:paraId="6F743976" w14:textId="33EB2279" w:rsidR="00C00486" w:rsidRPr="00C00486" w:rsidRDefault="00C00486" w:rsidP="0067521E">
      <w:pPr>
        <w:pStyle w:val="ListParagraph"/>
        <w:numPr>
          <w:ilvl w:val="0"/>
          <w:numId w:val="106"/>
        </w:numPr>
        <w:spacing w:line="259" w:lineRule="auto"/>
        <w:ind w:left="567" w:hanging="567"/>
        <w:rPr>
          <w:b/>
        </w:rPr>
      </w:pPr>
      <w:r>
        <w:rPr>
          <w:b/>
        </w:rPr>
        <w:t>Continue to use the CRAT to identify victims at risk of serious harm for referral to the Family Safety Framework inter-agency response.</w:t>
      </w:r>
    </w:p>
    <w:p w14:paraId="12B501CA" w14:textId="2E7E589C" w:rsidR="00E30572" w:rsidRDefault="00E633CF" w:rsidP="00541BEE">
      <w:pPr>
        <w:pStyle w:val="Heading4"/>
        <w:keepNext/>
        <w:numPr>
          <w:ilvl w:val="0"/>
          <w:numId w:val="0"/>
        </w:numPr>
        <w:spacing w:after="0" w:line="259" w:lineRule="auto"/>
        <w:ind w:left="862" w:hanging="862"/>
      </w:pPr>
      <w:r>
        <w:t>PROPOSAL SR 14</w:t>
      </w:r>
      <w:r w:rsidR="007B7148">
        <w:t xml:space="preserve"> </w:t>
      </w:r>
    </w:p>
    <w:p w14:paraId="12F67E4D" w14:textId="79DDDF4F" w:rsidR="0095673C" w:rsidRDefault="007B7148" w:rsidP="00541BEE">
      <w:pPr>
        <w:spacing w:after="0" w:line="259" w:lineRule="auto"/>
        <w:rPr>
          <w:b/>
        </w:rPr>
      </w:pPr>
      <w:r>
        <w:rPr>
          <w:b/>
        </w:rPr>
        <w:t>It is proposed t</w:t>
      </w:r>
      <w:r w:rsidR="0095673C" w:rsidRPr="00140888">
        <w:rPr>
          <w:b/>
        </w:rPr>
        <w:t xml:space="preserve">hat, in accordance with the </w:t>
      </w:r>
      <w:r w:rsidR="00140888" w:rsidRPr="00140888">
        <w:rPr>
          <w:b/>
        </w:rPr>
        <w:t>proposed legislative amendments</w:t>
      </w:r>
      <w:r w:rsidR="002756AF">
        <w:rPr>
          <w:b/>
        </w:rPr>
        <w:t xml:space="preserve"> (see </w:t>
      </w:r>
      <w:r w:rsidR="00541BEE" w:rsidRPr="00541BEE">
        <w:rPr>
          <w:b/>
        </w:rPr>
        <w:t xml:space="preserve">proposal </w:t>
      </w:r>
      <w:r w:rsidR="002756AF" w:rsidRPr="00541BEE">
        <w:rPr>
          <w:b/>
        </w:rPr>
        <w:t xml:space="preserve">LR 11 </w:t>
      </w:r>
      <w:r w:rsidR="00680B99">
        <w:rPr>
          <w:b/>
        </w:rPr>
        <w:t>above)</w:t>
      </w:r>
      <w:r w:rsidR="00140888" w:rsidRPr="00140888">
        <w:rPr>
          <w:b/>
        </w:rPr>
        <w:t xml:space="preserve">, </w:t>
      </w:r>
      <w:r w:rsidR="0095673C" w:rsidRPr="00140888">
        <w:rPr>
          <w:b/>
        </w:rPr>
        <w:t>the Commissioner of Police require police to provide a certificate to the Court at the first mention in all applications for DVOs, that summarises the defendant’s criminal history and a history of all DVOs that have been in force, in accordance with the le</w:t>
      </w:r>
      <w:r w:rsidR="004B5820">
        <w:rPr>
          <w:b/>
        </w:rPr>
        <w:t>gislative amendment.</w:t>
      </w:r>
    </w:p>
    <w:p w14:paraId="09FA77F9" w14:textId="2ADA0B02" w:rsidR="007B7148" w:rsidRPr="007B7148" w:rsidRDefault="004B5820" w:rsidP="00541BEE">
      <w:pPr>
        <w:spacing w:line="259" w:lineRule="auto"/>
        <w:rPr>
          <w:b/>
        </w:rPr>
      </w:pPr>
      <w:r w:rsidRPr="007B7148">
        <w:rPr>
          <w:b/>
        </w:rPr>
        <w:t xml:space="preserve">It is </w:t>
      </w:r>
      <w:r w:rsidR="007B7148" w:rsidRPr="007B7148">
        <w:rPr>
          <w:b/>
        </w:rPr>
        <w:t xml:space="preserve">further </w:t>
      </w:r>
      <w:r w:rsidRPr="007B7148">
        <w:rPr>
          <w:b/>
        </w:rPr>
        <w:t>proposed that this be an automate</w:t>
      </w:r>
      <w:r w:rsidR="007B6AE6" w:rsidRPr="007B7148">
        <w:rPr>
          <w:b/>
        </w:rPr>
        <w:t>d system in similar terms to the generation of criminal histories to ensure the certificates can be generated efficiently by police with minimal administrative burden. Alternatively the process could mirror to current practice for the production of antecedent reports for courts in criminal matters.</w:t>
      </w:r>
      <w:r w:rsidR="007B7148" w:rsidRPr="007B7148">
        <w:rPr>
          <w:b/>
        </w:rPr>
        <w:t xml:space="preserve"> </w:t>
      </w:r>
    </w:p>
    <w:p w14:paraId="7F79FB93" w14:textId="77777777" w:rsidR="00541BEE" w:rsidRDefault="00541BEE">
      <w:pPr>
        <w:rPr>
          <w:rFonts w:asciiTheme="majorHAnsi" w:eastAsiaTheme="majorEastAsia" w:hAnsiTheme="majorHAnsi" w:cstheme="majorBidi"/>
          <w:bCs/>
          <w:iCs/>
          <w:color w:val="454347"/>
          <w:sz w:val="32"/>
          <w:szCs w:val="32"/>
        </w:rPr>
      </w:pPr>
      <w:r>
        <w:br w:type="page"/>
      </w:r>
    </w:p>
    <w:p w14:paraId="40A97E49" w14:textId="761ADC15" w:rsidR="007B7148" w:rsidRPr="003E5420" w:rsidRDefault="00081B36" w:rsidP="00541BEE">
      <w:pPr>
        <w:pStyle w:val="Heading2"/>
        <w:ind w:left="1134"/>
      </w:pPr>
      <w:bookmarkStart w:id="118" w:name="_Toc112051901"/>
      <w:r>
        <w:lastRenderedPageBreak/>
        <w:t>Police referral to 24-hour specialist referral service</w:t>
      </w:r>
      <w:bookmarkEnd w:id="118"/>
    </w:p>
    <w:p w14:paraId="62DDB637" w14:textId="0E9738B7" w:rsidR="007B7148" w:rsidRDefault="007B7148" w:rsidP="00081B36">
      <w:r>
        <w:t xml:space="preserve">One of the questions that has arisen in this review is how police attending a DFV incident can </w:t>
      </w:r>
      <w:r w:rsidR="00124C56">
        <w:t xml:space="preserve">efficiently, </w:t>
      </w:r>
      <w:r w:rsidR="00BB6947">
        <w:t xml:space="preserve">effectively </w:t>
      </w:r>
      <w:r w:rsidR="00124C56">
        <w:t xml:space="preserve">and promptly </w:t>
      </w:r>
      <w:r>
        <w:t xml:space="preserve">link victim-survivors to </w:t>
      </w:r>
      <w:r w:rsidR="00BB6947">
        <w:t xml:space="preserve">DFV </w:t>
      </w:r>
      <w:r>
        <w:t>services</w:t>
      </w:r>
      <w:r w:rsidR="00D146FA">
        <w:t xml:space="preserve"> with</w:t>
      </w:r>
      <w:r w:rsidR="00BB6947">
        <w:t xml:space="preserve"> minimal administrative bur</w:t>
      </w:r>
      <w:r w:rsidR="00680B99">
        <w:t>den</w:t>
      </w:r>
      <w:r w:rsidR="00BB6947">
        <w:t>.</w:t>
      </w:r>
      <w:r>
        <w:t xml:space="preserve"> </w:t>
      </w:r>
      <w:r w:rsidR="00680B99">
        <w:t>Police members attend many call-outs in each 24 per</w:t>
      </w:r>
      <w:r w:rsidR="00D146FA">
        <w:t>iod, including incidents of DFV. It is the view of both NT Police and DFV services that this referral link can be strengthened.</w:t>
      </w:r>
    </w:p>
    <w:p w14:paraId="6EA43E82" w14:textId="29BF8CE6" w:rsidR="007B7148" w:rsidRDefault="007B7148" w:rsidP="00081B36">
      <w:r>
        <w:t>Currently police refer victim-survivors to DFV serv</w:t>
      </w:r>
      <w:r w:rsidR="00EF3643">
        <w:t>ices via an intermediary IT system</w:t>
      </w:r>
      <w:r w:rsidR="00124C56">
        <w:t xml:space="preserve"> called Support-Link. </w:t>
      </w:r>
      <w:r w:rsidR="00541BEE">
        <w:t xml:space="preserve"> </w:t>
      </w:r>
      <w:r w:rsidR="00124C56">
        <w:t>While Support-Link is a useful tool</w:t>
      </w:r>
      <w:r>
        <w:t>, there are limitations with this model:</w:t>
      </w:r>
    </w:p>
    <w:p w14:paraId="2DFEFBF6" w14:textId="77777777" w:rsidR="007B7148" w:rsidRDefault="007B7148" w:rsidP="0067521E">
      <w:pPr>
        <w:pStyle w:val="ListParagraph"/>
        <w:numPr>
          <w:ilvl w:val="0"/>
          <w:numId w:val="147"/>
        </w:numPr>
        <w:tabs>
          <w:tab w:val="left" w:pos="567"/>
        </w:tabs>
        <w:ind w:left="567" w:hanging="567"/>
      </w:pPr>
      <w:r>
        <w:t xml:space="preserve">It relies on the victim-survivor consenting to police passing on their information to services. Some victim-survivors are reluctant to provide consent to police. </w:t>
      </w:r>
    </w:p>
    <w:p w14:paraId="6F2FFC16" w14:textId="77777777" w:rsidR="0034731E" w:rsidRDefault="007B7148" w:rsidP="0067521E">
      <w:pPr>
        <w:pStyle w:val="ListParagraph"/>
        <w:numPr>
          <w:ilvl w:val="0"/>
          <w:numId w:val="147"/>
        </w:numPr>
        <w:tabs>
          <w:tab w:val="left" w:pos="567"/>
        </w:tabs>
        <w:ind w:left="567" w:hanging="567"/>
      </w:pPr>
      <w:r>
        <w:t xml:space="preserve">Police sometimes don’t seek the victim-survivor’s consent, and there is a missed opportunity for timely support for that victim-survivor. </w:t>
      </w:r>
    </w:p>
    <w:p w14:paraId="2A14D43A" w14:textId="2AB811A1" w:rsidR="007B7148" w:rsidRDefault="007B7148" w:rsidP="0067521E">
      <w:pPr>
        <w:pStyle w:val="ListParagraph"/>
        <w:numPr>
          <w:ilvl w:val="0"/>
          <w:numId w:val="147"/>
        </w:numPr>
        <w:tabs>
          <w:tab w:val="left" w:pos="567"/>
        </w:tabs>
        <w:ind w:left="567" w:hanging="567"/>
      </w:pPr>
      <w:r>
        <w:t xml:space="preserve">Sometimes police misidentify the person most in need of protection or misjudge the level of risk. </w:t>
      </w:r>
    </w:p>
    <w:p w14:paraId="7C1E6FF6" w14:textId="75268C56" w:rsidR="007B7148" w:rsidRDefault="00C03EF3" w:rsidP="0067521E">
      <w:pPr>
        <w:pStyle w:val="ListParagraph"/>
        <w:numPr>
          <w:ilvl w:val="0"/>
          <w:numId w:val="147"/>
        </w:numPr>
        <w:tabs>
          <w:tab w:val="left" w:pos="567"/>
        </w:tabs>
        <w:ind w:left="567" w:hanging="567"/>
      </w:pPr>
      <w:r>
        <w:t>Support-</w:t>
      </w:r>
      <w:r w:rsidR="007B7148">
        <w:t xml:space="preserve">Link is automated so </w:t>
      </w:r>
      <w:r w:rsidR="00EF3643">
        <w:t xml:space="preserve">there is </w:t>
      </w:r>
      <w:r w:rsidR="00E90AEF">
        <w:t xml:space="preserve">very </w:t>
      </w:r>
      <w:r w:rsidR="00FE72BE" w:rsidRPr="00E90AEF">
        <w:t>limited</w:t>
      </w:r>
      <w:r w:rsidR="007B7148">
        <w:t xml:space="preserve"> DFV expert</w:t>
      </w:r>
      <w:r w:rsidR="00FE72BE">
        <w:t>ise available after hours</w:t>
      </w:r>
      <w:r w:rsidR="007B7148">
        <w:t xml:space="preserve"> for police or victim-s</w:t>
      </w:r>
      <w:r w:rsidR="00FE72BE">
        <w:t>urvivors to talk to.</w:t>
      </w:r>
    </w:p>
    <w:p w14:paraId="36BA27BB" w14:textId="1C94C14A" w:rsidR="007B7148" w:rsidRDefault="00C03EF3" w:rsidP="0067521E">
      <w:pPr>
        <w:pStyle w:val="ListParagraph"/>
        <w:numPr>
          <w:ilvl w:val="0"/>
          <w:numId w:val="147"/>
        </w:numPr>
        <w:tabs>
          <w:tab w:val="left" w:pos="567"/>
        </w:tabs>
        <w:ind w:left="567" w:hanging="567"/>
      </w:pPr>
      <w:r>
        <w:t>Sometimes Support-</w:t>
      </w:r>
      <w:r w:rsidR="007B7148">
        <w:t>Link referrals contain inadequate information, which impedes follow up by services.</w:t>
      </w:r>
    </w:p>
    <w:p w14:paraId="23FDF99F" w14:textId="18779B2E" w:rsidR="006B429C" w:rsidRDefault="00205E74" w:rsidP="00081B36">
      <w:r>
        <w:t xml:space="preserve">It is proposed to provide a legislative </w:t>
      </w:r>
      <w:r w:rsidR="00081B36">
        <w:t xml:space="preserve">power and </w:t>
      </w:r>
      <w:r w:rsidR="00E90AEF">
        <w:t>requirement for police to</w:t>
      </w:r>
      <w:r w:rsidR="00CD116A">
        <w:t xml:space="preserve"> </w:t>
      </w:r>
      <w:r>
        <w:t xml:space="preserve">refer </w:t>
      </w:r>
      <w:r w:rsidR="00C03EF3">
        <w:t xml:space="preserve">the </w:t>
      </w:r>
      <w:r>
        <w:t>alleged victim-survivor</w:t>
      </w:r>
      <w:r w:rsidR="00081B36">
        <w:t xml:space="preserve"> to a</w:t>
      </w:r>
      <w:r>
        <w:t xml:space="preserve"> </w:t>
      </w:r>
      <w:r w:rsidR="00C03EF3">
        <w:t>24-</w:t>
      </w:r>
      <w:r>
        <w:t xml:space="preserve">hour </w:t>
      </w:r>
      <w:r w:rsidR="00C03EF3">
        <w:t>Specialist DFV R</w:t>
      </w:r>
      <w:r>
        <w:t xml:space="preserve">eferral </w:t>
      </w:r>
      <w:r w:rsidR="00C03EF3">
        <w:t>S</w:t>
      </w:r>
      <w:r>
        <w:t>ervice</w:t>
      </w:r>
      <w:r w:rsidR="00D10A49">
        <w:t xml:space="preserve"> to create a more seamless experience for victim-survivors</w:t>
      </w:r>
      <w:r w:rsidR="00081B36">
        <w:t xml:space="preserve"> in obtaining help, support and safety planning</w:t>
      </w:r>
      <w:r w:rsidR="00D10A49">
        <w:t xml:space="preserve">.  A fully funded and resourced </w:t>
      </w:r>
      <w:r w:rsidR="00A7336C">
        <w:t>Specialist DFV Referral S</w:t>
      </w:r>
      <w:r w:rsidR="006B429C">
        <w:t>ervice would need to be established</w:t>
      </w:r>
      <w:r w:rsidR="00D10A49">
        <w:t xml:space="preserve"> for this purpose</w:t>
      </w:r>
      <w:r w:rsidR="00081B36">
        <w:t xml:space="preserve"> and would fill a significant</w:t>
      </w:r>
      <w:r w:rsidR="006B429C">
        <w:t xml:space="preserve"> gap in the c</w:t>
      </w:r>
      <w:r w:rsidR="00081B36">
        <w:t>urrent DFV service mix in the NT</w:t>
      </w:r>
      <w:r w:rsidR="00D10A49">
        <w:t xml:space="preserve">.  </w:t>
      </w:r>
    </w:p>
    <w:p w14:paraId="54198F82" w14:textId="77777777" w:rsidR="00081B36" w:rsidRDefault="006B429C" w:rsidP="00081B36">
      <w:r>
        <w:t>Other juri</w:t>
      </w:r>
      <w:r w:rsidR="002D08DE">
        <w:t xml:space="preserve">sdictions have a service </w:t>
      </w:r>
      <w:r>
        <w:t xml:space="preserve">of this kind, although the model differs from jurisdiction to jurisdiction.  The Safer Pathways Model in NSW provides a model which could be considered. </w:t>
      </w:r>
      <w:r>
        <w:rPr>
          <w:rStyle w:val="FootnoteReference"/>
        </w:rPr>
        <w:footnoteReference w:id="224"/>
      </w:r>
      <w:r>
        <w:t xml:space="preserve"> The Safe Steps Family Violence Response Centre</w:t>
      </w:r>
      <w:r>
        <w:rPr>
          <w:rStyle w:val="FootnoteReference"/>
        </w:rPr>
        <w:footnoteReference w:id="225"/>
      </w:r>
      <w:r>
        <w:t xml:space="preserve"> and Orange Door model</w:t>
      </w:r>
      <w:r>
        <w:rPr>
          <w:rStyle w:val="FootnoteReference"/>
        </w:rPr>
        <w:footnoteReference w:id="226"/>
      </w:r>
      <w:r>
        <w:t xml:space="preserve"> in Victoria are also helpful models to consider.  </w:t>
      </w:r>
    </w:p>
    <w:p w14:paraId="3E34CBDD" w14:textId="6D327935" w:rsidR="006B429C" w:rsidRDefault="00081B36" w:rsidP="00081B36">
      <w:r>
        <w:t xml:space="preserve">The establishment of a 24 hour referral service in the NT would </w:t>
      </w:r>
      <w:r w:rsidR="00C2083D">
        <w:t>require consideration of the unique service delivery environment in the NT.  In particular, Government would need to consider how</w:t>
      </w:r>
      <w:r>
        <w:t xml:space="preserve"> </w:t>
      </w:r>
      <w:r w:rsidR="002D08DE">
        <w:t xml:space="preserve">the Specialist DFV Referral Service would operate across the regions of the NT and how it would provide effective services in both urban and remote </w:t>
      </w:r>
      <w:r w:rsidR="00C2083D">
        <w:t xml:space="preserve">community </w:t>
      </w:r>
      <w:r w:rsidR="002D08DE">
        <w:t>settings.</w:t>
      </w:r>
      <w:r w:rsidR="00C2083D">
        <w:t xml:space="preserve"> It is likely that the service would predominantly be offered over the telephone and internet.</w:t>
      </w:r>
    </w:p>
    <w:p w14:paraId="2731B06B" w14:textId="0EF36D61" w:rsidR="007B7148" w:rsidRDefault="007B7148" w:rsidP="00541BEE">
      <w:pPr>
        <w:spacing w:after="120"/>
      </w:pPr>
      <w:r>
        <w:t xml:space="preserve">This model </w:t>
      </w:r>
      <w:r w:rsidR="00D10A49">
        <w:t>c</w:t>
      </w:r>
      <w:r>
        <w:t>ould include:</w:t>
      </w:r>
    </w:p>
    <w:p w14:paraId="3849BE8E" w14:textId="22845B44" w:rsidR="007B7148" w:rsidRDefault="007B7148" w:rsidP="0067521E">
      <w:pPr>
        <w:pStyle w:val="ListParagraph"/>
        <w:numPr>
          <w:ilvl w:val="0"/>
          <w:numId w:val="148"/>
        </w:numPr>
        <w:ind w:left="567" w:hanging="567"/>
      </w:pPr>
      <w:r>
        <w:t>The creati</w:t>
      </w:r>
      <w:r w:rsidR="006B429C">
        <w:t>on of a Specialist DFV Referral S</w:t>
      </w:r>
      <w:r>
        <w:t>ervice, staffed by specialists</w:t>
      </w:r>
      <w:r w:rsidR="006B429C">
        <w:t xml:space="preserve"> with expertise on DFV</w:t>
      </w:r>
      <w:r w:rsidR="00C2083D">
        <w:t xml:space="preserve"> and operating 24 hours a day, 7 days a week</w:t>
      </w:r>
      <w:r>
        <w:t xml:space="preserve">.  </w:t>
      </w:r>
    </w:p>
    <w:p w14:paraId="00202495" w14:textId="42140DBE" w:rsidR="007B7148" w:rsidRDefault="007B7148" w:rsidP="0067521E">
      <w:pPr>
        <w:pStyle w:val="ListParagraph"/>
        <w:numPr>
          <w:ilvl w:val="0"/>
          <w:numId w:val="148"/>
        </w:numPr>
        <w:ind w:left="567" w:hanging="567"/>
      </w:pPr>
      <w:r>
        <w:t>Amending Chap</w:t>
      </w:r>
      <w:r w:rsidR="006B429C">
        <w:t xml:space="preserve">ter 5A </w:t>
      </w:r>
      <w:r w:rsidR="0034731E">
        <w:t xml:space="preserve">of the DFVA </w:t>
      </w:r>
      <w:r w:rsidR="006B429C">
        <w:t xml:space="preserve">to provide for </w:t>
      </w:r>
      <w:r>
        <w:t xml:space="preserve">mandatory referral by police to the </w:t>
      </w:r>
      <w:r w:rsidR="006B429C">
        <w:t xml:space="preserve">Specialist DFV Referral Service </w:t>
      </w:r>
      <w:r>
        <w:t>for all DFV incidents</w:t>
      </w:r>
      <w:r w:rsidR="00E369D2">
        <w:t xml:space="preserve"> attended by police</w:t>
      </w:r>
      <w:r w:rsidR="0034731E">
        <w:t xml:space="preserve"> (see </w:t>
      </w:r>
      <w:r w:rsidR="00541BEE">
        <w:t xml:space="preserve">proposal </w:t>
      </w:r>
      <w:r w:rsidR="0034731E" w:rsidRPr="00541BEE">
        <w:t>LR 40)</w:t>
      </w:r>
      <w:r w:rsidRPr="00541BEE">
        <w:t>.</w:t>
      </w:r>
    </w:p>
    <w:p w14:paraId="6C28172E" w14:textId="77777777" w:rsidR="007B7148" w:rsidRDefault="007B7148" w:rsidP="0067521E">
      <w:pPr>
        <w:pStyle w:val="ListParagraph"/>
        <w:numPr>
          <w:ilvl w:val="0"/>
          <w:numId w:val="148"/>
        </w:numPr>
        <w:ind w:left="567" w:hanging="567"/>
      </w:pPr>
      <w:r>
        <w:t>Police will be required by legislation to inform victim-survivors about this mandatory referral requirement along the following lines:</w:t>
      </w:r>
    </w:p>
    <w:p w14:paraId="590E429C" w14:textId="77777777" w:rsidR="007B7148" w:rsidRPr="00C2083D" w:rsidRDefault="007B7148" w:rsidP="00541BEE">
      <w:pPr>
        <w:ind w:left="567"/>
        <w:rPr>
          <w:i/>
        </w:rPr>
      </w:pPr>
      <w:r w:rsidRPr="00C2083D">
        <w:rPr>
          <w:i/>
        </w:rPr>
        <w:t xml:space="preserve">DFV is a serious issue, and no one deserves to have violence used against them. The police are required by law to refer you to the DFV referral service so you can get assistance. You don’t have to </w:t>
      </w:r>
      <w:r w:rsidRPr="00C2083D">
        <w:rPr>
          <w:i/>
        </w:rPr>
        <w:lastRenderedPageBreak/>
        <w:t xml:space="preserve">talk to that service if you don’t want to but I am required to give them your details and they will contact you in the next two days to offer you assistance.  </w:t>
      </w:r>
    </w:p>
    <w:p w14:paraId="131E4F7D" w14:textId="2A4E92E2" w:rsidR="007B7148" w:rsidRDefault="007B7148" w:rsidP="0067521E">
      <w:pPr>
        <w:pStyle w:val="ListParagraph"/>
        <w:numPr>
          <w:ilvl w:val="0"/>
          <w:numId w:val="148"/>
        </w:numPr>
        <w:ind w:left="567" w:hanging="567"/>
      </w:pPr>
      <w:r>
        <w:t>Police can put the victim-survivor on the phone to the service</w:t>
      </w:r>
      <w:r w:rsidR="00C2083D">
        <w:t xml:space="preserve"> at the incident if that is considered helpful at the time</w:t>
      </w:r>
      <w:r>
        <w:t>.</w:t>
      </w:r>
    </w:p>
    <w:p w14:paraId="0CDC28B5" w14:textId="29D61904" w:rsidR="007B7148" w:rsidRDefault="006B429C" w:rsidP="0067521E">
      <w:pPr>
        <w:pStyle w:val="ListParagraph"/>
        <w:numPr>
          <w:ilvl w:val="0"/>
          <w:numId w:val="148"/>
        </w:numPr>
        <w:ind w:left="567" w:hanging="567"/>
      </w:pPr>
      <w:r>
        <w:t>The Specialist DFV Referral Service</w:t>
      </w:r>
      <w:r w:rsidR="007B7148">
        <w:t xml:space="preserve"> would have the capacity to provide secondary consultation to police on the job about DFV matters. It is envisaged that po</w:t>
      </w:r>
      <w:r>
        <w:t>lice and the Specialist DFV Referral Service</w:t>
      </w:r>
      <w:r w:rsidR="007B7148">
        <w:t xml:space="preserve"> will work closely together and have a good rapport.</w:t>
      </w:r>
    </w:p>
    <w:p w14:paraId="69FE3899" w14:textId="77777777" w:rsidR="00C2083D" w:rsidRDefault="006B429C" w:rsidP="0067521E">
      <w:pPr>
        <w:pStyle w:val="ListParagraph"/>
        <w:numPr>
          <w:ilvl w:val="0"/>
          <w:numId w:val="148"/>
        </w:numPr>
        <w:ind w:left="567" w:hanging="567"/>
      </w:pPr>
      <w:r>
        <w:t>The Specialist DFV Referral Service</w:t>
      </w:r>
      <w:r w:rsidR="00754CC0">
        <w:t xml:space="preserve"> will have strong relationships with existing DFV specialist services in Darwin, Alice Springs, Katherine and Tennant Creek and safe houses in NT commu</w:t>
      </w:r>
      <w:r w:rsidR="00C2083D">
        <w:t>nities</w:t>
      </w:r>
    </w:p>
    <w:p w14:paraId="05F14E00" w14:textId="19DF5F66" w:rsidR="00754CC0" w:rsidRDefault="00CD116A" w:rsidP="0067521E">
      <w:pPr>
        <w:pStyle w:val="ListParagraph"/>
        <w:numPr>
          <w:ilvl w:val="0"/>
          <w:numId w:val="148"/>
        </w:numPr>
        <w:ind w:left="567" w:hanging="567"/>
      </w:pPr>
      <w:r>
        <w:t>It will also accept voluntary referrals from a range of services</w:t>
      </w:r>
      <w:r w:rsidR="00C2083D">
        <w:t xml:space="preserve"> as well as police referrals</w:t>
      </w:r>
      <w:r>
        <w:t>.</w:t>
      </w:r>
    </w:p>
    <w:p w14:paraId="5E146327" w14:textId="5F681D63" w:rsidR="007B7148" w:rsidRDefault="007B7148" w:rsidP="0067521E">
      <w:pPr>
        <w:pStyle w:val="ListParagraph"/>
        <w:numPr>
          <w:ilvl w:val="0"/>
          <w:numId w:val="148"/>
        </w:numPr>
        <w:ind w:left="567" w:hanging="567"/>
      </w:pPr>
      <w:r>
        <w:t>The model will link nationally wit</w:t>
      </w:r>
      <w:r w:rsidR="006B429C">
        <w:t>h 1800 Respect.</w:t>
      </w:r>
    </w:p>
    <w:p w14:paraId="3A44541E" w14:textId="71AB2ADA" w:rsidR="00E30572" w:rsidRDefault="00F5413D" w:rsidP="00541BEE">
      <w:pPr>
        <w:pStyle w:val="Heading4"/>
        <w:keepNext/>
        <w:numPr>
          <w:ilvl w:val="0"/>
          <w:numId w:val="0"/>
        </w:numPr>
        <w:spacing w:after="0" w:line="259" w:lineRule="auto"/>
        <w:ind w:left="862" w:hanging="862"/>
      </w:pPr>
      <w:r>
        <w:t>PROPOSAL SR 15</w:t>
      </w:r>
    </w:p>
    <w:p w14:paraId="16F29C76" w14:textId="2FDFBF89" w:rsidR="00D10A49" w:rsidRDefault="000E4AA2" w:rsidP="00541BEE">
      <w:pPr>
        <w:spacing w:line="259" w:lineRule="auto"/>
        <w:rPr>
          <w:b/>
        </w:rPr>
      </w:pPr>
      <w:r>
        <w:rPr>
          <w:b/>
        </w:rPr>
        <w:t>It is proposed that</w:t>
      </w:r>
      <w:r w:rsidR="00CE1BC1" w:rsidRPr="000E4AA2">
        <w:rPr>
          <w:b/>
        </w:rPr>
        <w:t xml:space="preserve"> the </w:t>
      </w:r>
      <w:r w:rsidR="00E37E7C">
        <w:rPr>
          <w:b/>
        </w:rPr>
        <w:t>DFSV-ICRO</w:t>
      </w:r>
      <w:r w:rsidR="00CE1BC1" w:rsidRPr="000E4AA2">
        <w:rPr>
          <w:b/>
        </w:rPr>
        <w:t xml:space="preserve"> reform agenda include </w:t>
      </w:r>
      <w:r w:rsidR="009C4DE4" w:rsidRPr="000E4AA2">
        <w:rPr>
          <w:b/>
        </w:rPr>
        <w:t xml:space="preserve">consideration of </w:t>
      </w:r>
      <w:r w:rsidR="00F338BF">
        <w:rPr>
          <w:b/>
        </w:rPr>
        <w:t>funding for TFHC to establish a 24 H</w:t>
      </w:r>
      <w:r w:rsidR="00CE1BC1" w:rsidRPr="000E4AA2">
        <w:rPr>
          <w:b/>
        </w:rPr>
        <w:t xml:space="preserve">our DFV Specialist Referral Service and </w:t>
      </w:r>
      <w:r>
        <w:rPr>
          <w:b/>
        </w:rPr>
        <w:t xml:space="preserve">that </w:t>
      </w:r>
      <w:r w:rsidR="00C9128F">
        <w:rPr>
          <w:b/>
        </w:rPr>
        <w:t xml:space="preserve">TFHC and NTPFES via the </w:t>
      </w:r>
      <w:r w:rsidR="00E37E7C">
        <w:rPr>
          <w:b/>
        </w:rPr>
        <w:t>DFSV-ICRO</w:t>
      </w:r>
      <w:r>
        <w:rPr>
          <w:b/>
        </w:rPr>
        <w:t xml:space="preserve"> develop an appropriate service model so the service operates effectively across all the regions of the NT and in urban and remote </w:t>
      </w:r>
      <w:r w:rsidR="002D08DE">
        <w:rPr>
          <w:b/>
        </w:rPr>
        <w:t xml:space="preserve">community </w:t>
      </w:r>
      <w:r>
        <w:rPr>
          <w:b/>
        </w:rPr>
        <w:t xml:space="preserve">settings. </w:t>
      </w:r>
    </w:p>
    <w:p w14:paraId="3EA390AA" w14:textId="108D12B8" w:rsidR="00F5413D" w:rsidRPr="0064701D" w:rsidRDefault="0096423E" w:rsidP="000E4AA2">
      <w:r>
        <w:t xml:space="preserve">As outlined in </w:t>
      </w:r>
      <w:r w:rsidR="00541BEE" w:rsidRPr="0034731E">
        <w:t xml:space="preserve">proposal </w:t>
      </w:r>
      <w:r w:rsidRPr="00541BEE">
        <w:t>LR 40</w:t>
      </w:r>
      <w:r>
        <w:t xml:space="preserve"> i</w:t>
      </w:r>
      <w:r w:rsidR="00F5413D" w:rsidRPr="00F5413D">
        <w:t>t is proposed to amend Chapter 5A of the DFVA to require police to refer alleged victims of DFV to a 24 Hour Specialist DFSV Referral Service.  It is proposed that police have the power to refer victim-survivors automatically without the victim-survivors consent but police will be required to explain the reason for the mandatory referral to the victim-survivor</w:t>
      </w:r>
      <w:r>
        <w:t xml:space="preserve"> (see the proposed explanation</w:t>
      </w:r>
      <w:r w:rsidR="00F5413D" w:rsidRPr="00F5413D">
        <w:t xml:space="preserve"> above)</w:t>
      </w:r>
      <w:r>
        <w:t>.</w:t>
      </w:r>
    </w:p>
    <w:p w14:paraId="1917942D" w14:textId="17EBA2BC" w:rsidR="0095673C" w:rsidRDefault="004731B3" w:rsidP="00541BEE">
      <w:pPr>
        <w:pStyle w:val="Heading2"/>
        <w:ind w:left="1134"/>
        <w:rPr>
          <w:lang w:eastAsia="en-AU"/>
        </w:rPr>
      </w:pPr>
      <w:bookmarkStart w:id="119" w:name="_Toc112051902"/>
      <w:r>
        <w:rPr>
          <w:lang w:eastAsia="en-AU"/>
        </w:rPr>
        <w:t>Improved p</w:t>
      </w:r>
      <w:r w:rsidR="0095673C" w:rsidRPr="000A0EF3">
        <w:rPr>
          <w:lang w:eastAsia="en-AU"/>
        </w:rPr>
        <w:t>rosecution of DFV offences</w:t>
      </w:r>
      <w:bookmarkEnd w:id="119"/>
    </w:p>
    <w:p w14:paraId="6500E0B2" w14:textId="739CA98C" w:rsidR="00F87055" w:rsidRDefault="0026370B" w:rsidP="00A722A4">
      <w:pPr>
        <w:rPr>
          <w:lang w:eastAsia="en-AU"/>
        </w:rPr>
      </w:pPr>
      <w:r w:rsidRPr="0026370B">
        <w:rPr>
          <w:lang w:eastAsia="en-AU"/>
        </w:rPr>
        <w:t xml:space="preserve">The </w:t>
      </w:r>
      <w:r>
        <w:rPr>
          <w:lang w:eastAsia="en-AU"/>
        </w:rPr>
        <w:t>Director of Public Prosecutions (DPP) prosecutes criminal matters in the NT, including DFV matters.</w:t>
      </w:r>
    </w:p>
    <w:p w14:paraId="320386B8" w14:textId="27F8FE91" w:rsidR="0026370B" w:rsidRDefault="0026370B" w:rsidP="00A722A4">
      <w:pPr>
        <w:rPr>
          <w:lang w:eastAsia="en-AU"/>
        </w:rPr>
      </w:pPr>
      <w:r>
        <w:rPr>
          <w:lang w:eastAsia="en-AU"/>
        </w:rPr>
        <w:t xml:space="preserve">Under section 25 of the </w:t>
      </w:r>
      <w:r w:rsidRPr="0026370B">
        <w:rPr>
          <w:i/>
          <w:lang w:eastAsia="en-AU"/>
        </w:rPr>
        <w:t>Director of Public Prosecutions Act (1990)</w:t>
      </w:r>
      <w:r>
        <w:rPr>
          <w:lang w:eastAsia="en-AU"/>
        </w:rPr>
        <w:t xml:space="preserve"> the DPP may issue guidelines intended to be followed in the performance of the Director’s functions.</w:t>
      </w:r>
    </w:p>
    <w:p w14:paraId="164ABA39" w14:textId="5F9EBCF3" w:rsidR="0026370B" w:rsidRDefault="0026370B" w:rsidP="00A722A4">
      <w:pPr>
        <w:rPr>
          <w:lang w:eastAsia="en-AU"/>
        </w:rPr>
      </w:pPr>
      <w:r>
        <w:rPr>
          <w:lang w:eastAsia="en-AU"/>
        </w:rPr>
        <w:t xml:space="preserve">The current guidelines consider a number of matters relevant to improving responses to DFV. </w:t>
      </w:r>
    </w:p>
    <w:p w14:paraId="67C397D5" w14:textId="2D4DBEEF" w:rsidR="0026370B" w:rsidRDefault="0026370B" w:rsidP="00A722A4">
      <w:pPr>
        <w:rPr>
          <w:lang w:eastAsia="en-AU"/>
        </w:rPr>
      </w:pPr>
      <w:r>
        <w:rPr>
          <w:lang w:eastAsia="en-AU"/>
        </w:rPr>
        <w:t>The gu</w:t>
      </w:r>
      <w:r w:rsidR="007E1997">
        <w:rPr>
          <w:lang w:eastAsia="en-AU"/>
        </w:rPr>
        <w:t>idelines cover the role and function</w:t>
      </w:r>
      <w:r>
        <w:rPr>
          <w:lang w:eastAsia="en-AU"/>
        </w:rPr>
        <w:t xml:space="preserve"> of the Witness Assistance Service to provide support to witnesses, victims and their families in the criminal justice process.</w:t>
      </w:r>
    </w:p>
    <w:p w14:paraId="2A302B57" w14:textId="09A5D1DF" w:rsidR="0026370B" w:rsidRDefault="007E1997" w:rsidP="00541BEE">
      <w:pPr>
        <w:spacing w:after="120"/>
        <w:rPr>
          <w:lang w:eastAsia="en-AU"/>
        </w:rPr>
      </w:pPr>
      <w:r>
        <w:rPr>
          <w:lang w:eastAsia="en-AU"/>
        </w:rPr>
        <w:t>Section 21 of the guideline</w:t>
      </w:r>
      <w:r w:rsidR="00541BEE">
        <w:rPr>
          <w:lang w:eastAsia="en-AU"/>
        </w:rPr>
        <w:t>s</w:t>
      </w:r>
      <w:r>
        <w:rPr>
          <w:lang w:eastAsia="en-AU"/>
        </w:rPr>
        <w:t xml:space="preserve"> relates to domestic violence</w:t>
      </w:r>
      <w:r w:rsidR="00436FED">
        <w:rPr>
          <w:lang w:eastAsia="en-AU"/>
        </w:rPr>
        <w:t xml:space="preserve"> and includes:</w:t>
      </w:r>
    </w:p>
    <w:p w14:paraId="0F9C9DE8" w14:textId="476B2EF7" w:rsidR="00436FED" w:rsidRDefault="00436FED" w:rsidP="0067521E">
      <w:pPr>
        <w:pStyle w:val="ListParagraph"/>
        <w:numPr>
          <w:ilvl w:val="0"/>
          <w:numId w:val="110"/>
        </w:numPr>
        <w:ind w:left="567" w:hanging="567"/>
        <w:rPr>
          <w:lang w:eastAsia="en-AU"/>
        </w:rPr>
      </w:pPr>
      <w:r>
        <w:rPr>
          <w:lang w:eastAsia="en-AU"/>
        </w:rPr>
        <w:t>The need to provide special attention to the prosecution of DFV-related offences because of the vulnerability of vic</w:t>
      </w:r>
      <w:r w:rsidR="0034731E">
        <w:rPr>
          <w:lang w:eastAsia="en-AU"/>
        </w:rPr>
        <w:t>tims to pressure not to proceed</w:t>
      </w:r>
      <w:r w:rsidR="00541BEE">
        <w:rPr>
          <w:lang w:eastAsia="en-AU"/>
        </w:rPr>
        <w:t>.</w:t>
      </w:r>
    </w:p>
    <w:p w14:paraId="50FE6BA6" w14:textId="7E1940D9" w:rsidR="00436FED" w:rsidRDefault="00436FED" w:rsidP="0067521E">
      <w:pPr>
        <w:pStyle w:val="ListParagraph"/>
        <w:numPr>
          <w:ilvl w:val="0"/>
          <w:numId w:val="110"/>
        </w:numPr>
        <w:ind w:left="567" w:hanging="567"/>
        <w:rPr>
          <w:lang w:eastAsia="en-AU"/>
        </w:rPr>
      </w:pPr>
      <w:r>
        <w:rPr>
          <w:lang w:eastAsia="en-AU"/>
        </w:rPr>
        <w:t xml:space="preserve">Because the offending behaviour is often ongoing victim safety is the paramount objective, and prosecutions may need to proceed without the </w:t>
      </w:r>
      <w:r w:rsidR="0034731E">
        <w:rPr>
          <w:lang w:eastAsia="en-AU"/>
        </w:rPr>
        <w:t>evidence of an unwilling victim</w:t>
      </w:r>
      <w:r w:rsidR="00541BEE">
        <w:rPr>
          <w:lang w:eastAsia="en-AU"/>
        </w:rPr>
        <w:t>.</w:t>
      </w:r>
    </w:p>
    <w:p w14:paraId="467EC8CC" w14:textId="667806FC" w:rsidR="00436FED" w:rsidRDefault="00436FED" w:rsidP="0067521E">
      <w:pPr>
        <w:pStyle w:val="ListParagraph"/>
        <w:numPr>
          <w:ilvl w:val="0"/>
          <w:numId w:val="110"/>
        </w:numPr>
        <w:ind w:left="567" w:hanging="567"/>
        <w:rPr>
          <w:lang w:eastAsia="en-AU"/>
        </w:rPr>
      </w:pPr>
      <w:r>
        <w:rPr>
          <w:lang w:eastAsia="en-AU"/>
        </w:rPr>
        <w:t>The need to ensure delays are minimised because they advantage an offen</w:t>
      </w:r>
      <w:r w:rsidR="0034731E">
        <w:rPr>
          <w:lang w:eastAsia="en-AU"/>
        </w:rPr>
        <w:t>der and disadvantage the victim</w:t>
      </w:r>
      <w:r w:rsidR="00541BEE">
        <w:rPr>
          <w:lang w:eastAsia="en-AU"/>
        </w:rPr>
        <w:t>.</w:t>
      </w:r>
    </w:p>
    <w:p w14:paraId="34684EBD" w14:textId="438C1A8F" w:rsidR="00436FED" w:rsidRDefault="00436FED" w:rsidP="0067521E">
      <w:pPr>
        <w:pStyle w:val="ListParagraph"/>
        <w:numPr>
          <w:ilvl w:val="0"/>
          <w:numId w:val="110"/>
        </w:numPr>
        <w:ind w:left="567" w:hanging="567"/>
        <w:rPr>
          <w:lang w:eastAsia="en-AU"/>
        </w:rPr>
      </w:pPr>
      <w:r>
        <w:rPr>
          <w:lang w:eastAsia="en-AU"/>
        </w:rPr>
        <w:t>Support from the Witness Assistance Service from the commencement of the prosecution is practical and effecti</w:t>
      </w:r>
      <w:r w:rsidR="0034731E">
        <w:rPr>
          <w:lang w:eastAsia="en-AU"/>
        </w:rPr>
        <w:t>ve strategy to support a victim</w:t>
      </w:r>
      <w:r w:rsidR="00541BEE">
        <w:rPr>
          <w:lang w:eastAsia="en-AU"/>
        </w:rPr>
        <w:t>.</w:t>
      </w:r>
    </w:p>
    <w:p w14:paraId="70CC89D8" w14:textId="63060C9A" w:rsidR="00436FED" w:rsidRDefault="00436FED" w:rsidP="0067521E">
      <w:pPr>
        <w:pStyle w:val="ListParagraph"/>
        <w:numPr>
          <w:ilvl w:val="0"/>
          <w:numId w:val="110"/>
        </w:numPr>
        <w:ind w:left="567" w:hanging="567"/>
        <w:rPr>
          <w:lang w:eastAsia="en-AU"/>
        </w:rPr>
      </w:pPr>
      <w:r>
        <w:rPr>
          <w:lang w:eastAsia="en-AU"/>
        </w:rPr>
        <w:t>Vulnerable wit</w:t>
      </w:r>
      <w:r w:rsidR="0034731E">
        <w:rPr>
          <w:lang w:eastAsia="en-AU"/>
        </w:rPr>
        <w:t>ness supports should be pursued</w:t>
      </w:r>
      <w:r w:rsidR="00541BEE">
        <w:rPr>
          <w:lang w:eastAsia="en-AU"/>
        </w:rPr>
        <w:t>.</w:t>
      </w:r>
    </w:p>
    <w:p w14:paraId="1D94F896" w14:textId="52586444" w:rsidR="00436FED" w:rsidRDefault="00436FED" w:rsidP="0067521E">
      <w:pPr>
        <w:pStyle w:val="ListParagraph"/>
        <w:numPr>
          <w:ilvl w:val="0"/>
          <w:numId w:val="110"/>
        </w:numPr>
        <w:ind w:left="567" w:hanging="567"/>
        <w:rPr>
          <w:lang w:eastAsia="en-AU"/>
        </w:rPr>
      </w:pPr>
      <w:r>
        <w:rPr>
          <w:lang w:eastAsia="en-AU"/>
        </w:rPr>
        <w:t>Interpreters should be used where English is not t</w:t>
      </w:r>
      <w:r w:rsidR="0034731E">
        <w:rPr>
          <w:lang w:eastAsia="en-AU"/>
        </w:rPr>
        <w:t>he first language of the victim</w:t>
      </w:r>
      <w:r w:rsidR="00541BEE">
        <w:rPr>
          <w:lang w:eastAsia="en-AU"/>
        </w:rPr>
        <w:t>.</w:t>
      </w:r>
    </w:p>
    <w:p w14:paraId="27DDE460" w14:textId="1AD020F9" w:rsidR="0034731E" w:rsidRDefault="00436FED" w:rsidP="0067521E">
      <w:pPr>
        <w:pStyle w:val="ListParagraph"/>
        <w:numPr>
          <w:ilvl w:val="0"/>
          <w:numId w:val="110"/>
        </w:numPr>
        <w:ind w:left="567" w:hanging="567"/>
        <w:rPr>
          <w:lang w:eastAsia="en-AU"/>
        </w:rPr>
      </w:pPr>
      <w:r>
        <w:rPr>
          <w:lang w:eastAsia="en-AU"/>
        </w:rPr>
        <w:lastRenderedPageBreak/>
        <w:t xml:space="preserve">Where there is a reasonable prospect of conviction it is in the public interest to continue with a domestic violence related prosecution. </w:t>
      </w:r>
      <w:r w:rsidR="00541BEE">
        <w:rPr>
          <w:lang w:eastAsia="en-AU"/>
        </w:rPr>
        <w:t xml:space="preserve"> </w:t>
      </w:r>
      <w:r>
        <w:rPr>
          <w:lang w:eastAsia="en-AU"/>
        </w:rPr>
        <w:t>The victim’s view or attitude to giving evidence i</w:t>
      </w:r>
      <w:r w:rsidR="0034731E">
        <w:rPr>
          <w:lang w:eastAsia="en-AU"/>
        </w:rPr>
        <w:t>s also a relevant consideration</w:t>
      </w:r>
      <w:r w:rsidR="00541BEE">
        <w:rPr>
          <w:lang w:eastAsia="en-AU"/>
        </w:rPr>
        <w:t>.</w:t>
      </w:r>
    </w:p>
    <w:p w14:paraId="76CDB216" w14:textId="64275B4F" w:rsidR="00436FED" w:rsidRDefault="00436FED" w:rsidP="0067521E">
      <w:pPr>
        <w:pStyle w:val="ListParagraph"/>
        <w:numPr>
          <w:ilvl w:val="0"/>
          <w:numId w:val="110"/>
        </w:numPr>
        <w:ind w:left="567" w:hanging="567"/>
        <w:rPr>
          <w:lang w:eastAsia="en-AU"/>
        </w:rPr>
      </w:pPr>
      <w:r>
        <w:rPr>
          <w:lang w:eastAsia="en-AU"/>
        </w:rPr>
        <w:t>Any decision to compel a victim to give evidence against his/her will require serious consideratio</w:t>
      </w:r>
      <w:r w:rsidR="0034731E">
        <w:rPr>
          <w:lang w:eastAsia="en-AU"/>
        </w:rPr>
        <w:t>n and will be used infrequently</w:t>
      </w:r>
      <w:r w:rsidR="00541BEE">
        <w:rPr>
          <w:lang w:eastAsia="en-AU"/>
        </w:rPr>
        <w:t>.</w:t>
      </w:r>
    </w:p>
    <w:p w14:paraId="3F776DC1" w14:textId="35C97089" w:rsidR="00C0457F" w:rsidRDefault="00436FED" w:rsidP="0067521E">
      <w:pPr>
        <w:pStyle w:val="ListParagraph"/>
        <w:numPr>
          <w:ilvl w:val="0"/>
          <w:numId w:val="110"/>
        </w:numPr>
        <w:spacing w:after="200"/>
        <w:ind w:left="567" w:hanging="567"/>
        <w:rPr>
          <w:lang w:eastAsia="en-AU"/>
        </w:rPr>
      </w:pPr>
      <w:r>
        <w:rPr>
          <w:lang w:eastAsia="en-AU"/>
        </w:rPr>
        <w:t>There are procedures for the discontinuance of a prosecution</w:t>
      </w:r>
      <w:r w:rsidR="00A17573">
        <w:rPr>
          <w:lang w:eastAsia="en-AU"/>
        </w:rPr>
        <w:t xml:space="preserve">, including that they be approved by the Director’s Chambers </w:t>
      </w:r>
      <w:r w:rsidR="00B35272">
        <w:rPr>
          <w:lang w:eastAsia="en-AU"/>
        </w:rPr>
        <w:t xml:space="preserve">for indictable offences </w:t>
      </w:r>
      <w:r w:rsidR="00A17573">
        <w:rPr>
          <w:lang w:eastAsia="en-AU"/>
        </w:rPr>
        <w:t>(or the Office in Charge of Summary Prosecutions</w:t>
      </w:r>
      <w:r w:rsidR="00B35272">
        <w:rPr>
          <w:lang w:eastAsia="en-AU"/>
        </w:rPr>
        <w:t xml:space="preserve"> for summary offences</w:t>
      </w:r>
      <w:r w:rsidR="00A17573">
        <w:rPr>
          <w:lang w:eastAsia="en-AU"/>
        </w:rPr>
        <w:t>).</w:t>
      </w:r>
    </w:p>
    <w:p w14:paraId="00B9F522" w14:textId="12B5F3B8" w:rsidR="00F87055" w:rsidRPr="007E1997" w:rsidRDefault="00C0457F" w:rsidP="00541BEE">
      <w:pPr>
        <w:spacing w:after="120"/>
        <w:rPr>
          <w:lang w:eastAsia="en-AU"/>
        </w:rPr>
      </w:pPr>
      <w:r>
        <w:rPr>
          <w:lang w:eastAsia="en-AU"/>
        </w:rPr>
        <w:t>To improve</w:t>
      </w:r>
      <w:r w:rsidR="007E1997" w:rsidRPr="007E1997">
        <w:rPr>
          <w:lang w:eastAsia="en-AU"/>
        </w:rPr>
        <w:t xml:space="preserve"> the prosecution of DFV-related criminal offences </w:t>
      </w:r>
      <w:r>
        <w:rPr>
          <w:lang w:eastAsia="en-AU"/>
        </w:rPr>
        <w:t>and reduce the trauma for complainants in criminal matters, it is proposed to:</w:t>
      </w:r>
    </w:p>
    <w:p w14:paraId="5F16CB4D" w14:textId="430D03B2" w:rsidR="00A722A4" w:rsidRPr="007E1997" w:rsidRDefault="00541BEE" w:rsidP="0067521E">
      <w:pPr>
        <w:pStyle w:val="ListParagraph"/>
        <w:numPr>
          <w:ilvl w:val="0"/>
          <w:numId w:val="109"/>
        </w:numPr>
        <w:ind w:left="567" w:hanging="567"/>
        <w:rPr>
          <w:lang w:eastAsia="en-AU"/>
        </w:rPr>
      </w:pPr>
      <w:r>
        <w:rPr>
          <w:lang w:eastAsia="en-AU"/>
        </w:rPr>
        <w:t xml:space="preserve">review </w:t>
      </w:r>
      <w:r w:rsidR="007E1997">
        <w:rPr>
          <w:lang w:eastAsia="en-AU"/>
        </w:rPr>
        <w:t>the resourcing of the Witness Assistance Service in light of the level of DFV offending in the NT;</w:t>
      </w:r>
    </w:p>
    <w:p w14:paraId="0AE92E10" w14:textId="59B77AEC" w:rsidR="00F87055" w:rsidRDefault="00541BEE" w:rsidP="0067521E">
      <w:pPr>
        <w:pStyle w:val="ListParagraph"/>
        <w:numPr>
          <w:ilvl w:val="0"/>
          <w:numId w:val="109"/>
        </w:numPr>
        <w:ind w:left="567" w:hanging="567"/>
        <w:rPr>
          <w:lang w:eastAsia="en-AU"/>
        </w:rPr>
      </w:pPr>
      <w:r>
        <w:rPr>
          <w:lang w:eastAsia="en-AU"/>
        </w:rPr>
        <w:t xml:space="preserve">provide </w:t>
      </w:r>
      <w:r w:rsidR="00B35272">
        <w:rPr>
          <w:lang w:eastAsia="en-AU"/>
        </w:rPr>
        <w:t>s</w:t>
      </w:r>
      <w:r w:rsidR="007E1997">
        <w:rPr>
          <w:lang w:eastAsia="en-AU"/>
        </w:rPr>
        <w:t>peciali</w:t>
      </w:r>
      <w:r w:rsidR="00B35272">
        <w:rPr>
          <w:lang w:eastAsia="en-AU"/>
        </w:rPr>
        <w:t>st DFV Training for prosecutors.</w:t>
      </w:r>
    </w:p>
    <w:p w14:paraId="6DCDA6D7" w14:textId="2D1BA1F8" w:rsidR="00B35272" w:rsidRDefault="00B35272" w:rsidP="00B35272">
      <w:pPr>
        <w:rPr>
          <w:lang w:eastAsia="en-AU"/>
        </w:rPr>
      </w:pPr>
      <w:r>
        <w:rPr>
          <w:lang w:eastAsia="en-AU"/>
        </w:rPr>
        <w:t>In addition, some of the legislat</w:t>
      </w:r>
      <w:r w:rsidR="0034731E">
        <w:rPr>
          <w:lang w:eastAsia="en-AU"/>
        </w:rPr>
        <w:t xml:space="preserve">ive proposals outlined in </w:t>
      </w:r>
      <w:r w:rsidR="00541BEE">
        <w:rPr>
          <w:lang w:eastAsia="en-AU"/>
        </w:rPr>
        <w:t xml:space="preserve">Part </w:t>
      </w:r>
      <w:r w:rsidR="0034731E" w:rsidRPr="00541BEE">
        <w:rPr>
          <w:lang w:eastAsia="en-AU"/>
        </w:rPr>
        <w:t>5</w:t>
      </w:r>
      <w:r>
        <w:rPr>
          <w:lang w:eastAsia="en-AU"/>
        </w:rPr>
        <w:t xml:space="preserve"> of this </w:t>
      </w:r>
      <w:r w:rsidR="000A786C">
        <w:rPr>
          <w:lang w:eastAsia="en-AU"/>
        </w:rPr>
        <w:t>paper</w:t>
      </w:r>
      <w:r>
        <w:rPr>
          <w:lang w:eastAsia="en-AU"/>
        </w:rPr>
        <w:t xml:space="preserve"> are expected to assist with the prosecution of DFV-related criminal offences.</w:t>
      </w:r>
    </w:p>
    <w:p w14:paraId="62030091" w14:textId="11D81C3B" w:rsidR="0025433B" w:rsidRDefault="0025433B" w:rsidP="00541BEE">
      <w:pPr>
        <w:pStyle w:val="Heading4"/>
        <w:keepNext/>
        <w:numPr>
          <w:ilvl w:val="0"/>
          <w:numId w:val="0"/>
        </w:numPr>
        <w:spacing w:after="0" w:line="259" w:lineRule="auto"/>
        <w:ind w:left="862" w:hanging="862"/>
        <w:rPr>
          <w:lang w:eastAsia="en-AU"/>
        </w:rPr>
      </w:pPr>
      <w:r>
        <w:rPr>
          <w:lang w:eastAsia="en-AU"/>
        </w:rPr>
        <w:t>PROPOSAL SR 16</w:t>
      </w:r>
    </w:p>
    <w:p w14:paraId="13436744" w14:textId="62B23A22" w:rsidR="0095673C" w:rsidRDefault="00A42C6F" w:rsidP="00541BEE">
      <w:pPr>
        <w:spacing w:after="0" w:line="259" w:lineRule="auto"/>
        <w:rPr>
          <w:b/>
          <w:lang w:eastAsia="en-AU"/>
        </w:rPr>
      </w:pPr>
      <w:r>
        <w:rPr>
          <w:b/>
          <w:lang w:eastAsia="en-AU"/>
        </w:rPr>
        <w:t>It is proposed t</w:t>
      </w:r>
      <w:r w:rsidR="007E1997">
        <w:rPr>
          <w:b/>
          <w:lang w:eastAsia="en-AU"/>
        </w:rPr>
        <w:t xml:space="preserve">hat </w:t>
      </w:r>
      <w:r w:rsidR="0095673C" w:rsidRPr="00140888">
        <w:rPr>
          <w:b/>
          <w:lang w:eastAsia="en-AU"/>
        </w:rPr>
        <w:t>the resourcing of the Witness Assistance Service at the Director of</w:t>
      </w:r>
      <w:r w:rsidR="007E1997">
        <w:rPr>
          <w:b/>
          <w:lang w:eastAsia="en-AU"/>
        </w:rPr>
        <w:t xml:space="preserve"> Public Prosecution be reviewed </w:t>
      </w:r>
      <w:r w:rsidR="00F14960">
        <w:rPr>
          <w:b/>
          <w:lang w:eastAsia="en-AU"/>
        </w:rPr>
        <w:t xml:space="preserve">by the </w:t>
      </w:r>
      <w:r w:rsidR="00E37E7C">
        <w:rPr>
          <w:b/>
          <w:lang w:eastAsia="en-AU"/>
        </w:rPr>
        <w:t>DFSV-ICRO</w:t>
      </w:r>
      <w:r w:rsidR="00F14960">
        <w:rPr>
          <w:b/>
          <w:lang w:eastAsia="en-AU"/>
        </w:rPr>
        <w:t xml:space="preserve"> </w:t>
      </w:r>
      <w:r w:rsidR="007E1997">
        <w:rPr>
          <w:b/>
          <w:lang w:eastAsia="en-AU"/>
        </w:rPr>
        <w:t>to determine if it is adequate in light of the current level of DFV offendi</w:t>
      </w:r>
      <w:r w:rsidR="004A1336">
        <w:rPr>
          <w:b/>
          <w:lang w:eastAsia="en-AU"/>
        </w:rPr>
        <w:t xml:space="preserve">ng and the needs of </w:t>
      </w:r>
      <w:r w:rsidR="007E1997">
        <w:rPr>
          <w:b/>
          <w:lang w:eastAsia="en-AU"/>
        </w:rPr>
        <w:t>complainants</w:t>
      </w:r>
      <w:r w:rsidR="004A1336">
        <w:rPr>
          <w:b/>
          <w:lang w:eastAsia="en-AU"/>
        </w:rPr>
        <w:t xml:space="preserve"> in DFV and sexual offences</w:t>
      </w:r>
      <w:r w:rsidR="007E1997">
        <w:rPr>
          <w:b/>
          <w:lang w:eastAsia="en-AU"/>
        </w:rPr>
        <w:t>.</w:t>
      </w:r>
    </w:p>
    <w:p w14:paraId="1CFBA821" w14:textId="741BB293" w:rsidR="00797F56" w:rsidRDefault="00797F56" w:rsidP="00541BEE">
      <w:pPr>
        <w:pStyle w:val="Heading4"/>
        <w:keepNext/>
        <w:numPr>
          <w:ilvl w:val="0"/>
          <w:numId w:val="0"/>
        </w:numPr>
        <w:spacing w:after="0" w:line="259" w:lineRule="auto"/>
        <w:rPr>
          <w:lang w:eastAsia="en-AU"/>
        </w:rPr>
      </w:pPr>
      <w:r>
        <w:rPr>
          <w:lang w:eastAsia="en-AU"/>
        </w:rPr>
        <w:t>P</w:t>
      </w:r>
      <w:r w:rsidR="0025433B">
        <w:rPr>
          <w:lang w:eastAsia="en-AU"/>
        </w:rPr>
        <w:t>ROPOSAL SR 17</w:t>
      </w:r>
    </w:p>
    <w:p w14:paraId="50F3562A" w14:textId="2D495752" w:rsidR="00140888" w:rsidRDefault="00A42C6F" w:rsidP="00541BEE">
      <w:pPr>
        <w:spacing w:after="0" w:line="259" w:lineRule="auto"/>
        <w:rPr>
          <w:b/>
          <w:lang w:eastAsia="en-AU"/>
        </w:rPr>
      </w:pPr>
      <w:r>
        <w:rPr>
          <w:b/>
          <w:lang w:eastAsia="en-AU"/>
        </w:rPr>
        <w:t>It is proposed t</w:t>
      </w:r>
      <w:r w:rsidR="0095673C" w:rsidRPr="00140888">
        <w:rPr>
          <w:b/>
          <w:lang w:eastAsia="en-AU"/>
        </w:rPr>
        <w:t xml:space="preserve">hat </w:t>
      </w:r>
      <w:r w:rsidR="00D05458">
        <w:rPr>
          <w:b/>
          <w:lang w:eastAsia="en-AU"/>
        </w:rPr>
        <w:t>AGD</w:t>
      </w:r>
      <w:r w:rsidR="00F14960">
        <w:rPr>
          <w:b/>
          <w:lang w:eastAsia="en-AU"/>
        </w:rPr>
        <w:t xml:space="preserve">, in collaboration with the </w:t>
      </w:r>
      <w:r w:rsidR="00E37E7C">
        <w:rPr>
          <w:b/>
          <w:lang w:eastAsia="en-AU"/>
        </w:rPr>
        <w:t>DFSV-ICRO</w:t>
      </w:r>
      <w:r w:rsidR="00F14960">
        <w:rPr>
          <w:b/>
          <w:lang w:eastAsia="en-AU"/>
        </w:rPr>
        <w:t xml:space="preserve">, identify the best way to provide </w:t>
      </w:r>
      <w:r w:rsidR="00436FED">
        <w:rPr>
          <w:b/>
          <w:lang w:eastAsia="en-AU"/>
        </w:rPr>
        <w:t>prosecutors with specialist training on DFV</w:t>
      </w:r>
      <w:r w:rsidR="004A1336">
        <w:rPr>
          <w:b/>
          <w:lang w:eastAsia="en-AU"/>
        </w:rPr>
        <w:t xml:space="preserve"> and sexual assault</w:t>
      </w:r>
      <w:r w:rsidR="001F4AA6">
        <w:rPr>
          <w:b/>
          <w:lang w:eastAsia="en-AU"/>
        </w:rPr>
        <w:t>.</w:t>
      </w:r>
    </w:p>
    <w:p w14:paraId="13BD8EB0" w14:textId="3D9834E1" w:rsidR="0095673C" w:rsidRPr="00C0457F" w:rsidRDefault="00B35272" w:rsidP="00541BEE">
      <w:pPr>
        <w:pStyle w:val="Heading2"/>
        <w:keepNext/>
        <w:ind w:left="1134" w:hanging="578"/>
        <w:rPr>
          <w:lang w:eastAsia="en-AU"/>
        </w:rPr>
      </w:pPr>
      <w:bookmarkStart w:id="120" w:name="_Toc112051903"/>
      <w:r>
        <w:rPr>
          <w:lang w:eastAsia="en-AU"/>
        </w:rPr>
        <w:t>L</w:t>
      </w:r>
      <w:r w:rsidR="0095673C" w:rsidRPr="00C0457F">
        <w:rPr>
          <w:lang w:eastAsia="en-AU"/>
        </w:rPr>
        <w:t xml:space="preserve">egal </w:t>
      </w:r>
      <w:r>
        <w:rPr>
          <w:lang w:eastAsia="en-AU"/>
        </w:rPr>
        <w:t>assistance</w:t>
      </w:r>
      <w:r w:rsidR="004731B3" w:rsidRPr="00C0457F">
        <w:rPr>
          <w:lang w:eastAsia="en-AU"/>
        </w:rPr>
        <w:t xml:space="preserve"> for parties in DFV proceedings</w:t>
      </w:r>
      <w:bookmarkEnd w:id="120"/>
    </w:p>
    <w:p w14:paraId="253E02A6" w14:textId="5BF834D3" w:rsidR="0081424C" w:rsidRDefault="00B35272" w:rsidP="00541BEE">
      <w:pPr>
        <w:rPr>
          <w:rFonts w:asciiTheme="minorHAnsi" w:hAnsiTheme="minorHAnsi"/>
        </w:rPr>
      </w:pPr>
      <w:r>
        <w:rPr>
          <w:rFonts w:asciiTheme="minorHAnsi" w:hAnsiTheme="minorHAnsi"/>
        </w:rPr>
        <w:t xml:space="preserve">The provision of legal assistance to parties is </w:t>
      </w:r>
      <w:r w:rsidR="0075043E">
        <w:rPr>
          <w:rFonts w:asciiTheme="minorHAnsi" w:hAnsiTheme="minorHAnsi"/>
        </w:rPr>
        <w:t xml:space="preserve">an </w:t>
      </w:r>
      <w:r>
        <w:rPr>
          <w:rFonts w:asciiTheme="minorHAnsi" w:hAnsiTheme="minorHAnsi"/>
        </w:rPr>
        <w:t>importan</w:t>
      </w:r>
      <w:r w:rsidR="0042710D">
        <w:rPr>
          <w:rFonts w:asciiTheme="minorHAnsi" w:hAnsiTheme="minorHAnsi"/>
        </w:rPr>
        <w:t>t element of the justice response to DFV</w:t>
      </w:r>
      <w:r w:rsidR="00C041E7">
        <w:rPr>
          <w:rFonts w:asciiTheme="minorHAnsi" w:hAnsiTheme="minorHAnsi"/>
        </w:rPr>
        <w:t>.</w:t>
      </w:r>
    </w:p>
    <w:p w14:paraId="64E302D3" w14:textId="0CA1CC39" w:rsidR="00CA3924" w:rsidRDefault="00294CD3" w:rsidP="00541BEE">
      <w:pPr>
        <w:rPr>
          <w:rFonts w:asciiTheme="minorHAnsi" w:hAnsiTheme="minorHAnsi" w:cs="Calibri"/>
        </w:rPr>
      </w:pPr>
      <w:r>
        <w:rPr>
          <w:rFonts w:asciiTheme="minorHAnsi" w:hAnsiTheme="minorHAnsi" w:cs="Calibri"/>
        </w:rPr>
        <w:t xml:space="preserve">In June 2020 </w:t>
      </w:r>
      <w:r w:rsidR="00D77E4F">
        <w:rPr>
          <w:rFonts w:asciiTheme="minorHAnsi" w:hAnsiTheme="minorHAnsi" w:cs="Calibri"/>
        </w:rPr>
        <w:t>Australia</w:t>
      </w:r>
      <w:r w:rsidR="0024012F" w:rsidRPr="0024012F">
        <w:rPr>
          <w:rFonts w:asciiTheme="minorHAnsi" w:hAnsiTheme="minorHAnsi" w:cs="Calibri"/>
        </w:rPr>
        <w:t xml:space="preserve"> and NT Governments signed the National Le</w:t>
      </w:r>
      <w:r w:rsidR="00541BEE">
        <w:rPr>
          <w:rFonts w:asciiTheme="minorHAnsi" w:hAnsiTheme="minorHAnsi" w:cs="Calibri"/>
        </w:rPr>
        <w:t>gal Assistance Partnership 2020</w:t>
      </w:r>
      <w:r w:rsidR="00541BEE">
        <w:rPr>
          <w:rFonts w:asciiTheme="minorHAnsi" w:hAnsiTheme="minorHAnsi" w:cs="Calibri"/>
        </w:rPr>
        <w:noBreakHyphen/>
      </w:r>
      <w:r w:rsidR="0024012F" w:rsidRPr="0024012F">
        <w:rPr>
          <w:rFonts w:asciiTheme="minorHAnsi" w:hAnsiTheme="minorHAnsi" w:cs="Calibri"/>
        </w:rPr>
        <w:t xml:space="preserve">25 (NLAP).  </w:t>
      </w:r>
      <w:r w:rsidR="00D77E4F">
        <w:rPr>
          <w:rFonts w:asciiTheme="minorHAnsi" w:hAnsiTheme="minorHAnsi" w:cs="Calibri"/>
        </w:rPr>
        <w:t>Under the NLAP the Australian Government</w:t>
      </w:r>
      <w:r w:rsidR="0024012F" w:rsidRPr="0024012F">
        <w:rPr>
          <w:rFonts w:asciiTheme="minorHAnsi" w:hAnsiTheme="minorHAnsi" w:cs="Calibri"/>
        </w:rPr>
        <w:t xml:space="preserve"> will provide the NT just over $147 million over the five years to fund the legal assistance services sector, that is, legal services provided by the NT Legal Aid Commission, Community Legal Centres and Aboriginal and Torres Strait Islander Legal Services</w:t>
      </w:r>
      <w:r w:rsidR="00233562">
        <w:rPr>
          <w:rFonts w:asciiTheme="minorHAnsi" w:hAnsiTheme="minorHAnsi" w:cs="Calibri"/>
        </w:rPr>
        <w:t xml:space="preserve"> (approximately $29 million per year)</w:t>
      </w:r>
      <w:r w:rsidR="0024012F" w:rsidRPr="0024012F">
        <w:rPr>
          <w:rFonts w:asciiTheme="minorHAnsi" w:hAnsiTheme="minorHAnsi" w:cs="Calibri"/>
        </w:rPr>
        <w:t xml:space="preserve">.  </w:t>
      </w:r>
      <w:r w:rsidR="00233562">
        <w:rPr>
          <w:rFonts w:asciiTheme="minorHAnsi" w:hAnsiTheme="minorHAnsi" w:cs="Calibri"/>
        </w:rPr>
        <w:t xml:space="preserve">Under the NLAP the Australian Government </w:t>
      </w:r>
      <w:r w:rsidR="0024012F" w:rsidRPr="0024012F">
        <w:rPr>
          <w:rFonts w:asciiTheme="minorHAnsi" w:hAnsiTheme="minorHAnsi" w:cs="Calibri"/>
        </w:rPr>
        <w:t xml:space="preserve">has designated national priority client groups to ensure that states legal assistance services are focussed on people experiencing </w:t>
      </w:r>
      <w:r>
        <w:rPr>
          <w:rFonts w:asciiTheme="minorHAnsi" w:hAnsiTheme="minorHAnsi" w:cs="Calibri"/>
        </w:rPr>
        <w:t xml:space="preserve">or at risk of </w:t>
      </w:r>
      <w:r w:rsidR="0024012F" w:rsidRPr="0024012F">
        <w:rPr>
          <w:rFonts w:asciiTheme="minorHAnsi" w:hAnsiTheme="minorHAnsi" w:cs="Calibri"/>
        </w:rPr>
        <w:t xml:space="preserve">disadvantage. </w:t>
      </w:r>
    </w:p>
    <w:p w14:paraId="30013A42" w14:textId="04B0FCDD" w:rsidR="00D77E4F" w:rsidRPr="0024012F" w:rsidRDefault="001C0C0E" w:rsidP="00541BEE">
      <w:pPr>
        <w:rPr>
          <w:rFonts w:asciiTheme="minorHAnsi" w:hAnsiTheme="minorHAnsi" w:cs="Calibri"/>
        </w:rPr>
      </w:pPr>
      <w:r>
        <w:rPr>
          <w:rFonts w:asciiTheme="minorHAnsi" w:hAnsiTheme="minorHAnsi" w:cs="Calibri"/>
        </w:rPr>
        <w:t>People experiencing, or at</w:t>
      </w:r>
      <w:r w:rsidR="00B20DDB" w:rsidRPr="00B20DDB">
        <w:rPr>
          <w:rFonts w:asciiTheme="minorHAnsi" w:hAnsiTheme="minorHAnsi" w:cs="Calibri"/>
        </w:rPr>
        <w:t xml:space="preserve"> risk of, family violence </w:t>
      </w:r>
      <w:r>
        <w:rPr>
          <w:rFonts w:asciiTheme="minorHAnsi" w:hAnsiTheme="minorHAnsi" w:cs="Calibri"/>
        </w:rPr>
        <w:t>are one of the eleven national priority client groups for legal assistance services. Aboriginal and Torres Strait Islander people are also a priority group.</w:t>
      </w:r>
    </w:p>
    <w:p w14:paraId="3BFFF32D" w14:textId="2C1C276A" w:rsidR="00D77E4F" w:rsidRPr="00D77E4F" w:rsidRDefault="00233562" w:rsidP="00541BEE">
      <w:pPr>
        <w:rPr>
          <w:rFonts w:asciiTheme="minorHAnsi" w:hAnsiTheme="minorHAnsi" w:cs="Calibri"/>
        </w:rPr>
      </w:pPr>
      <w:r>
        <w:rPr>
          <w:rFonts w:asciiTheme="minorHAnsi" w:hAnsiTheme="minorHAnsi" w:cs="Calibri"/>
        </w:rPr>
        <w:t xml:space="preserve">The NT Government also provides some funding for legal assistance services.  </w:t>
      </w:r>
      <w:r w:rsidR="00D77E4F" w:rsidRPr="00D77E4F">
        <w:rPr>
          <w:rFonts w:asciiTheme="minorHAnsi" w:hAnsiTheme="minorHAnsi" w:cs="Calibri"/>
        </w:rPr>
        <w:t xml:space="preserve">In 2021-22 the AGD are providing just over $8 million for legal assistance services with the majority of funding being provided to the NT Legal Aid Commission (NTLAC), which includes the Darwin Domestic Violence Legal Service (DVLS). </w:t>
      </w:r>
      <w:r>
        <w:rPr>
          <w:rFonts w:asciiTheme="minorHAnsi" w:hAnsiTheme="minorHAnsi" w:cs="Calibri"/>
        </w:rPr>
        <w:t xml:space="preserve"> </w:t>
      </w:r>
      <w:r w:rsidR="00D77E4F" w:rsidRPr="00D77E4F">
        <w:rPr>
          <w:rFonts w:asciiTheme="minorHAnsi" w:hAnsiTheme="minorHAnsi" w:cs="Calibri"/>
        </w:rPr>
        <w:t>The remainder of the funding is split between the Darwin Community Legal Service for the Tenants Advisory Service and Central Australian Women’s Legal Service (CAWLS) for an Al</w:t>
      </w:r>
      <w:r>
        <w:rPr>
          <w:rFonts w:asciiTheme="minorHAnsi" w:hAnsiTheme="minorHAnsi" w:cs="Calibri"/>
        </w:rPr>
        <w:t>ice Springs / Tennant Creek</w:t>
      </w:r>
      <w:r w:rsidR="00013ACD">
        <w:rPr>
          <w:rFonts w:asciiTheme="minorHAnsi" w:hAnsiTheme="minorHAnsi" w:cs="Calibri"/>
        </w:rPr>
        <w:t xml:space="preserve"> service for women experiencing domestic violence.</w:t>
      </w:r>
    </w:p>
    <w:p w14:paraId="6E144853" w14:textId="79400B8D" w:rsidR="00B35272" w:rsidRDefault="0024012F" w:rsidP="00541BEE">
      <w:pPr>
        <w:rPr>
          <w:rFonts w:asciiTheme="minorHAnsi" w:hAnsiTheme="minorHAnsi"/>
        </w:rPr>
      </w:pPr>
      <w:r w:rsidRPr="00024139">
        <w:rPr>
          <w:rFonts w:asciiTheme="minorHAnsi" w:hAnsiTheme="minorHAnsi"/>
        </w:rPr>
        <w:t>Legal assistance is a foundat</w:t>
      </w:r>
      <w:r w:rsidR="00233562">
        <w:rPr>
          <w:rFonts w:asciiTheme="minorHAnsi" w:hAnsiTheme="minorHAnsi"/>
        </w:rPr>
        <w:t>ional issue in a justice system.  However, i</w:t>
      </w:r>
      <w:r w:rsidR="00B35272">
        <w:rPr>
          <w:rFonts w:asciiTheme="minorHAnsi" w:hAnsiTheme="minorHAnsi"/>
        </w:rPr>
        <w:t>t is particularly important</w:t>
      </w:r>
      <w:r w:rsidR="00E772C7">
        <w:rPr>
          <w:rFonts w:asciiTheme="minorHAnsi" w:hAnsiTheme="minorHAnsi"/>
        </w:rPr>
        <w:t xml:space="preserve"> in proceedings under the DFVA</w:t>
      </w:r>
      <w:r w:rsidR="00C041E7">
        <w:rPr>
          <w:rFonts w:asciiTheme="minorHAnsi" w:hAnsiTheme="minorHAnsi"/>
        </w:rPr>
        <w:t xml:space="preserve">.  </w:t>
      </w:r>
      <w:r w:rsidR="00B35272">
        <w:rPr>
          <w:rFonts w:asciiTheme="minorHAnsi" w:hAnsiTheme="minorHAnsi"/>
        </w:rPr>
        <w:t>DFV typicall</w:t>
      </w:r>
      <w:r w:rsidR="0081424C">
        <w:rPr>
          <w:rFonts w:asciiTheme="minorHAnsi" w:hAnsiTheme="minorHAnsi"/>
        </w:rPr>
        <w:t>y involves coercive control and an abuse of power</w:t>
      </w:r>
      <w:r w:rsidR="00233562">
        <w:rPr>
          <w:rFonts w:asciiTheme="minorHAnsi" w:hAnsiTheme="minorHAnsi"/>
        </w:rPr>
        <w:t>, in which o</w:t>
      </w:r>
      <w:r w:rsidR="0081424C">
        <w:rPr>
          <w:rFonts w:asciiTheme="minorHAnsi" w:hAnsiTheme="minorHAnsi"/>
        </w:rPr>
        <w:t xml:space="preserve">ne party tries to control and dominate the other party. </w:t>
      </w:r>
      <w:r w:rsidR="00233562">
        <w:rPr>
          <w:rFonts w:asciiTheme="minorHAnsi" w:hAnsiTheme="minorHAnsi"/>
        </w:rPr>
        <w:t xml:space="preserve"> This control can continue through the leg</w:t>
      </w:r>
      <w:r w:rsidR="008F74C4">
        <w:rPr>
          <w:rFonts w:asciiTheme="minorHAnsi" w:hAnsiTheme="minorHAnsi"/>
        </w:rPr>
        <w:t>al process, with one party uses</w:t>
      </w:r>
      <w:r w:rsidR="00233562">
        <w:rPr>
          <w:rFonts w:asciiTheme="minorHAnsi" w:hAnsiTheme="minorHAnsi"/>
        </w:rPr>
        <w:t xml:space="preserve"> the legal process to bully, harass and dominate the other party</w:t>
      </w:r>
      <w:r w:rsidR="00C041E7">
        <w:rPr>
          <w:rFonts w:asciiTheme="minorHAnsi" w:hAnsiTheme="minorHAnsi"/>
        </w:rPr>
        <w:t xml:space="preserve"> </w:t>
      </w:r>
      <w:r w:rsidR="00C041E7">
        <w:rPr>
          <w:rFonts w:asciiTheme="minorHAnsi" w:hAnsiTheme="minorHAnsi"/>
        </w:rPr>
        <w:lastRenderedPageBreak/>
        <w:t>(often called ‘systems abuse’)</w:t>
      </w:r>
      <w:r w:rsidR="00233562">
        <w:rPr>
          <w:rFonts w:asciiTheme="minorHAnsi" w:hAnsiTheme="minorHAnsi"/>
        </w:rPr>
        <w:t xml:space="preserve">. </w:t>
      </w:r>
      <w:r w:rsidR="00E772C7">
        <w:rPr>
          <w:rFonts w:asciiTheme="minorHAnsi" w:hAnsiTheme="minorHAnsi"/>
        </w:rPr>
        <w:t xml:space="preserve"> This is challenging to address because it is fundamental to the justice system that there is procedural fairness for both parties in a dispute.</w:t>
      </w:r>
    </w:p>
    <w:p w14:paraId="50E582CE" w14:textId="4866FEFF" w:rsidR="00E772C7" w:rsidRPr="00E3656D" w:rsidRDefault="00E772C7" w:rsidP="00A0471F">
      <w:pPr>
        <w:spacing w:after="120"/>
      </w:pPr>
      <w:r>
        <w:t>Legal assistance in proceedings under the DFVA</w:t>
      </w:r>
      <w:r w:rsidRPr="00E3656D">
        <w:t xml:space="preserve"> has important benefits, for exampl</w:t>
      </w:r>
      <w:r w:rsidR="00C041E7">
        <w:t>e:</w:t>
      </w:r>
    </w:p>
    <w:p w14:paraId="0FD807BC" w14:textId="77777777" w:rsidR="00E772C7" w:rsidRPr="00E3656D" w:rsidRDefault="00E772C7" w:rsidP="0067521E">
      <w:pPr>
        <w:pStyle w:val="ListParagraph"/>
        <w:numPr>
          <w:ilvl w:val="0"/>
          <w:numId w:val="61"/>
        </w:numPr>
        <w:ind w:left="567" w:hanging="567"/>
      </w:pPr>
      <w:r w:rsidRPr="00E3656D">
        <w:t>It obviates the need for parties to directly negotiate with each other, which can enable tension and conflict to escalate and put the protected person at risk of further violence and abuse from the defendant;</w:t>
      </w:r>
    </w:p>
    <w:p w14:paraId="6DAD642D" w14:textId="57C5F6CF" w:rsidR="00E772C7" w:rsidRPr="00E3656D" w:rsidRDefault="00E772C7" w:rsidP="0067521E">
      <w:pPr>
        <w:pStyle w:val="ListParagraph"/>
        <w:numPr>
          <w:ilvl w:val="0"/>
          <w:numId w:val="61"/>
        </w:numPr>
        <w:ind w:left="567" w:hanging="567"/>
      </w:pPr>
      <w:r w:rsidRPr="00E3656D">
        <w:t>With good legal advice many matters can be resolved without a hearing, which can reduce trauma for the parties</w:t>
      </w:r>
      <w:r>
        <w:t xml:space="preserve">, be less costly for justice agencies and </w:t>
      </w:r>
      <w:r w:rsidRPr="00E3656D">
        <w:t>more efficient for the Court;</w:t>
      </w:r>
    </w:p>
    <w:p w14:paraId="2FE90AFC" w14:textId="2CC63ED0" w:rsidR="00E772C7" w:rsidRPr="00E3656D" w:rsidRDefault="00E772C7" w:rsidP="0067521E">
      <w:pPr>
        <w:pStyle w:val="ListParagraph"/>
        <w:numPr>
          <w:ilvl w:val="0"/>
          <w:numId w:val="61"/>
        </w:numPr>
        <w:ind w:left="567" w:hanging="567"/>
      </w:pPr>
      <w:r w:rsidRPr="00E3656D">
        <w:t>Interim and final orders are likely to be better tailored to the needs of the parties, which can reduce the number of court appearances</w:t>
      </w:r>
      <w:r>
        <w:t xml:space="preserve"> and improve the safety outcomes for protected persons</w:t>
      </w:r>
      <w:r w:rsidRPr="00E3656D">
        <w:t>;</w:t>
      </w:r>
    </w:p>
    <w:p w14:paraId="1A572A1C" w14:textId="02970308" w:rsidR="00E772C7" w:rsidRDefault="00E772C7" w:rsidP="0067521E">
      <w:pPr>
        <w:pStyle w:val="ListParagraph"/>
        <w:numPr>
          <w:ilvl w:val="0"/>
          <w:numId w:val="61"/>
        </w:numPr>
        <w:spacing w:after="200"/>
        <w:ind w:left="567" w:hanging="567"/>
      </w:pPr>
      <w:r w:rsidRPr="00E3656D">
        <w:t>Good lega</w:t>
      </w:r>
      <w:r>
        <w:t>l assistance can improve</w:t>
      </w:r>
      <w:r w:rsidRPr="00E3656D">
        <w:t xml:space="preserve"> defendant accountability – For example, obtaining proper advice about how the law sees their conduct can help defendants to take responsibility for </w:t>
      </w:r>
      <w:r>
        <w:t>their actions, and avoid continuing</w:t>
      </w:r>
      <w:r w:rsidR="001C01B8">
        <w:t xml:space="preserve"> blame of the protected person.</w:t>
      </w:r>
    </w:p>
    <w:p w14:paraId="3778DCF3" w14:textId="173B6EFE" w:rsidR="005749AB" w:rsidRPr="005749AB" w:rsidRDefault="00AD782E" w:rsidP="00A0471F">
      <w:pPr>
        <w:rPr>
          <w:rFonts w:asciiTheme="minorHAnsi" w:hAnsiTheme="minorHAnsi"/>
        </w:rPr>
      </w:pPr>
      <w:r>
        <w:rPr>
          <w:rFonts w:asciiTheme="minorHAnsi" w:hAnsiTheme="minorHAnsi"/>
        </w:rPr>
        <w:t xml:space="preserve">It is particularly important given many defendants in DFV matters </w:t>
      </w:r>
      <w:r w:rsidRPr="00024139">
        <w:rPr>
          <w:rFonts w:asciiTheme="minorHAnsi" w:hAnsiTheme="minorHAnsi"/>
        </w:rPr>
        <w:t xml:space="preserve">are Aboriginal, whose first language is not English, or </w:t>
      </w:r>
      <w:r>
        <w:rPr>
          <w:rFonts w:asciiTheme="minorHAnsi" w:hAnsiTheme="minorHAnsi"/>
        </w:rPr>
        <w:t>who have low literary levels, making the justice system extremely</w:t>
      </w:r>
      <w:r w:rsidRPr="00024139">
        <w:rPr>
          <w:rFonts w:asciiTheme="minorHAnsi" w:hAnsiTheme="minorHAnsi"/>
        </w:rPr>
        <w:t xml:space="preserve"> difficult to navig</w:t>
      </w:r>
      <w:r>
        <w:rPr>
          <w:rFonts w:asciiTheme="minorHAnsi" w:hAnsiTheme="minorHAnsi"/>
        </w:rPr>
        <w:t>ate</w:t>
      </w:r>
      <w:r w:rsidR="005749AB">
        <w:rPr>
          <w:rFonts w:asciiTheme="minorHAnsi" w:hAnsiTheme="minorHAnsi"/>
        </w:rPr>
        <w:t>.</w:t>
      </w:r>
    </w:p>
    <w:p w14:paraId="6A17B879" w14:textId="7C37466B" w:rsidR="004E4188" w:rsidRPr="00E3656D" w:rsidRDefault="00E772C7" w:rsidP="00A0471F">
      <w:pPr>
        <w:rPr>
          <w:rFonts w:asciiTheme="minorHAnsi" w:hAnsiTheme="minorHAnsi"/>
        </w:rPr>
      </w:pPr>
      <w:r>
        <w:rPr>
          <w:rFonts w:asciiTheme="minorHAnsi" w:hAnsiTheme="minorHAnsi"/>
        </w:rPr>
        <w:t>For this reason legal assistance services have been a key partner in the development and implementation of the Specialist Approach to DFV at the Local Court in Alice Springs.</w:t>
      </w:r>
      <w:r w:rsidR="0075043E">
        <w:rPr>
          <w:rFonts w:asciiTheme="minorHAnsi" w:hAnsiTheme="minorHAnsi"/>
        </w:rPr>
        <w:t xml:space="preserve">  </w:t>
      </w:r>
      <w:r w:rsidR="004E4188" w:rsidRPr="00E3656D">
        <w:rPr>
          <w:rFonts w:asciiTheme="minorHAnsi" w:hAnsiTheme="minorHAnsi"/>
        </w:rPr>
        <w:t>Private solicitors, the Central Australian Aboriginal Family Legal Unit</w:t>
      </w:r>
      <w:r w:rsidR="00294CD3">
        <w:rPr>
          <w:rFonts w:asciiTheme="minorHAnsi" w:hAnsiTheme="minorHAnsi"/>
        </w:rPr>
        <w:t xml:space="preserve"> (CAAFLU)</w:t>
      </w:r>
      <w:r w:rsidR="004E4188" w:rsidRPr="00E3656D">
        <w:rPr>
          <w:rFonts w:asciiTheme="minorHAnsi" w:hAnsiTheme="minorHAnsi"/>
        </w:rPr>
        <w:t>, the Central Australian Women’s Legal Service</w:t>
      </w:r>
      <w:r w:rsidR="002402D7">
        <w:rPr>
          <w:rFonts w:asciiTheme="minorHAnsi" w:hAnsiTheme="minorHAnsi"/>
        </w:rPr>
        <w:t xml:space="preserve"> (CAWLS)</w:t>
      </w:r>
      <w:r w:rsidR="004E4188" w:rsidRPr="00E3656D">
        <w:rPr>
          <w:rFonts w:asciiTheme="minorHAnsi" w:hAnsiTheme="minorHAnsi"/>
        </w:rPr>
        <w:t xml:space="preserve">, the North Australian Aboriginal Justice Agency </w:t>
      </w:r>
      <w:r w:rsidR="00294CD3">
        <w:rPr>
          <w:rFonts w:asciiTheme="minorHAnsi" w:hAnsiTheme="minorHAnsi"/>
        </w:rPr>
        <w:t xml:space="preserve">(NAAJA) </w:t>
      </w:r>
      <w:r w:rsidR="004E4188" w:rsidRPr="00E3656D">
        <w:rPr>
          <w:rFonts w:asciiTheme="minorHAnsi" w:hAnsiTheme="minorHAnsi"/>
        </w:rPr>
        <w:t xml:space="preserve">and the Northern Territory Legal Aid Commission </w:t>
      </w:r>
      <w:r w:rsidR="00294CD3">
        <w:rPr>
          <w:rFonts w:asciiTheme="minorHAnsi" w:hAnsiTheme="minorHAnsi"/>
        </w:rPr>
        <w:t xml:space="preserve">(NTLAC), </w:t>
      </w:r>
      <w:r w:rsidR="004E4188" w:rsidRPr="00E3656D">
        <w:rPr>
          <w:rFonts w:asciiTheme="minorHAnsi" w:hAnsiTheme="minorHAnsi"/>
        </w:rPr>
        <w:t xml:space="preserve">play a key role in the Specialist Approach by providing advice and representation to parties before the Court for DFV related matters. </w:t>
      </w:r>
      <w:r w:rsidR="0075043E">
        <w:rPr>
          <w:rStyle w:val="FootnoteReference"/>
          <w:rFonts w:asciiTheme="minorHAnsi" w:hAnsiTheme="minorHAnsi"/>
        </w:rPr>
        <w:footnoteReference w:id="227"/>
      </w:r>
    </w:p>
    <w:p w14:paraId="27DAF720" w14:textId="53E89F61" w:rsidR="004E4188" w:rsidRDefault="004E4188" w:rsidP="00A0471F">
      <w:r w:rsidRPr="00E3656D">
        <w:t>One of the hallmarks of Specialist Approaches in othe</w:t>
      </w:r>
      <w:r w:rsidR="00AD782E">
        <w:t>r jurisdictions is the availability</w:t>
      </w:r>
      <w:r w:rsidRPr="00E3656D">
        <w:t xml:space="preserve"> of legal and non-legal advice and support to both defendants and protected persons in DVO applications</w:t>
      </w:r>
      <w:r w:rsidR="00AD782E">
        <w:t xml:space="preserve"> (see the Specialist DFV</w:t>
      </w:r>
      <w:r w:rsidR="00013ACD">
        <w:t xml:space="preserve"> Courts</w:t>
      </w:r>
      <w:r w:rsidR="00720068">
        <w:t xml:space="preserve"> in Victoria and Queensland)</w:t>
      </w:r>
      <w:r w:rsidRPr="00E3656D">
        <w:t>.</w:t>
      </w:r>
      <w:r w:rsidR="00D62A7F">
        <w:t xml:space="preserve"> </w:t>
      </w:r>
    </w:p>
    <w:p w14:paraId="48AF24B0" w14:textId="47E370BA" w:rsidR="002402D7" w:rsidRDefault="00D62A7F" w:rsidP="00A0471F">
      <w:pPr>
        <w:spacing w:after="120"/>
      </w:pPr>
      <w:r>
        <w:t xml:space="preserve">The Internal Evaluation </w:t>
      </w:r>
      <w:r w:rsidR="003A1C85">
        <w:t>of the Specialist Approach to DFV at th</w:t>
      </w:r>
      <w:r w:rsidR="002402D7">
        <w:t xml:space="preserve">e Alice Springs Local Court </w:t>
      </w:r>
      <w:r>
        <w:t>identified</w:t>
      </w:r>
      <w:r w:rsidR="002402D7">
        <w:t xml:space="preserve"> limitations in legal assistance available at </w:t>
      </w:r>
      <w:r w:rsidR="00C041E7">
        <w:t xml:space="preserve">the Local </w:t>
      </w:r>
      <w:r w:rsidR="002402D7">
        <w:t>Court as an impediment to the aims of the Specialist Approach to improve victim safety and defendant accountability:</w:t>
      </w:r>
    </w:p>
    <w:p w14:paraId="117E26B8" w14:textId="56E676E4" w:rsidR="002402D7" w:rsidRPr="002402D7" w:rsidRDefault="002402D7" w:rsidP="0067521E">
      <w:pPr>
        <w:pStyle w:val="ListParagraph"/>
        <w:numPr>
          <w:ilvl w:val="0"/>
          <w:numId w:val="115"/>
        </w:numPr>
        <w:ind w:left="567" w:hanging="567"/>
        <w:jc w:val="both"/>
        <w:rPr>
          <w:rFonts w:asciiTheme="minorHAnsi" w:hAnsiTheme="minorHAnsi"/>
        </w:rPr>
      </w:pPr>
      <w:r w:rsidRPr="002402D7">
        <w:rPr>
          <w:rFonts w:asciiTheme="minorHAnsi" w:hAnsiTheme="minorHAnsi"/>
        </w:rPr>
        <w:t>In Alice Springs there is no equivalent service to the NT Legal Aid Commission’s Respondent and Early Assistant Legal Service (R</w:t>
      </w:r>
      <w:r w:rsidR="0075043E">
        <w:rPr>
          <w:rFonts w:asciiTheme="minorHAnsi" w:hAnsiTheme="minorHAnsi"/>
        </w:rPr>
        <w:t xml:space="preserve">EALS) which operates in Darwin and is funded by the Australian Government through the NLAP. </w:t>
      </w:r>
    </w:p>
    <w:p w14:paraId="4A718B49" w14:textId="5E20E12E" w:rsidR="002402D7" w:rsidRDefault="002402D7" w:rsidP="0067521E">
      <w:pPr>
        <w:pStyle w:val="ListParagraph"/>
        <w:numPr>
          <w:ilvl w:val="0"/>
          <w:numId w:val="114"/>
        </w:numPr>
        <w:ind w:left="567" w:hanging="567"/>
        <w:jc w:val="both"/>
        <w:rPr>
          <w:rFonts w:asciiTheme="minorHAnsi" w:hAnsiTheme="minorHAnsi" w:cs="Arial"/>
        </w:rPr>
      </w:pPr>
      <w:r w:rsidRPr="002402D7">
        <w:rPr>
          <w:rFonts w:asciiTheme="minorHAnsi" w:hAnsiTheme="minorHAnsi" w:cs="Arial"/>
        </w:rPr>
        <w:t xml:space="preserve">For a period of 9 months (March 2021 to January 2022), the only service available to male defendants in stand-alone DVO matters </w:t>
      </w:r>
      <w:r>
        <w:rPr>
          <w:rFonts w:asciiTheme="minorHAnsi" w:hAnsiTheme="minorHAnsi" w:cs="Arial"/>
        </w:rPr>
        <w:t>(</w:t>
      </w:r>
      <w:r w:rsidRPr="002402D7">
        <w:rPr>
          <w:rFonts w:asciiTheme="minorHAnsi" w:hAnsiTheme="minorHAnsi" w:cs="Arial"/>
        </w:rPr>
        <w:t>and female defendants wh</w:t>
      </w:r>
      <w:r>
        <w:rPr>
          <w:rFonts w:asciiTheme="minorHAnsi" w:hAnsiTheme="minorHAnsi" w:cs="Arial"/>
        </w:rPr>
        <w:t>ere CAWLS were unable to assist)</w:t>
      </w:r>
      <w:r w:rsidRPr="002402D7">
        <w:rPr>
          <w:rFonts w:asciiTheme="minorHAnsi" w:hAnsiTheme="minorHAnsi" w:cs="Arial"/>
        </w:rPr>
        <w:t xml:space="preserve"> was the NTLAC helpline. </w:t>
      </w:r>
    </w:p>
    <w:p w14:paraId="00F93AE7" w14:textId="35B19C06" w:rsidR="002402D7" w:rsidRDefault="002402D7" w:rsidP="0067521E">
      <w:pPr>
        <w:pStyle w:val="ListParagraph"/>
        <w:numPr>
          <w:ilvl w:val="0"/>
          <w:numId w:val="114"/>
        </w:numPr>
        <w:ind w:left="567" w:hanging="567"/>
        <w:jc w:val="both"/>
        <w:rPr>
          <w:rFonts w:asciiTheme="minorHAnsi" w:hAnsiTheme="minorHAnsi"/>
        </w:rPr>
      </w:pPr>
      <w:r>
        <w:rPr>
          <w:rFonts w:asciiTheme="minorHAnsi" w:hAnsiTheme="minorHAnsi"/>
        </w:rPr>
        <w:t>The NTLAC</w:t>
      </w:r>
      <w:r w:rsidRPr="002402D7">
        <w:rPr>
          <w:rFonts w:asciiTheme="minorHAnsi" w:hAnsiTheme="minorHAnsi"/>
        </w:rPr>
        <w:t xml:space="preserve"> currently provides</w:t>
      </w:r>
      <w:r w:rsidR="005749AB">
        <w:rPr>
          <w:rFonts w:asciiTheme="minorHAnsi" w:hAnsiTheme="minorHAnsi"/>
        </w:rPr>
        <w:t xml:space="preserve"> </w:t>
      </w:r>
      <w:r w:rsidRPr="002402D7">
        <w:rPr>
          <w:rFonts w:asciiTheme="minorHAnsi" w:hAnsiTheme="minorHAnsi"/>
        </w:rPr>
        <w:t>duty lawyer assistance to male defendants in these matters and the C</w:t>
      </w:r>
      <w:r w:rsidR="005749AB">
        <w:rPr>
          <w:rFonts w:asciiTheme="minorHAnsi" w:hAnsiTheme="minorHAnsi"/>
        </w:rPr>
        <w:t xml:space="preserve">AWLS </w:t>
      </w:r>
      <w:r w:rsidRPr="002402D7">
        <w:rPr>
          <w:rFonts w:asciiTheme="minorHAnsi" w:hAnsiTheme="minorHAnsi"/>
        </w:rPr>
        <w:t>provide legal assistance to fema</w:t>
      </w:r>
      <w:r>
        <w:rPr>
          <w:rFonts w:asciiTheme="minorHAnsi" w:hAnsiTheme="minorHAnsi"/>
        </w:rPr>
        <w:t xml:space="preserve">le defendants in these matters, however, </w:t>
      </w:r>
      <w:r w:rsidR="005749AB">
        <w:rPr>
          <w:rFonts w:asciiTheme="minorHAnsi" w:hAnsiTheme="minorHAnsi"/>
        </w:rPr>
        <w:t xml:space="preserve">these agencies </w:t>
      </w:r>
      <w:r>
        <w:rPr>
          <w:rFonts w:asciiTheme="minorHAnsi" w:hAnsiTheme="minorHAnsi"/>
        </w:rPr>
        <w:t>report not bei</w:t>
      </w:r>
      <w:r w:rsidR="005749AB">
        <w:rPr>
          <w:rFonts w:asciiTheme="minorHAnsi" w:hAnsiTheme="minorHAnsi"/>
        </w:rPr>
        <w:t>ng adequately funded for these</w:t>
      </w:r>
      <w:r>
        <w:rPr>
          <w:rFonts w:asciiTheme="minorHAnsi" w:hAnsiTheme="minorHAnsi"/>
        </w:rPr>
        <w:t xml:space="preserve"> service</w:t>
      </w:r>
      <w:r w:rsidR="005749AB">
        <w:rPr>
          <w:rFonts w:asciiTheme="minorHAnsi" w:hAnsiTheme="minorHAnsi"/>
        </w:rPr>
        <w:t>s</w:t>
      </w:r>
      <w:r>
        <w:rPr>
          <w:rFonts w:asciiTheme="minorHAnsi" w:hAnsiTheme="minorHAnsi"/>
        </w:rPr>
        <w:t>.</w:t>
      </w:r>
      <w:r w:rsidR="000E6376">
        <w:rPr>
          <w:rFonts w:asciiTheme="minorHAnsi" w:hAnsiTheme="minorHAnsi"/>
        </w:rPr>
        <w:t xml:space="preserve"> </w:t>
      </w:r>
    </w:p>
    <w:p w14:paraId="46660571" w14:textId="07C596AD" w:rsidR="002402D7" w:rsidRPr="002402D7" w:rsidRDefault="002402D7" w:rsidP="0067521E">
      <w:pPr>
        <w:pStyle w:val="ListParagraph"/>
        <w:numPr>
          <w:ilvl w:val="0"/>
          <w:numId w:val="115"/>
        </w:numPr>
        <w:spacing w:after="200"/>
        <w:ind w:left="567" w:hanging="567"/>
        <w:jc w:val="both"/>
        <w:rPr>
          <w:rFonts w:asciiTheme="minorHAnsi" w:hAnsiTheme="minorHAnsi"/>
        </w:rPr>
      </w:pPr>
      <w:r>
        <w:rPr>
          <w:rFonts w:asciiTheme="minorHAnsi" w:hAnsiTheme="minorHAnsi"/>
        </w:rPr>
        <w:t>CAWLS has reported that their funding is inadequat</w:t>
      </w:r>
      <w:r w:rsidR="005749AB">
        <w:rPr>
          <w:rFonts w:asciiTheme="minorHAnsi" w:hAnsiTheme="minorHAnsi"/>
        </w:rPr>
        <w:t>e to meet the needs of female protected persons and defendants.</w:t>
      </w:r>
    </w:p>
    <w:p w14:paraId="07F66181" w14:textId="1E5315FB" w:rsidR="00233562" w:rsidRPr="00024139" w:rsidRDefault="005749AB" w:rsidP="00A0471F">
      <w:pPr>
        <w:spacing w:after="0"/>
        <w:jc w:val="both"/>
        <w:rPr>
          <w:rFonts w:asciiTheme="minorHAnsi" w:hAnsiTheme="minorHAnsi"/>
        </w:rPr>
      </w:pPr>
      <w:r>
        <w:rPr>
          <w:rFonts w:asciiTheme="minorHAnsi" w:hAnsiTheme="minorHAnsi"/>
        </w:rPr>
        <w:t>There may be limitations in services other than Alice Springs which also need to be addressed.</w:t>
      </w:r>
    </w:p>
    <w:p w14:paraId="332AEC85" w14:textId="17E95C3E" w:rsidR="004E4188" w:rsidRDefault="00461CB7" w:rsidP="00A0471F">
      <w:pPr>
        <w:pStyle w:val="Heading4"/>
        <w:keepNext/>
        <w:numPr>
          <w:ilvl w:val="0"/>
          <w:numId w:val="0"/>
        </w:numPr>
        <w:spacing w:after="0" w:line="259" w:lineRule="auto"/>
        <w:ind w:left="864" w:hanging="864"/>
      </w:pPr>
      <w:r>
        <w:lastRenderedPageBreak/>
        <w:t>PROPOSAL SR 18</w:t>
      </w:r>
      <w:r w:rsidR="002A75C7">
        <w:t xml:space="preserve"> </w:t>
      </w:r>
    </w:p>
    <w:p w14:paraId="10C06C42" w14:textId="54E97AF6" w:rsidR="0095673C" w:rsidRPr="000E3942" w:rsidRDefault="00393F4F" w:rsidP="00A0471F">
      <w:pPr>
        <w:keepNext/>
        <w:spacing w:after="0" w:line="259" w:lineRule="auto"/>
        <w:rPr>
          <w:b/>
        </w:rPr>
      </w:pPr>
      <w:r>
        <w:rPr>
          <w:b/>
        </w:rPr>
        <w:t>It is proposed t</w:t>
      </w:r>
      <w:r w:rsidR="006B6BCA">
        <w:rPr>
          <w:b/>
        </w:rPr>
        <w:t xml:space="preserve">hat </w:t>
      </w:r>
      <w:r>
        <w:rPr>
          <w:b/>
        </w:rPr>
        <w:t xml:space="preserve">as part of the </w:t>
      </w:r>
      <w:r w:rsidR="00E37E7C">
        <w:rPr>
          <w:b/>
        </w:rPr>
        <w:t>DFSV-ICRO</w:t>
      </w:r>
      <w:r>
        <w:rPr>
          <w:b/>
        </w:rPr>
        <w:t xml:space="preserve"> reform agenda, </w:t>
      </w:r>
      <w:r w:rsidR="006B6BCA">
        <w:rPr>
          <w:b/>
        </w:rPr>
        <w:t xml:space="preserve">AGD </w:t>
      </w:r>
      <w:r>
        <w:rPr>
          <w:b/>
        </w:rPr>
        <w:t>review the capaci</w:t>
      </w:r>
      <w:r w:rsidR="006B6BCA">
        <w:rPr>
          <w:b/>
        </w:rPr>
        <w:t>ty of legal services to provide</w:t>
      </w:r>
      <w:r>
        <w:rPr>
          <w:b/>
        </w:rPr>
        <w:t xml:space="preserve"> legal assistance </w:t>
      </w:r>
      <w:r w:rsidR="0095673C" w:rsidRPr="000E3942">
        <w:rPr>
          <w:b/>
        </w:rPr>
        <w:t xml:space="preserve">to </w:t>
      </w:r>
      <w:r w:rsidR="005749AB">
        <w:rPr>
          <w:b/>
        </w:rPr>
        <w:t>protected persons and defendants in proceedings under the DFV</w:t>
      </w:r>
      <w:r w:rsidR="00A0471F">
        <w:rPr>
          <w:b/>
        </w:rPr>
        <w:t> </w:t>
      </w:r>
      <w:r w:rsidR="005749AB">
        <w:rPr>
          <w:b/>
        </w:rPr>
        <w:t>A</w:t>
      </w:r>
      <w:r w:rsidR="00A0471F">
        <w:rPr>
          <w:b/>
        </w:rPr>
        <w:t>ct</w:t>
      </w:r>
      <w:r w:rsidR="006B6BCA">
        <w:rPr>
          <w:b/>
        </w:rPr>
        <w:t>, with a view to</w:t>
      </w:r>
      <w:r w:rsidR="0095673C" w:rsidRPr="000E3942">
        <w:rPr>
          <w:b/>
        </w:rPr>
        <w:t>:</w:t>
      </w:r>
    </w:p>
    <w:p w14:paraId="4105CD75" w14:textId="362354BC" w:rsidR="0095673C" w:rsidRPr="000E3942" w:rsidRDefault="00A0471F" w:rsidP="0067521E">
      <w:pPr>
        <w:pStyle w:val="ListParagraph"/>
        <w:numPr>
          <w:ilvl w:val="1"/>
          <w:numId w:val="60"/>
        </w:numPr>
        <w:spacing w:after="0" w:line="259" w:lineRule="auto"/>
        <w:ind w:left="567" w:hanging="567"/>
        <w:rPr>
          <w:b/>
        </w:rPr>
      </w:pPr>
      <w:r>
        <w:rPr>
          <w:b/>
        </w:rPr>
        <w:t>strengthening</w:t>
      </w:r>
      <w:r w:rsidRPr="000E3942">
        <w:rPr>
          <w:b/>
        </w:rPr>
        <w:t xml:space="preserve"> </w:t>
      </w:r>
      <w:r w:rsidR="0095673C" w:rsidRPr="000E3942">
        <w:rPr>
          <w:b/>
        </w:rPr>
        <w:t>the provision of legal advice and assistance for prote</w:t>
      </w:r>
      <w:r w:rsidR="006B6BCA">
        <w:rPr>
          <w:b/>
        </w:rPr>
        <w:t>cted persons in DVO proceedings</w:t>
      </w:r>
      <w:r>
        <w:rPr>
          <w:b/>
        </w:rPr>
        <w:t>;</w:t>
      </w:r>
    </w:p>
    <w:p w14:paraId="16A7E529" w14:textId="449EC0CA" w:rsidR="0095673C" w:rsidRPr="005749AB" w:rsidRDefault="00A0471F" w:rsidP="0067521E">
      <w:pPr>
        <w:pStyle w:val="ListParagraph"/>
        <w:numPr>
          <w:ilvl w:val="1"/>
          <w:numId w:val="60"/>
        </w:numPr>
        <w:spacing w:after="0" w:line="259" w:lineRule="auto"/>
        <w:ind w:left="567" w:hanging="567"/>
      </w:pPr>
      <w:r>
        <w:rPr>
          <w:b/>
        </w:rPr>
        <w:t>introducing</w:t>
      </w:r>
      <w:r w:rsidRPr="000E3942">
        <w:rPr>
          <w:b/>
        </w:rPr>
        <w:t xml:space="preserve"> </w:t>
      </w:r>
      <w:r w:rsidR="006B6BCA">
        <w:rPr>
          <w:b/>
        </w:rPr>
        <w:t xml:space="preserve">a </w:t>
      </w:r>
      <w:r w:rsidR="0095673C" w:rsidRPr="000E3942">
        <w:rPr>
          <w:b/>
        </w:rPr>
        <w:t>service in Alice Springs to provide legal advice, assistance and support to mal</w:t>
      </w:r>
      <w:r w:rsidR="006B6BCA">
        <w:rPr>
          <w:b/>
        </w:rPr>
        <w:t>e defendants in DVO proceedings</w:t>
      </w:r>
      <w:r>
        <w:rPr>
          <w:b/>
        </w:rPr>
        <w:t>;</w:t>
      </w:r>
    </w:p>
    <w:p w14:paraId="3B26BED9" w14:textId="6FC72920" w:rsidR="000E3942" w:rsidRPr="00816F8D" w:rsidRDefault="00A0471F" w:rsidP="0067521E">
      <w:pPr>
        <w:pStyle w:val="ListParagraph"/>
        <w:numPr>
          <w:ilvl w:val="1"/>
          <w:numId w:val="60"/>
        </w:numPr>
        <w:spacing w:after="0" w:line="259" w:lineRule="auto"/>
        <w:ind w:left="567" w:hanging="567"/>
      </w:pPr>
      <w:r>
        <w:rPr>
          <w:b/>
        </w:rPr>
        <w:t xml:space="preserve">identifying </w:t>
      </w:r>
      <w:r w:rsidR="005749AB">
        <w:rPr>
          <w:b/>
        </w:rPr>
        <w:t>other ser</w:t>
      </w:r>
      <w:r w:rsidR="006B6BCA">
        <w:rPr>
          <w:b/>
        </w:rPr>
        <w:t>vice gaps in relation to legal assistance for proceedings under the DFV</w:t>
      </w:r>
      <w:r>
        <w:rPr>
          <w:b/>
        </w:rPr>
        <w:t> </w:t>
      </w:r>
      <w:r w:rsidR="006B6BCA">
        <w:rPr>
          <w:b/>
        </w:rPr>
        <w:t>A</w:t>
      </w:r>
      <w:r>
        <w:rPr>
          <w:b/>
        </w:rPr>
        <w:t>ct</w:t>
      </w:r>
      <w:r w:rsidR="006B6BCA">
        <w:rPr>
          <w:b/>
        </w:rPr>
        <w:t>.</w:t>
      </w:r>
    </w:p>
    <w:p w14:paraId="409E4342" w14:textId="37B84B0B" w:rsidR="00B35272" w:rsidRDefault="005C284C" w:rsidP="00A0471F">
      <w:pPr>
        <w:pStyle w:val="Heading2"/>
        <w:keepNext/>
        <w:ind w:left="1134" w:hanging="578"/>
        <w:rPr>
          <w:lang w:eastAsia="en-AU"/>
        </w:rPr>
      </w:pPr>
      <w:bookmarkStart w:id="121" w:name="_Toc112051904"/>
      <w:r>
        <w:rPr>
          <w:lang w:eastAsia="en-AU"/>
        </w:rPr>
        <w:t>Non-legal</w:t>
      </w:r>
      <w:r w:rsidR="00752152">
        <w:rPr>
          <w:lang w:eastAsia="en-AU"/>
        </w:rPr>
        <w:t xml:space="preserve"> </w:t>
      </w:r>
      <w:r>
        <w:rPr>
          <w:lang w:eastAsia="en-AU"/>
        </w:rPr>
        <w:t>support and assistance at Court</w:t>
      </w:r>
      <w:bookmarkEnd w:id="121"/>
      <w:r w:rsidR="00752152">
        <w:rPr>
          <w:lang w:eastAsia="en-AU"/>
        </w:rPr>
        <w:t xml:space="preserve"> </w:t>
      </w:r>
    </w:p>
    <w:p w14:paraId="0BD7A459" w14:textId="60AF550D" w:rsidR="00D97AF8" w:rsidRDefault="00D97AF8" w:rsidP="00B35272">
      <w:pPr>
        <w:rPr>
          <w:lang w:eastAsia="en-AU"/>
        </w:rPr>
      </w:pPr>
      <w:r>
        <w:rPr>
          <w:lang w:eastAsia="en-AU"/>
        </w:rPr>
        <w:t xml:space="preserve">Attendance at </w:t>
      </w:r>
      <w:r w:rsidR="00A0471F">
        <w:rPr>
          <w:lang w:eastAsia="en-AU"/>
        </w:rPr>
        <w:t xml:space="preserve">court </w:t>
      </w:r>
      <w:r>
        <w:rPr>
          <w:lang w:eastAsia="en-AU"/>
        </w:rPr>
        <w:t>for proceedings related to DFV can be very stressful for all parties and may result in heightened safety risks.  It may also pr</w:t>
      </w:r>
      <w:r w:rsidR="00CB1AB9">
        <w:rPr>
          <w:lang w:eastAsia="en-AU"/>
        </w:rPr>
        <w:t>ovide a window of engagement that can instigate</w:t>
      </w:r>
      <w:r>
        <w:rPr>
          <w:lang w:eastAsia="en-AU"/>
        </w:rPr>
        <w:t xml:space="preserve"> change </w:t>
      </w:r>
      <w:r w:rsidR="00CB1AB9">
        <w:rPr>
          <w:lang w:eastAsia="en-AU"/>
        </w:rPr>
        <w:t>i</w:t>
      </w:r>
      <w:r>
        <w:rPr>
          <w:lang w:eastAsia="en-AU"/>
        </w:rPr>
        <w:t xml:space="preserve">f helpful services are provided at the right time. </w:t>
      </w:r>
      <w:r w:rsidR="00A0471F">
        <w:rPr>
          <w:lang w:eastAsia="en-AU"/>
        </w:rPr>
        <w:t xml:space="preserve"> </w:t>
      </w:r>
      <w:r w:rsidR="006D484A">
        <w:rPr>
          <w:lang w:eastAsia="en-AU"/>
        </w:rPr>
        <w:t xml:space="preserve">It is </w:t>
      </w:r>
      <w:r w:rsidR="00CB1AB9">
        <w:rPr>
          <w:lang w:eastAsia="en-AU"/>
        </w:rPr>
        <w:t xml:space="preserve">therefore </w:t>
      </w:r>
      <w:r w:rsidR="006D484A">
        <w:rPr>
          <w:lang w:eastAsia="en-AU"/>
        </w:rPr>
        <w:t xml:space="preserve">important that </w:t>
      </w:r>
      <w:r w:rsidR="00FA1F40">
        <w:rPr>
          <w:lang w:eastAsia="en-AU"/>
        </w:rPr>
        <w:t>support and as</w:t>
      </w:r>
      <w:r w:rsidR="006D484A">
        <w:rPr>
          <w:lang w:eastAsia="en-AU"/>
        </w:rPr>
        <w:t xml:space="preserve">sistance other than legal services is readily accessible at </w:t>
      </w:r>
      <w:r w:rsidR="00A0471F">
        <w:rPr>
          <w:lang w:eastAsia="en-AU"/>
        </w:rPr>
        <w:t xml:space="preserve">court </w:t>
      </w:r>
      <w:r w:rsidR="006D484A">
        <w:rPr>
          <w:lang w:eastAsia="en-AU"/>
        </w:rPr>
        <w:t>for the parties to proceeding</w:t>
      </w:r>
      <w:r>
        <w:rPr>
          <w:lang w:eastAsia="en-AU"/>
        </w:rPr>
        <w:t>s under the DFV</w:t>
      </w:r>
      <w:r w:rsidR="00A0471F">
        <w:rPr>
          <w:lang w:eastAsia="en-AU"/>
        </w:rPr>
        <w:t> </w:t>
      </w:r>
      <w:r>
        <w:rPr>
          <w:lang w:eastAsia="en-AU"/>
        </w:rPr>
        <w:t>A</w:t>
      </w:r>
      <w:r w:rsidR="00A0471F">
        <w:rPr>
          <w:lang w:eastAsia="en-AU"/>
        </w:rPr>
        <w:t>ct</w:t>
      </w:r>
      <w:r w:rsidR="00FA1F40">
        <w:rPr>
          <w:lang w:eastAsia="en-AU"/>
        </w:rPr>
        <w:t xml:space="preserve">.  </w:t>
      </w:r>
      <w:r w:rsidR="003C2319">
        <w:rPr>
          <w:lang w:eastAsia="en-AU"/>
        </w:rPr>
        <w:t>This is critical for victim safety and defendant accountability, and may make a significant contribution to reducing reoffending</w:t>
      </w:r>
      <w:r w:rsidR="00FF6AC9">
        <w:rPr>
          <w:lang w:eastAsia="en-AU"/>
        </w:rPr>
        <w:t xml:space="preserve"> and breaches of DVOs</w:t>
      </w:r>
      <w:r w:rsidR="003C2319">
        <w:rPr>
          <w:lang w:eastAsia="en-AU"/>
        </w:rPr>
        <w:t>.</w:t>
      </w:r>
    </w:p>
    <w:p w14:paraId="68777B5A" w14:textId="1ABF5B48" w:rsidR="001C01B8" w:rsidRDefault="001C01B8" w:rsidP="00A0471F">
      <w:pPr>
        <w:spacing w:after="120"/>
        <w:rPr>
          <w:lang w:eastAsia="en-AU"/>
        </w:rPr>
      </w:pPr>
      <w:r>
        <w:rPr>
          <w:lang w:eastAsia="en-AU"/>
        </w:rPr>
        <w:t>For victim-survivors, non-legal support may need to include:</w:t>
      </w:r>
    </w:p>
    <w:p w14:paraId="7A3629DD" w14:textId="65CECFD1" w:rsidR="001C01B8" w:rsidRDefault="00A0471F" w:rsidP="0067521E">
      <w:pPr>
        <w:pStyle w:val="ListParagraph"/>
        <w:numPr>
          <w:ilvl w:val="0"/>
          <w:numId w:val="111"/>
        </w:numPr>
        <w:ind w:left="993" w:hanging="426"/>
        <w:rPr>
          <w:lang w:eastAsia="en-AU"/>
        </w:rPr>
      </w:pPr>
      <w:r>
        <w:rPr>
          <w:lang w:eastAsia="en-AU"/>
        </w:rPr>
        <w:t xml:space="preserve">a </w:t>
      </w:r>
      <w:r w:rsidR="00FF6AC9">
        <w:rPr>
          <w:lang w:eastAsia="en-AU"/>
        </w:rPr>
        <w:t>thorough r</w:t>
      </w:r>
      <w:r w:rsidR="001C01B8">
        <w:rPr>
          <w:lang w:eastAsia="en-AU"/>
        </w:rPr>
        <w:t>isk assessment</w:t>
      </w:r>
      <w:r w:rsidR="00FF6AC9">
        <w:rPr>
          <w:lang w:eastAsia="en-AU"/>
        </w:rPr>
        <w:t>, using the RAMF</w:t>
      </w:r>
      <w:r>
        <w:rPr>
          <w:lang w:eastAsia="en-AU"/>
        </w:rPr>
        <w:t>;</w:t>
      </w:r>
    </w:p>
    <w:p w14:paraId="0EE970CF" w14:textId="238E7A1E" w:rsidR="001C01B8" w:rsidRDefault="00A0471F" w:rsidP="0067521E">
      <w:pPr>
        <w:pStyle w:val="ListParagraph"/>
        <w:numPr>
          <w:ilvl w:val="0"/>
          <w:numId w:val="111"/>
        </w:numPr>
        <w:ind w:left="993" w:hanging="426"/>
        <w:rPr>
          <w:lang w:eastAsia="en-AU"/>
        </w:rPr>
      </w:pPr>
      <w:r>
        <w:rPr>
          <w:lang w:eastAsia="en-AU"/>
        </w:rPr>
        <w:t xml:space="preserve">support </w:t>
      </w:r>
      <w:r w:rsidR="001C01B8">
        <w:rPr>
          <w:lang w:eastAsia="en-AU"/>
        </w:rPr>
        <w:t>and referral</w:t>
      </w:r>
      <w:r w:rsidR="003B1B6D">
        <w:rPr>
          <w:lang w:eastAsia="en-AU"/>
        </w:rPr>
        <w:t>, to a range of services (including health, housing and financial services)</w:t>
      </w:r>
      <w:r>
        <w:rPr>
          <w:lang w:eastAsia="en-AU"/>
        </w:rPr>
        <w:t>;</w:t>
      </w:r>
    </w:p>
    <w:p w14:paraId="3B107997" w14:textId="7BECBF40" w:rsidR="001C01B8" w:rsidRDefault="00A0471F" w:rsidP="0067521E">
      <w:pPr>
        <w:pStyle w:val="ListParagraph"/>
        <w:numPr>
          <w:ilvl w:val="0"/>
          <w:numId w:val="111"/>
        </w:numPr>
        <w:spacing w:after="200"/>
        <w:ind w:left="992" w:hanging="425"/>
        <w:rPr>
          <w:lang w:eastAsia="en-AU"/>
        </w:rPr>
      </w:pPr>
      <w:r>
        <w:rPr>
          <w:lang w:eastAsia="en-AU"/>
        </w:rPr>
        <w:t xml:space="preserve">safety </w:t>
      </w:r>
      <w:r w:rsidR="001C01B8">
        <w:rPr>
          <w:lang w:eastAsia="en-AU"/>
        </w:rPr>
        <w:t>planning</w:t>
      </w:r>
      <w:r w:rsidR="00AC2768">
        <w:rPr>
          <w:lang w:eastAsia="en-AU"/>
        </w:rPr>
        <w:t>.</w:t>
      </w:r>
    </w:p>
    <w:p w14:paraId="69CA501A" w14:textId="284846C4" w:rsidR="00FF6AC9" w:rsidRDefault="001C01B8" w:rsidP="00A0471F">
      <w:pPr>
        <w:rPr>
          <w:lang w:eastAsia="en-AU"/>
        </w:rPr>
      </w:pPr>
      <w:r>
        <w:rPr>
          <w:lang w:eastAsia="en-AU"/>
        </w:rPr>
        <w:t xml:space="preserve">Some non-legal support services are available to victim-survivors through Specialist DFV Services and legal assistance services (and for serious criminal matters through the DPP’s Witness Assistance Service).  </w:t>
      </w:r>
      <w:r w:rsidR="00711755">
        <w:rPr>
          <w:lang w:eastAsia="en-AU"/>
        </w:rPr>
        <w:t xml:space="preserve">However, as part of the </w:t>
      </w:r>
      <w:r w:rsidR="00E37E7C">
        <w:rPr>
          <w:lang w:eastAsia="en-AU"/>
        </w:rPr>
        <w:t>DFSV-ICRO</w:t>
      </w:r>
      <w:r w:rsidR="00711755">
        <w:rPr>
          <w:lang w:eastAsia="en-AU"/>
        </w:rPr>
        <w:t xml:space="preserve"> reform agenda it is necessary to consider the </w:t>
      </w:r>
      <w:r w:rsidR="00AC2768">
        <w:rPr>
          <w:lang w:eastAsia="en-AU"/>
        </w:rPr>
        <w:t xml:space="preserve">nature of the services provided, including demand and capacity questions.  </w:t>
      </w:r>
      <w:r w:rsidR="003B1B6D" w:rsidRPr="00627D34">
        <w:rPr>
          <w:lang w:eastAsia="en-AU"/>
        </w:rPr>
        <w:t>In 2020/21</w:t>
      </w:r>
      <w:r w:rsidR="00A0471F">
        <w:rPr>
          <w:lang w:eastAsia="en-AU"/>
        </w:rPr>
        <w:t>, there were 4280 </w:t>
      </w:r>
      <w:r w:rsidR="003B1B6D" w:rsidRPr="00627D34">
        <w:rPr>
          <w:lang w:eastAsia="en-AU"/>
        </w:rPr>
        <w:t>applications for a</w:t>
      </w:r>
      <w:r w:rsidR="003B1B6D">
        <w:rPr>
          <w:lang w:eastAsia="en-AU"/>
        </w:rPr>
        <w:t xml:space="preserve"> DVO application in the NT which is </w:t>
      </w:r>
      <w:r w:rsidR="003B1B6D" w:rsidRPr="00627D34">
        <w:rPr>
          <w:lang w:eastAsia="en-AU"/>
        </w:rPr>
        <w:t xml:space="preserve">on average 82 applications per week.  </w:t>
      </w:r>
    </w:p>
    <w:p w14:paraId="5BEBBA3A" w14:textId="7EC89D03" w:rsidR="001C01B8" w:rsidRPr="001C01B8" w:rsidRDefault="001C01B8" w:rsidP="00A0471F">
      <w:pPr>
        <w:spacing w:after="120"/>
        <w:rPr>
          <w:lang w:eastAsia="en-AU"/>
        </w:rPr>
      </w:pPr>
      <w:r>
        <w:rPr>
          <w:lang w:eastAsia="en-AU"/>
        </w:rPr>
        <w:t>F</w:t>
      </w:r>
      <w:r>
        <w:rPr>
          <w:rFonts w:eastAsiaTheme="minorEastAsia"/>
          <w:iCs/>
          <w:lang w:eastAsia="en-AU"/>
        </w:rPr>
        <w:t>or defendants in DFV matters, non-legal support may need to include:</w:t>
      </w:r>
    </w:p>
    <w:p w14:paraId="6BC26B69" w14:textId="310A9189" w:rsidR="001C01B8" w:rsidRDefault="00A0471F" w:rsidP="0067521E">
      <w:pPr>
        <w:pStyle w:val="ListParagraph"/>
        <w:numPr>
          <w:ilvl w:val="0"/>
          <w:numId w:val="112"/>
        </w:numPr>
        <w:ind w:left="993" w:hanging="426"/>
        <w:rPr>
          <w:lang w:eastAsia="en-AU"/>
        </w:rPr>
      </w:pPr>
      <w:r>
        <w:rPr>
          <w:lang w:eastAsia="en-AU"/>
        </w:rPr>
        <w:t xml:space="preserve">assessment </w:t>
      </w:r>
      <w:r w:rsidR="001C01B8">
        <w:rPr>
          <w:lang w:eastAsia="en-AU"/>
        </w:rPr>
        <w:t>for programs</w:t>
      </w:r>
      <w:r>
        <w:rPr>
          <w:lang w:eastAsia="en-AU"/>
        </w:rPr>
        <w:t>;</w:t>
      </w:r>
    </w:p>
    <w:p w14:paraId="40390630" w14:textId="6C55A41D" w:rsidR="001C01B8" w:rsidRDefault="00A0471F" w:rsidP="0067521E">
      <w:pPr>
        <w:pStyle w:val="ListParagraph"/>
        <w:numPr>
          <w:ilvl w:val="0"/>
          <w:numId w:val="112"/>
        </w:numPr>
        <w:ind w:left="993" w:hanging="426"/>
        <w:rPr>
          <w:lang w:eastAsia="en-AU"/>
        </w:rPr>
      </w:pPr>
      <w:r>
        <w:rPr>
          <w:lang w:eastAsia="en-AU"/>
        </w:rPr>
        <w:t xml:space="preserve">support </w:t>
      </w:r>
      <w:r w:rsidR="001C01B8">
        <w:rPr>
          <w:lang w:eastAsia="en-AU"/>
        </w:rPr>
        <w:t>and referral</w:t>
      </w:r>
      <w:r>
        <w:rPr>
          <w:lang w:eastAsia="en-AU"/>
        </w:rPr>
        <w:t>;</w:t>
      </w:r>
    </w:p>
    <w:p w14:paraId="5E2EF3C2" w14:textId="16FCA11F" w:rsidR="001C01B8" w:rsidRDefault="00A0471F" w:rsidP="0067521E">
      <w:pPr>
        <w:pStyle w:val="ListParagraph"/>
        <w:numPr>
          <w:ilvl w:val="0"/>
          <w:numId w:val="112"/>
        </w:numPr>
        <w:spacing w:after="200"/>
        <w:ind w:left="992" w:hanging="425"/>
        <w:rPr>
          <w:lang w:eastAsia="en-AU"/>
        </w:rPr>
      </w:pPr>
      <w:r>
        <w:rPr>
          <w:lang w:eastAsia="en-AU"/>
        </w:rPr>
        <w:t xml:space="preserve">addressing </w:t>
      </w:r>
      <w:r w:rsidR="001C01B8">
        <w:rPr>
          <w:lang w:eastAsia="en-AU"/>
        </w:rPr>
        <w:t>issues that co-exist with the DFV offending, for example, alcohol and drug use and mental health issues.</w:t>
      </w:r>
    </w:p>
    <w:p w14:paraId="54D7236F" w14:textId="3AC7C23E" w:rsidR="005749AB" w:rsidRDefault="00756B94" w:rsidP="005749AB">
      <w:pPr>
        <w:rPr>
          <w:lang w:eastAsia="en-AU"/>
        </w:rPr>
      </w:pPr>
      <w:r>
        <w:rPr>
          <w:lang w:eastAsia="en-AU"/>
        </w:rPr>
        <w:t>Services provided at Court</w:t>
      </w:r>
      <w:r w:rsidR="009F4958">
        <w:rPr>
          <w:lang w:eastAsia="en-AU"/>
        </w:rPr>
        <w:t xml:space="preserve"> may provide </w:t>
      </w:r>
      <w:r>
        <w:rPr>
          <w:lang w:eastAsia="en-AU"/>
        </w:rPr>
        <w:t xml:space="preserve">an </w:t>
      </w:r>
      <w:r w:rsidR="009F4958">
        <w:rPr>
          <w:lang w:eastAsia="en-AU"/>
        </w:rPr>
        <w:t xml:space="preserve">impetus </w:t>
      </w:r>
      <w:r w:rsidR="005749AB">
        <w:rPr>
          <w:lang w:eastAsia="en-AU"/>
        </w:rPr>
        <w:t>for defendants to take responsibility for their actions and to change their beha</w:t>
      </w:r>
      <w:r>
        <w:rPr>
          <w:lang w:eastAsia="en-AU"/>
        </w:rPr>
        <w:t>viour.</w:t>
      </w:r>
    </w:p>
    <w:p w14:paraId="30394B47" w14:textId="01C918DF" w:rsidR="001C01B8" w:rsidRDefault="001C01B8" w:rsidP="00A0471F">
      <w:pPr>
        <w:spacing w:after="120"/>
        <w:rPr>
          <w:lang w:eastAsia="en-AU"/>
        </w:rPr>
      </w:pPr>
      <w:r>
        <w:rPr>
          <w:lang w:eastAsia="en-AU"/>
        </w:rPr>
        <w:t>Existing services include:</w:t>
      </w:r>
    </w:p>
    <w:p w14:paraId="1ACBE148" w14:textId="5AC435D6" w:rsidR="001C01B8" w:rsidRDefault="00A0471F" w:rsidP="0067521E">
      <w:pPr>
        <w:pStyle w:val="ListParagraph"/>
        <w:numPr>
          <w:ilvl w:val="0"/>
          <w:numId w:val="113"/>
        </w:numPr>
        <w:ind w:left="993" w:hanging="426"/>
        <w:rPr>
          <w:lang w:eastAsia="en-AU"/>
        </w:rPr>
      </w:pPr>
      <w:r>
        <w:rPr>
          <w:lang w:eastAsia="en-AU"/>
        </w:rPr>
        <w:t xml:space="preserve">the </w:t>
      </w:r>
      <w:r w:rsidR="001C01B8">
        <w:rPr>
          <w:lang w:eastAsia="en-AU"/>
        </w:rPr>
        <w:t>Men’s Outreach and Referral Service (MOARs) Worker in Alice Springs</w:t>
      </w:r>
      <w:r>
        <w:rPr>
          <w:lang w:eastAsia="en-AU"/>
        </w:rPr>
        <w:t xml:space="preserve"> funded by TFHC; and</w:t>
      </w:r>
    </w:p>
    <w:p w14:paraId="697DBDEA" w14:textId="2A1C783C" w:rsidR="001C01B8" w:rsidRDefault="00A0471F" w:rsidP="0067521E">
      <w:pPr>
        <w:pStyle w:val="ListParagraph"/>
        <w:numPr>
          <w:ilvl w:val="0"/>
          <w:numId w:val="113"/>
        </w:numPr>
        <w:ind w:left="993" w:hanging="426"/>
        <w:rPr>
          <w:lang w:eastAsia="en-AU"/>
        </w:rPr>
      </w:pPr>
      <w:r>
        <w:rPr>
          <w:lang w:eastAsia="en-AU"/>
        </w:rPr>
        <w:t xml:space="preserve">the </w:t>
      </w:r>
      <w:r w:rsidR="001C01B8">
        <w:rPr>
          <w:lang w:eastAsia="en-AU"/>
        </w:rPr>
        <w:t>Respondent Early Assistance L</w:t>
      </w:r>
      <w:r w:rsidR="004F7CED">
        <w:rPr>
          <w:lang w:eastAsia="en-AU"/>
        </w:rPr>
        <w:t>iving (REALS) program in Darwin</w:t>
      </w:r>
      <w:r w:rsidR="00756B94">
        <w:rPr>
          <w:lang w:eastAsia="en-AU"/>
        </w:rPr>
        <w:t>, funded through the NLAP.</w:t>
      </w:r>
    </w:p>
    <w:p w14:paraId="4DB9DFEF" w14:textId="2DC45EF5" w:rsidR="002A75C7" w:rsidRPr="002A75C7" w:rsidRDefault="00013352" w:rsidP="00A0471F">
      <w:pPr>
        <w:pStyle w:val="Heading4"/>
        <w:keepNext/>
        <w:numPr>
          <w:ilvl w:val="0"/>
          <w:numId w:val="0"/>
        </w:numPr>
        <w:spacing w:after="0" w:line="259" w:lineRule="auto"/>
        <w:ind w:left="864" w:hanging="864"/>
        <w:rPr>
          <w:lang w:eastAsia="en-AU"/>
        </w:rPr>
      </w:pPr>
      <w:r>
        <w:rPr>
          <w:lang w:eastAsia="en-AU"/>
        </w:rPr>
        <w:lastRenderedPageBreak/>
        <w:t>PROPOSAL SR 19</w:t>
      </w:r>
    </w:p>
    <w:p w14:paraId="379143F3" w14:textId="3A195134" w:rsidR="00393F4F" w:rsidRDefault="00756B94" w:rsidP="00A0471F">
      <w:pPr>
        <w:keepNext/>
        <w:spacing w:after="0" w:line="259" w:lineRule="auto"/>
        <w:rPr>
          <w:b/>
        </w:rPr>
      </w:pPr>
      <w:r>
        <w:rPr>
          <w:b/>
        </w:rPr>
        <w:t>It is proposed that as part of the</w:t>
      </w:r>
      <w:r w:rsidR="00393F4F">
        <w:rPr>
          <w:b/>
        </w:rPr>
        <w:t xml:space="preserve"> </w:t>
      </w:r>
      <w:r w:rsidR="00E37E7C">
        <w:rPr>
          <w:b/>
        </w:rPr>
        <w:t>DFSV-ICRO</w:t>
      </w:r>
      <w:r w:rsidR="00393F4F">
        <w:rPr>
          <w:b/>
        </w:rPr>
        <w:t xml:space="preserve"> </w:t>
      </w:r>
      <w:r>
        <w:rPr>
          <w:b/>
        </w:rPr>
        <w:t xml:space="preserve">reform agenda </w:t>
      </w:r>
      <w:r w:rsidR="00393F4F">
        <w:rPr>
          <w:b/>
        </w:rPr>
        <w:t>c</w:t>
      </w:r>
      <w:r w:rsidR="002432F0">
        <w:rPr>
          <w:b/>
        </w:rPr>
        <w:t>onsider</w:t>
      </w:r>
      <w:r>
        <w:rPr>
          <w:b/>
        </w:rPr>
        <w:t>ation be given to</w:t>
      </w:r>
      <w:r w:rsidR="00393F4F">
        <w:rPr>
          <w:b/>
        </w:rPr>
        <w:t xml:space="preserve"> whether:</w:t>
      </w:r>
    </w:p>
    <w:p w14:paraId="1CD32061" w14:textId="7033A351" w:rsidR="00393F4F" w:rsidRDefault="00A0471F" w:rsidP="0067521E">
      <w:pPr>
        <w:pStyle w:val="ListParagraph"/>
        <w:numPr>
          <w:ilvl w:val="0"/>
          <w:numId w:val="139"/>
        </w:numPr>
        <w:spacing w:after="0" w:line="259" w:lineRule="auto"/>
        <w:ind w:left="567" w:hanging="567"/>
        <w:rPr>
          <w:b/>
        </w:rPr>
      </w:pPr>
      <w:r>
        <w:rPr>
          <w:b/>
        </w:rPr>
        <w:t xml:space="preserve">existing </w:t>
      </w:r>
      <w:r w:rsidR="009F4958" w:rsidRPr="00393F4F">
        <w:rPr>
          <w:b/>
        </w:rPr>
        <w:t xml:space="preserve">DFV </w:t>
      </w:r>
      <w:r w:rsidR="002432F0" w:rsidRPr="00393F4F">
        <w:rPr>
          <w:b/>
        </w:rPr>
        <w:t>support services for</w:t>
      </w:r>
      <w:r w:rsidR="002F2084">
        <w:rPr>
          <w:b/>
        </w:rPr>
        <w:t xml:space="preserve"> </w:t>
      </w:r>
      <w:r w:rsidR="005749AB" w:rsidRPr="00393F4F">
        <w:rPr>
          <w:b/>
        </w:rPr>
        <w:t>victim-surviv</w:t>
      </w:r>
      <w:r w:rsidR="00393F4F">
        <w:rPr>
          <w:b/>
        </w:rPr>
        <w:t>ors and defendants involved</w:t>
      </w:r>
      <w:r w:rsidR="005749AB" w:rsidRPr="00393F4F">
        <w:rPr>
          <w:b/>
        </w:rPr>
        <w:t xml:space="preserve"> </w:t>
      </w:r>
      <w:r w:rsidR="00756B94">
        <w:rPr>
          <w:b/>
        </w:rPr>
        <w:t>proceedings under the DFV</w:t>
      </w:r>
      <w:r>
        <w:rPr>
          <w:b/>
        </w:rPr>
        <w:t> </w:t>
      </w:r>
      <w:r w:rsidR="00756B94">
        <w:rPr>
          <w:b/>
        </w:rPr>
        <w:t>A</w:t>
      </w:r>
      <w:r>
        <w:rPr>
          <w:b/>
        </w:rPr>
        <w:t>ct</w:t>
      </w:r>
      <w:r w:rsidR="00756B94">
        <w:rPr>
          <w:b/>
        </w:rPr>
        <w:t xml:space="preserve"> at court </w:t>
      </w:r>
      <w:r w:rsidR="00393F4F">
        <w:rPr>
          <w:b/>
        </w:rPr>
        <w:t>are resourced adequately</w:t>
      </w:r>
      <w:r w:rsidR="00756B94">
        <w:rPr>
          <w:b/>
        </w:rPr>
        <w:t xml:space="preserve"> to meet current demand</w:t>
      </w:r>
      <w:r w:rsidR="00393F4F">
        <w:rPr>
          <w:b/>
        </w:rPr>
        <w:t>;</w:t>
      </w:r>
    </w:p>
    <w:p w14:paraId="5F0252E3" w14:textId="6B49F02A" w:rsidR="002F2084" w:rsidRPr="002F2084" w:rsidRDefault="00A0471F" w:rsidP="0067521E">
      <w:pPr>
        <w:pStyle w:val="ListParagraph"/>
        <w:numPr>
          <w:ilvl w:val="0"/>
          <w:numId w:val="139"/>
        </w:numPr>
        <w:spacing w:after="200" w:line="259" w:lineRule="auto"/>
        <w:ind w:left="567" w:hanging="567"/>
        <w:rPr>
          <w:b/>
        </w:rPr>
      </w:pPr>
      <w:r>
        <w:rPr>
          <w:b/>
        </w:rPr>
        <w:t xml:space="preserve">an </w:t>
      </w:r>
      <w:r w:rsidR="002F2084">
        <w:rPr>
          <w:b/>
        </w:rPr>
        <w:t>expansion of specialist DFV courts in the NT would require an increased capacity for support</w:t>
      </w:r>
      <w:r w:rsidR="002432F0" w:rsidRPr="00393F4F">
        <w:rPr>
          <w:b/>
        </w:rPr>
        <w:t>.</w:t>
      </w:r>
    </w:p>
    <w:p w14:paraId="420F1FB3" w14:textId="093C91D7" w:rsidR="00FA29A8" w:rsidRPr="00B85EBA" w:rsidRDefault="00182CDE" w:rsidP="00A0471F">
      <w:pPr>
        <w:pStyle w:val="Heading2"/>
        <w:ind w:left="1134"/>
        <w:rPr>
          <w:lang w:eastAsia="en-AU"/>
        </w:rPr>
      </w:pPr>
      <w:bookmarkStart w:id="122" w:name="_Toc112051905"/>
      <w:r w:rsidRPr="00B85EBA">
        <w:rPr>
          <w:lang w:eastAsia="en-AU"/>
        </w:rPr>
        <w:t>A</w:t>
      </w:r>
      <w:r w:rsidR="004731B3" w:rsidRPr="00B85EBA">
        <w:rPr>
          <w:lang w:eastAsia="en-AU"/>
        </w:rPr>
        <w:t xml:space="preserve">ccess to quality DFV perpetrator </w:t>
      </w:r>
      <w:r w:rsidR="00F2157E" w:rsidRPr="00B85EBA">
        <w:rPr>
          <w:lang w:eastAsia="en-AU"/>
        </w:rPr>
        <w:t>programs</w:t>
      </w:r>
      <w:r w:rsidR="00A812D2">
        <w:rPr>
          <w:lang w:eastAsia="en-AU"/>
        </w:rPr>
        <w:t xml:space="preserve"> and services</w:t>
      </w:r>
      <w:bookmarkEnd w:id="122"/>
    </w:p>
    <w:p w14:paraId="456CC247" w14:textId="23F3A88F" w:rsidR="00EF31FA" w:rsidRDefault="00EF31FA" w:rsidP="00EF31FA">
      <w:pPr>
        <w:pStyle w:val="Heading4"/>
        <w:rPr>
          <w:lang w:eastAsia="en-AU"/>
        </w:rPr>
      </w:pPr>
      <w:r>
        <w:rPr>
          <w:lang w:eastAsia="en-AU"/>
        </w:rPr>
        <w:t>DFV Perpetrator Programs</w:t>
      </w:r>
    </w:p>
    <w:p w14:paraId="593FECA5" w14:textId="2248DF80" w:rsidR="00F2157E" w:rsidRDefault="00F2157E" w:rsidP="00F2157E">
      <w:pPr>
        <w:rPr>
          <w:lang w:eastAsia="en-AU"/>
        </w:rPr>
      </w:pPr>
      <w:r>
        <w:rPr>
          <w:lang w:eastAsia="en-AU"/>
        </w:rPr>
        <w:t xml:space="preserve">DFV has a high rate </w:t>
      </w:r>
      <w:r w:rsidR="000919FA">
        <w:rPr>
          <w:lang w:eastAsia="en-AU"/>
        </w:rPr>
        <w:t>of reoffending</w:t>
      </w:r>
      <w:r w:rsidR="007F276C">
        <w:rPr>
          <w:lang w:eastAsia="en-AU"/>
        </w:rPr>
        <w:t>. NT d</w:t>
      </w:r>
      <w:r w:rsidR="00A0471F">
        <w:rPr>
          <w:lang w:eastAsia="en-AU"/>
        </w:rPr>
        <w:t>ata shows that 77</w:t>
      </w:r>
      <w:r w:rsidR="00B85EBA">
        <w:rPr>
          <w:lang w:eastAsia="en-AU"/>
        </w:rPr>
        <w:t xml:space="preserve"> per cent of d</w:t>
      </w:r>
      <w:r w:rsidR="00A0471F">
        <w:rPr>
          <w:lang w:eastAsia="en-AU"/>
        </w:rPr>
        <w:t>efendants found guilty of a DFV</w:t>
      </w:r>
      <w:r w:rsidR="00A0471F">
        <w:rPr>
          <w:lang w:eastAsia="en-AU"/>
        </w:rPr>
        <w:noBreakHyphen/>
      </w:r>
      <w:r w:rsidR="00B85EBA">
        <w:rPr>
          <w:lang w:eastAsia="en-AU"/>
        </w:rPr>
        <w:t>related offence have a prior</w:t>
      </w:r>
      <w:r w:rsidR="000919FA">
        <w:rPr>
          <w:lang w:eastAsia="en-AU"/>
        </w:rPr>
        <w:t xml:space="preserve"> violent offence</w:t>
      </w:r>
      <w:r w:rsidR="002C3F60">
        <w:rPr>
          <w:lang w:eastAsia="en-AU"/>
        </w:rPr>
        <w:t>,</w:t>
      </w:r>
      <w:r w:rsidR="00A0471F">
        <w:rPr>
          <w:lang w:eastAsia="en-AU"/>
        </w:rPr>
        <w:t xml:space="preserve"> and 72 per cent</w:t>
      </w:r>
      <w:r w:rsidR="00B85EBA">
        <w:rPr>
          <w:lang w:eastAsia="en-AU"/>
        </w:rPr>
        <w:t xml:space="preserve"> have a prior DFV offence</w:t>
      </w:r>
      <w:r>
        <w:rPr>
          <w:lang w:eastAsia="en-AU"/>
        </w:rPr>
        <w:t>.</w:t>
      </w:r>
      <w:r>
        <w:rPr>
          <w:rStyle w:val="FootnoteReference"/>
          <w:lang w:eastAsia="en-AU"/>
        </w:rPr>
        <w:footnoteReference w:id="228"/>
      </w:r>
    </w:p>
    <w:p w14:paraId="04664EE3" w14:textId="7712100B" w:rsidR="00ED7BFC" w:rsidRDefault="00B85EBA" w:rsidP="00FA29A8">
      <w:pPr>
        <w:rPr>
          <w:lang w:eastAsia="en-AU"/>
        </w:rPr>
      </w:pPr>
      <w:r>
        <w:rPr>
          <w:lang w:eastAsia="en-AU"/>
        </w:rPr>
        <w:t>Given the level of reoffending</w:t>
      </w:r>
      <w:r w:rsidR="00ED7BFC">
        <w:rPr>
          <w:lang w:eastAsia="en-AU"/>
        </w:rPr>
        <w:t xml:space="preserve">, there is need for the justice response to DFV to </w:t>
      </w:r>
      <w:r>
        <w:rPr>
          <w:lang w:eastAsia="en-AU"/>
        </w:rPr>
        <w:t>give greater priority to providing impetus and support for</w:t>
      </w:r>
      <w:r w:rsidR="009B3C76">
        <w:rPr>
          <w:lang w:eastAsia="en-AU"/>
        </w:rPr>
        <w:t xml:space="preserve"> offenders </w:t>
      </w:r>
      <w:r>
        <w:rPr>
          <w:lang w:eastAsia="en-AU"/>
        </w:rPr>
        <w:t xml:space="preserve">to </w:t>
      </w:r>
      <w:r w:rsidR="009B3C76">
        <w:rPr>
          <w:lang w:eastAsia="en-AU"/>
        </w:rPr>
        <w:t>change their behaviour.</w:t>
      </w:r>
    </w:p>
    <w:p w14:paraId="14A620B1" w14:textId="62987122" w:rsidR="007826B3" w:rsidRDefault="007F276C" w:rsidP="00A0471F">
      <w:pPr>
        <w:spacing w:after="120"/>
        <w:rPr>
          <w:lang w:eastAsia="en-AU"/>
        </w:rPr>
      </w:pPr>
      <w:r>
        <w:rPr>
          <w:lang w:eastAsia="en-AU"/>
        </w:rPr>
        <w:t xml:space="preserve">In the NT there are </w:t>
      </w:r>
      <w:r w:rsidR="007826B3">
        <w:rPr>
          <w:lang w:eastAsia="en-AU"/>
        </w:rPr>
        <w:t xml:space="preserve">some programs to help DFV perpetrators change their behaviour </w:t>
      </w:r>
      <w:r>
        <w:rPr>
          <w:lang w:eastAsia="en-AU"/>
        </w:rPr>
        <w:t>and some in development.  These programs are available across three</w:t>
      </w:r>
      <w:r w:rsidR="007826B3">
        <w:rPr>
          <w:lang w:eastAsia="en-AU"/>
        </w:rPr>
        <w:t xml:space="preserve"> settings:</w:t>
      </w:r>
    </w:p>
    <w:p w14:paraId="152511B5" w14:textId="66FB3631" w:rsidR="007826B3" w:rsidRDefault="007826B3" w:rsidP="0067521E">
      <w:pPr>
        <w:pStyle w:val="ListParagraph"/>
        <w:numPr>
          <w:ilvl w:val="0"/>
          <w:numId w:val="102"/>
        </w:numPr>
        <w:ind w:left="567" w:hanging="567"/>
        <w:rPr>
          <w:lang w:eastAsia="en-AU"/>
        </w:rPr>
      </w:pPr>
      <w:r>
        <w:rPr>
          <w:lang w:eastAsia="en-AU"/>
        </w:rPr>
        <w:t>Correctional settings</w:t>
      </w:r>
    </w:p>
    <w:p w14:paraId="4E5AF34E" w14:textId="3782E5D4" w:rsidR="007826B3" w:rsidRDefault="007826B3" w:rsidP="00A0471F">
      <w:pPr>
        <w:pStyle w:val="ListParagraph"/>
        <w:ind w:left="567"/>
        <w:rPr>
          <w:lang w:eastAsia="en-AU"/>
        </w:rPr>
      </w:pPr>
      <w:r>
        <w:rPr>
          <w:lang w:eastAsia="en-AU"/>
        </w:rPr>
        <w:t>(For example, the Family Violence Program and the RAGE Program run by NT Correctional Services (NTCS))</w:t>
      </w:r>
    </w:p>
    <w:p w14:paraId="11195ECD" w14:textId="77777777" w:rsidR="007826B3" w:rsidRDefault="007826B3" w:rsidP="0067521E">
      <w:pPr>
        <w:pStyle w:val="ListParagraph"/>
        <w:numPr>
          <w:ilvl w:val="0"/>
          <w:numId w:val="102"/>
        </w:numPr>
        <w:ind w:left="567" w:hanging="567"/>
        <w:rPr>
          <w:lang w:eastAsia="en-AU"/>
        </w:rPr>
      </w:pPr>
      <w:r>
        <w:rPr>
          <w:lang w:eastAsia="en-AU"/>
        </w:rPr>
        <w:t xml:space="preserve">Residential facilities / alternatives to custody settings </w:t>
      </w:r>
    </w:p>
    <w:p w14:paraId="0782125F" w14:textId="39A38F69" w:rsidR="007826B3" w:rsidRDefault="007826B3" w:rsidP="00A0471F">
      <w:pPr>
        <w:spacing w:after="120"/>
        <w:ind w:left="567"/>
        <w:rPr>
          <w:lang w:eastAsia="en-AU"/>
        </w:rPr>
      </w:pPr>
      <w:r>
        <w:rPr>
          <w:lang w:eastAsia="en-AU"/>
        </w:rPr>
        <w:t>(For example, the DFV ‘alternatives</w:t>
      </w:r>
      <w:r w:rsidR="0034731E">
        <w:rPr>
          <w:lang w:eastAsia="en-AU"/>
        </w:rPr>
        <w:t xml:space="preserve"> to custody’ facility </w:t>
      </w:r>
      <w:r>
        <w:rPr>
          <w:lang w:eastAsia="en-AU"/>
        </w:rPr>
        <w:t xml:space="preserve">being developed as part of the AJA in Alice Springs) </w:t>
      </w:r>
    </w:p>
    <w:p w14:paraId="0D11027E" w14:textId="77777777" w:rsidR="007826B3" w:rsidRDefault="007826B3" w:rsidP="0067521E">
      <w:pPr>
        <w:pStyle w:val="ListParagraph"/>
        <w:numPr>
          <w:ilvl w:val="0"/>
          <w:numId w:val="102"/>
        </w:numPr>
        <w:ind w:left="567" w:hanging="567"/>
        <w:rPr>
          <w:lang w:eastAsia="en-AU"/>
        </w:rPr>
      </w:pPr>
      <w:r>
        <w:rPr>
          <w:lang w:eastAsia="en-AU"/>
        </w:rPr>
        <w:t>Community based settings</w:t>
      </w:r>
    </w:p>
    <w:p w14:paraId="0AFE6797" w14:textId="6550A377" w:rsidR="007826B3" w:rsidRDefault="007826B3" w:rsidP="00A0471F">
      <w:pPr>
        <w:ind w:left="567"/>
        <w:rPr>
          <w:lang w:eastAsia="en-AU"/>
        </w:rPr>
      </w:pPr>
      <w:r>
        <w:rPr>
          <w:lang w:eastAsia="en-AU"/>
        </w:rPr>
        <w:t>(For example, programs run by non-government agencies Tangentyere Council and Catholic Care</w:t>
      </w:r>
      <w:r w:rsidR="004F7CED">
        <w:rPr>
          <w:lang w:eastAsia="en-AU"/>
        </w:rPr>
        <w:t xml:space="preserve"> both funded by TFHC</w:t>
      </w:r>
      <w:r>
        <w:rPr>
          <w:lang w:eastAsia="en-AU"/>
        </w:rPr>
        <w:t>).</w:t>
      </w:r>
    </w:p>
    <w:p w14:paraId="27401FF4" w14:textId="1810D7C9" w:rsidR="00DC099E" w:rsidRDefault="007826B3" w:rsidP="00FA29A8">
      <w:pPr>
        <w:rPr>
          <w:lang w:eastAsia="en-AU"/>
        </w:rPr>
      </w:pPr>
      <w:r>
        <w:rPr>
          <w:lang w:eastAsia="en-AU"/>
        </w:rPr>
        <w:t>However,</w:t>
      </w:r>
      <w:r w:rsidR="00DC099E">
        <w:rPr>
          <w:lang w:eastAsia="en-AU"/>
        </w:rPr>
        <w:t xml:space="preserve"> there are limitations in programs and services that are available for DFV offenders.</w:t>
      </w:r>
      <w:r>
        <w:rPr>
          <w:lang w:eastAsia="en-AU"/>
        </w:rPr>
        <w:t xml:space="preserve">  </w:t>
      </w:r>
    </w:p>
    <w:p w14:paraId="72387495" w14:textId="13DFEEB3" w:rsidR="00DC099E" w:rsidRDefault="007826B3" w:rsidP="00FA29A8">
      <w:pPr>
        <w:rPr>
          <w:lang w:eastAsia="en-AU"/>
        </w:rPr>
      </w:pPr>
      <w:r>
        <w:rPr>
          <w:lang w:eastAsia="en-AU"/>
        </w:rPr>
        <w:t>P</w:t>
      </w:r>
      <w:r w:rsidR="00DC099E">
        <w:rPr>
          <w:lang w:eastAsia="en-AU"/>
        </w:rPr>
        <w:t>erpetrator programs remain</w:t>
      </w:r>
      <w:r w:rsidR="00CA7212">
        <w:rPr>
          <w:lang w:eastAsia="en-AU"/>
        </w:rPr>
        <w:t xml:space="preserve"> the most under-developed part of the DFV response in the NT</w:t>
      </w:r>
      <w:r>
        <w:rPr>
          <w:lang w:eastAsia="en-AU"/>
        </w:rPr>
        <w:t>.  T</w:t>
      </w:r>
      <w:r w:rsidR="00CA7212">
        <w:rPr>
          <w:lang w:eastAsia="en-AU"/>
        </w:rPr>
        <w:t xml:space="preserve">here is </w:t>
      </w:r>
      <w:r w:rsidR="004F7CED">
        <w:rPr>
          <w:lang w:eastAsia="en-AU"/>
        </w:rPr>
        <w:t xml:space="preserve">a </w:t>
      </w:r>
      <w:r w:rsidR="00CA7212">
        <w:rPr>
          <w:lang w:eastAsia="en-AU"/>
        </w:rPr>
        <w:t xml:space="preserve">need </w:t>
      </w:r>
      <w:r w:rsidR="004F7CED">
        <w:rPr>
          <w:lang w:eastAsia="en-AU"/>
        </w:rPr>
        <w:t xml:space="preserve">to </w:t>
      </w:r>
      <w:r w:rsidR="00CA7212">
        <w:rPr>
          <w:lang w:eastAsia="en-AU"/>
        </w:rPr>
        <w:t xml:space="preserve">expand the number of programs, the number of places and the quality </w:t>
      </w:r>
      <w:r w:rsidR="004F7CED">
        <w:rPr>
          <w:lang w:eastAsia="en-AU"/>
        </w:rPr>
        <w:t xml:space="preserve">and oversight </w:t>
      </w:r>
      <w:r w:rsidR="00CA7212">
        <w:rPr>
          <w:lang w:eastAsia="en-AU"/>
        </w:rPr>
        <w:t>of programs to ensure the safety of victim</w:t>
      </w:r>
      <w:r w:rsidR="0034731E">
        <w:rPr>
          <w:lang w:eastAsia="en-AU"/>
        </w:rPr>
        <w:t>-survivor</w:t>
      </w:r>
      <w:r w:rsidR="00CA7212">
        <w:rPr>
          <w:lang w:eastAsia="en-AU"/>
        </w:rPr>
        <w:t>s and the accountability of offenders is prioritised.  Programs that are not rigorously committed to victim safety and offender accountability may be doing more harm than good</w:t>
      </w:r>
      <w:r w:rsidR="00DC099E">
        <w:rPr>
          <w:lang w:eastAsia="en-AU"/>
        </w:rPr>
        <w:t>, and leave victim-survivors exposed to risk</w:t>
      </w:r>
      <w:r w:rsidR="00CA7212">
        <w:rPr>
          <w:lang w:eastAsia="en-AU"/>
        </w:rPr>
        <w:t xml:space="preserve">.  </w:t>
      </w:r>
    </w:p>
    <w:p w14:paraId="31FFAC32" w14:textId="77777777" w:rsidR="00DC099E" w:rsidRDefault="00DC099E" w:rsidP="00FA29A8">
      <w:pPr>
        <w:rPr>
          <w:lang w:eastAsia="en-AU"/>
        </w:rPr>
      </w:pPr>
      <w:r>
        <w:rPr>
          <w:lang w:eastAsia="en-AU"/>
        </w:rPr>
        <w:t xml:space="preserve">Programs </w:t>
      </w:r>
      <w:r w:rsidR="00CA7212">
        <w:rPr>
          <w:lang w:eastAsia="en-AU"/>
        </w:rPr>
        <w:t>need to be culturally-safe and culturally competent to provide assistance to Aboriginal offenders.</w:t>
      </w:r>
      <w:r w:rsidR="007826B3">
        <w:rPr>
          <w:lang w:eastAsia="en-AU"/>
        </w:rPr>
        <w:t xml:space="preserve">  </w:t>
      </w:r>
    </w:p>
    <w:p w14:paraId="39EA58B0" w14:textId="595AF7D4" w:rsidR="00CA7212" w:rsidRPr="007826B3" w:rsidRDefault="00DC099E" w:rsidP="00FA29A8">
      <w:pPr>
        <w:rPr>
          <w:highlight w:val="yellow"/>
          <w:lang w:eastAsia="en-AU"/>
        </w:rPr>
      </w:pPr>
      <w:r>
        <w:rPr>
          <w:lang w:eastAsia="en-AU"/>
        </w:rPr>
        <w:t xml:space="preserve">There are no overarching standards that programs are required to comply with, or monitoring and oversight of the programs. </w:t>
      </w:r>
    </w:p>
    <w:p w14:paraId="21F34564" w14:textId="0070CF36" w:rsidR="00B85EBA" w:rsidRDefault="00B85EBA" w:rsidP="00FA29A8">
      <w:pPr>
        <w:rPr>
          <w:lang w:eastAsia="en-AU"/>
        </w:rPr>
      </w:pPr>
      <w:r>
        <w:rPr>
          <w:lang w:eastAsia="en-AU"/>
        </w:rPr>
        <w:t>Two Government initiatives are currently looking to</w:t>
      </w:r>
      <w:r w:rsidR="0021114C">
        <w:rPr>
          <w:lang w:eastAsia="en-AU"/>
        </w:rPr>
        <w:t xml:space="preserve"> strengthen </w:t>
      </w:r>
      <w:r w:rsidR="007826B3">
        <w:rPr>
          <w:lang w:eastAsia="en-AU"/>
        </w:rPr>
        <w:t>DFV perpetrator programs in the NT</w:t>
      </w:r>
      <w:r w:rsidR="00CA7212">
        <w:rPr>
          <w:lang w:eastAsia="en-AU"/>
        </w:rPr>
        <w:t>:</w:t>
      </w:r>
    </w:p>
    <w:p w14:paraId="5C371FAD" w14:textId="2B41CA91" w:rsidR="00CA7212" w:rsidRDefault="00CA7212" w:rsidP="0067521E">
      <w:pPr>
        <w:pStyle w:val="ListParagraph"/>
        <w:numPr>
          <w:ilvl w:val="0"/>
          <w:numId w:val="183"/>
        </w:numPr>
        <w:ind w:left="567" w:hanging="567"/>
        <w:rPr>
          <w:lang w:eastAsia="en-AU"/>
        </w:rPr>
      </w:pPr>
      <w:r w:rsidRPr="00CA7212">
        <w:rPr>
          <w:rStyle w:val="Emphasis"/>
          <w:i w:val="0"/>
        </w:rPr>
        <w:t>The AJA Action Plan 2021-2022 includes a commitment to reduce DFV offending, particularly through the development of a non-custodial</w:t>
      </w:r>
      <w:r w:rsidRPr="00CA7212">
        <w:rPr>
          <w:i/>
          <w:lang w:eastAsia="en-AU"/>
        </w:rPr>
        <w:t xml:space="preserve"> </w:t>
      </w:r>
      <w:r w:rsidRPr="00413DE4">
        <w:rPr>
          <w:lang w:eastAsia="en-AU"/>
        </w:rPr>
        <w:t>facility</w:t>
      </w:r>
      <w:r w:rsidRPr="00CA7212">
        <w:rPr>
          <w:i/>
          <w:lang w:eastAsia="en-AU"/>
        </w:rPr>
        <w:t xml:space="preserve"> in</w:t>
      </w:r>
      <w:r>
        <w:rPr>
          <w:lang w:eastAsia="en-AU"/>
        </w:rPr>
        <w:t xml:space="preserve"> Alice Springs to help DFV offenders to </w:t>
      </w:r>
      <w:r>
        <w:rPr>
          <w:lang w:eastAsia="en-AU"/>
        </w:rPr>
        <w:lastRenderedPageBreak/>
        <w:t>change their behaviour and the further development of cultural-appropriate evidence-based programs which are more accessible to offenders.</w:t>
      </w:r>
    </w:p>
    <w:p w14:paraId="406D7791" w14:textId="77777777" w:rsidR="007A2C9B" w:rsidRDefault="0021114C" w:rsidP="0067521E">
      <w:pPr>
        <w:pStyle w:val="ListParagraph"/>
        <w:numPr>
          <w:ilvl w:val="0"/>
          <w:numId w:val="183"/>
        </w:numPr>
        <w:spacing w:after="200"/>
        <w:ind w:left="567" w:hanging="567"/>
      </w:pPr>
      <w:r w:rsidRPr="00C64408">
        <w:t xml:space="preserve">The Government is committed to sentencing reform </w:t>
      </w:r>
      <w:r>
        <w:t xml:space="preserve">and has established a </w:t>
      </w:r>
      <w:r w:rsidRPr="00C64408">
        <w:t>cross-agency Sentencing Reform Implementa</w:t>
      </w:r>
      <w:r w:rsidR="00B62BC3">
        <w:t xml:space="preserve">tion Group </w:t>
      </w:r>
      <w:r w:rsidRPr="00C64408">
        <w:t xml:space="preserve">to develop proposals for reform of </w:t>
      </w:r>
      <w:r w:rsidR="00B62BC3">
        <w:t>mandatory sentencing provisions and</w:t>
      </w:r>
      <w:r w:rsidRPr="00C64408">
        <w:t xml:space="preserve"> </w:t>
      </w:r>
      <w:r w:rsidR="00B62BC3">
        <w:t xml:space="preserve">strengthening of </w:t>
      </w:r>
      <w:r w:rsidRPr="00C64408">
        <w:t>community-based sentences and offender programs.</w:t>
      </w:r>
      <w:r w:rsidR="00B62BC3">
        <w:t xml:space="preserve">  </w:t>
      </w:r>
      <w:r w:rsidRPr="00C64408">
        <w:t xml:space="preserve">As part of this reform, evidence-based rehabilitation and behaviour change programs and alternative to custody facilities will be established to deliver appropriate sentencing options. </w:t>
      </w:r>
    </w:p>
    <w:p w14:paraId="18B7210C" w14:textId="24A0F299" w:rsidR="00AF689F" w:rsidRDefault="00AF689F" w:rsidP="00A0471F">
      <w:pPr>
        <w:spacing w:after="120"/>
      </w:pPr>
      <w:r>
        <w:rPr>
          <w:lang w:eastAsia="en-AU"/>
        </w:rPr>
        <w:t xml:space="preserve">Responsibility for DFV perpetrator programs sits across two departments </w:t>
      </w:r>
      <w:r w:rsidR="00597442">
        <w:rPr>
          <w:lang w:eastAsia="en-AU"/>
        </w:rPr>
        <w:t xml:space="preserve">– TFHC and AGD – </w:t>
      </w:r>
      <w:r>
        <w:rPr>
          <w:lang w:eastAsia="en-AU"/>
        </w:rPr>
        <w:t>and multiple areas of responsibility:</w:t>
      </w:r>
    </w:p>
    <w:p w14:paraId="1910EB76" w14:textId="331EEA44" w:rsidR="00D63AE7" w:rsidRDefault="00597442" w:rsidP="0067521E">
      <w:pPr>
        <w:pStyle w:val="ListParagraph"/>
        <w:numPr>
          <w:ilvl w:val="0"/>
          <w:numId w:val="116"/>
        </w:numPr>
        <w:ind w:left="567" w:hanging="567"/>
        <w:rPr>
          <w:lang w:eastAsia="en-AU"/>
        </w:rPr>
      </w:pPr>
      <w:r>
        <w:rPr>
          <w:lang w:eastAsia="en-AU"/>
        </w:rPr>
        <w:t>NTCS runs a number of programs for prisoners who are held for DFV;</w:t>
      </w:r>
    </w:p>
    <w:p w14:paraId="7C1B23BF" w14:textId="3F5B278F" w:rsidR="007A2C9B" w:rsidRDefault="00597442" w:rsidP="0067521E">
      <w:pPr>
        <w:pStyle w:val="ListParagraph"/>
        <w:numPr>
          <w:ilvl w:val="0"/>
          <w:numId w:val="116"/>
        </w:numPr>
        <w:ind w:left="567" w:hanging="567"/>
        <w:rPr>
          <w:lang w:eastAsia="en-AU"/>
        </w:rPr>
      </w:pPr>
      <w:r>
        <w:rPr>
          <w:lang w:eastAsia="en-AU"/>
        </w:rPr>
        <w:t xml:space="preserve">As part of the AJA, the AJU is undertaking activities to </w:t>
      </w:r>
      <w:r w:rsidR="007826B3">
        <w:rPr>
          <w:lang w:eastAsia="en-AU"/>
        </w:rPr>
        <w:t>strengthen perpetrator programs;</w:t>
      </w:r>
    </w:p>
    <w:p w14:paraId="23CC7F15" w14:textId="010A1D85" w:rsidR="007826B3" w:rsidRDefault="007826B3" w:rsidP="0067521E">
      <w:pPr>
        <w:pStyle w:val="ListParagraph"/>
        <w:numPr>
          <w:ilvl w:val="0"/>
          <w:numId w:val="116"/>
        </w:numPr>
        <w:spacing w:after="200"/>
        <w:ind w:left="567" w:hanging="567"/>
        <w:rPr>
          <w:lang w:eastAsia="en-AU"/>
        </w:rPr>
      </w:pPr>
      <w:r>
        <w:rPr>
          <w:lang w:eastAsia="en-AU"/>
        </w:rPr>
        <w:t>TFHC funds two non-government agencies Tangentyere Council in Alice Springs and Catholic Care in Darwin to provide men’s behaviour change programs.</w:t>
      </w:r>
    </w:p>
    <w:p w14:paraId="20990113" w14:textId="33C1E678" w:rsidR="00E44AD0" w:rsidRPr="007826B3" w:rsidRDefault="004A47B1" w:rsidP="004908FC">
      <w:r>
        <w:rPr>
          <w:lang w:eastAsia="en-AU"/>
        </w:rPr>
        <w:t xml:space="preserve">In 2020 Tangentyere Council developed </w:t>
      </w:r>
      <w:r w:rsidRPr="004A47B1">
        <w:rPr>
          <w:i/>
        </w:rPr>
        <w:t>Central Australian Minimum Standards for Men’s Behaviour Change Programs,</w:t>
      </w:r>
      <w:r>
        <w:rPr>
          <w:rStyle w:val="FootnoteReference"/>
          <w:lang w:eastAsia="en-AU"/>
        </w:rPr>
        <w:footnoteReference w:id="229"/>
      </w:r>
      <w:r>
        <w:rPr>
          <w:i/>
        </w:rPr>
        <w:t xml:space="preserve"> </w:t>
      </w:r>
      <w:r w:rsidRPr="004A47B1">
        <w:t>and</w:t>
      </w:r>
      <w:r>
        <w:t xml:space="preserve"> TFHC proposes to build on this work to create standards that apply NT-wide a</w:t>
      </w:r>
      <w:r w:rsidR="004F7CED">
        <w:t>s part of Action Plan 2. Are present</w:t>
      </w:r>
      <w:r>
        <w:t>, there are no ex</w:t>
      </w:r>
      <w:r w:rsidR="004F7CED">
        <w:t>isting accountability mechanism</w:t>
      </w:r>
      <w:r>
        <w:t xml:space="preserve"> for DFV perpetrator programs in the NT to ensure an appropriate standard and quality of program, and particularly to ensure that programs are run in way that prioritises victim safety and allows no collusion with persons who use violence.</w:t>
      </w:r>
    </w:p>
    <w:p w14:paraId="7BDEE6B7" w14:textId="1D48B8FD" w:rsidR="004A47B1" w:rsidRDefault="00B1738D" w:rsidP="000073AC">
      <w:pPr>
        <w:rPr>
          <w:lang w:eastAsia="en-AU"/>
        </w:rPr>
      </w:pPr>
      <w:r>
        <w:rPr>
          <w:lang w:eastAsia="en-AU"/>
        </w:rPr>
        <w:t>It is particularly important that programs offered in non-custodial settings have a funded partner contact service and procedures in place to ensure the safety and well-being of partners, ex-partners and family members while the perpetrator is engaged in the program.</w:t>
      </w:r>
      <w:r w:rsidR="00EF31FA">
        <w:rPr>
          <w:lang w:eastAsia="en-AU"/>
        </w:rPr>
        <w:t xml:space="preserve">  This is</w:t>
      </w:r>
      <w:r w:rsidR="0058070F">
        <w:rPr>
          <w:lang w:eastAsia="en-AU"/>
        </w:rPr>
        <w:t xml:space="preserve"> a fundamental safety mechanism</w:t>
      </w:r>
      <w:r w:rsidR="00EF31FA">
        <w:rPr>
          <w:lang w:eastAsia="en-AU"/>
        </w:rPr>
        <w:t xml:space="preserve"> that needs to be in place, to protect against the use or escalation of violence while the perpetrator is engaged in the program.</w:t>
      </w:r>
      <w:r>
        <w:rPr>
          <w:lang w:eastAsia="en-AU"/>
        </w:rPr>
        <w:t xml:space="preserve"> </w:t>
      </w:r>
    </w:p>
    <w:p w14:paraId="2A715BA7" w14:textId="66D2E756" w:rsidR="00EF31FA" w:rsidRDefault="00EF31FA" w:rsidP="000073AC">
      <w:pPr>
        <w:rPr>
          <w:lang w:eastAsia="en-AU"/>
        </w:rPr>
      </w:pPr>
      <w:r>
        <w:rPr>
          <w:lang w:eastAsia="en-AU"/>
        </w:rPr>
        <w:t xml:space="preserve">It is also important to recognise that effective DFV perpetrator programs must be gender-specific, that is, separate programs for men and women offenders.  This is because the drivers </w:t>
      </w:r>
      <w:r w:rsidR="0034731E">
        <w:rPr>
          <w:lang w:eastAsia="en-AU"/>
        </w:rPr>
        <w:t xml:space="preserve">of violence are different for </w:t>
      </w:r>
      <w:r>
        <w:rPr>
          <w:lang w:eastAsia="en-AU"/>
        </w:rPr>
        <w:t xml:space="preserve">men and women offenders.  </w:t>
      </w:r>
    </w:p>
    <w:p w14:paraId="303755BC" w14:textId="296E6710" w:rsidR="000073AC" w:rsidRDefault="000073AC" w:rsidP="00E12C0C">
      <w:pPr>
        <w:spacing w:after="120"/>
        <w:rPr>
          <w:lang w:eastAsia="en-AU"/>
        </w:rPr>
      </w:pPr>
      <w:r>
        <w:rPr>
          <w:lang w:eastAsia="en-AU"/>
        </w:rPr>
        <w:t>At a recent workshop of the DFSV Cross Agency Working Group on</w:t>
      </w:r>
      <w:r w:rsidR="00E12C0C">
        <w:rPr>
          <w:lang w:eastAsia="en-AU"/>
        </w:rPr>
        <w:t xml:space="preserve"> the development of Action Plan </w:t>
      </w:r>
      <w:r>
        <w:rPr>
          <w:lang w:eastAsia="en-AU"/>
        </w:rPr>
        <w:t>2, participants identified the following needs</w:t>
      </w:r>
      <w:r w:rsidR="00DA4B8A">
        <w:rPr>
          <w:lang w:eastAsia="en-AU"/>
        </w:rPr>
        <w:t xml:space="preserve"> in relation to DFV perpetrator programs</w:t>
      </w:r>
      <w:r>
        <w:rPr>
          <w:lang w:eastAsia="en-AU"/>
        </w:rPr>
        <w:t>:</w:t>
      </w:r>
    </w:p>
    <w:p w14:paraId="55E0EBA1" w14:textId="37A68BE1" w:rsidR="000073AC" w:rsidRDefault="00E12C0C" w:rsidP="0067521E">
      <w:pPr>
        <w:pStyle w:val="ListParagraph"/>
        <w:numPr>
          <w:ilvl w:val="0"/>
          <w:numId w:val="62"/>
        </w:numPr>
        <w:ind w:left="567" w:hanging="567"/>
        <w:rPr>
          <w:lang w:eastAsia="en-AU"/>
        </w:rPr>
      </w:pPr>
      <w:r>
        <w:rPr>
          <w:lang w:eastAsia="en-AU"/>
        </w:rPr>
        <w:t xml:space="preserve">the </w:t>
      </w:r>
      <w:r w:rsidR="00620FD0">
        <w:rPr>
          <w:lang w:eastAsia="en-AU"/>
        </w:rPr>
        <w:t>need to develop NT-wide implementation standards</w:t>
      </w:r>
      <w:r>
        <w:rPr>
          <w:lang w:eastAsia="en-AU"/>
        </w:rPr>
        <w:t>;</w:t>
      </w:r>
    </w:p>
    <w:p w14:paraId="30BC73A1" w14:textId="2E9DD601" w:rsidR="00620FD0" w:rsidRDefault="00E12C0C" w:rsidP="0067521E">
      <w:pPr>
        <w:pStyle w:val="ListParagraph"/>
        <w:numPr>
          <w:ilvl w:val="0"/>
          <w:numId w:val="62"/>
        </w:numPr>
        <w:ind w:left="567" w:hanging="567"/>
        <w:rPr>
          <w:lang w:eastAsia="en-AU"/>
        </w:rPr>
      </w:pPr>
      <w:r>
        <w:rPr>
          <w:lang w:eastAsia="en-AU"/>
        </w:rPr>
        <w:t xml:space="preserve">the </w:t>
      </w:r>
      <w:r w:rsidR="00620FD0">
        <w:rPr>
          <w:lang w:eastAsia="en-AU"/>
        </w:rPr>
        <w:t>need to evaluate and strengthen existing programs</w:t>
      </w:r>
      <w:r>
        <w:rPr>
          <w:lang w:eastAsia="en-AU"/>
        </w:rPr>
        <w:t>;</w:t>
      </w:r>
    </w:p>
    <w:p w14:paraId="48ACAFCB" w14:textId="62BDAB84" w:rsidR="00620FD0" w:rsidRDefault="00E12C0C" w:rsidP="0067521E">
      <w:pPr>
        <w:pStyle w:val="ListParagraph"/>
        <w:numPr>
          <w:ilvl w:val="0"/>
          <w:numId w:val="62"/>
        </w:numPr>
        <w:ind w:left="567" w:hanging="567"/>
        <w:rPr>
          <w:lang w:eastAsia="en-AU"/>
        </w:rPr>
      </w:pPr>
      <w:r>
        <w:rPr>
          <w:lang w:eastAsia="en-AU"/>
        </w:rPr>
        <w:t xml:space="preserve">the </w:t>
      </w:r>
      <w:r w:rsidR="00620FD0">
        <w:rPr>
          <w:lang w:eastAsia="en-AU"/>
        </w:rPr>
        <w:t>need to expand existing programs</w:t>
      </w:r>
      <w:r>
        <w:rPr>
          <w:lang w:eastAsia="en-AU"/>
        </w:rPr>
        <w:t>;</w:t>
      </w:r>
    </w:p>
    <w:p w14:paraId="23E0E374" w14:textId="756A7384" w:rsidR="00620FD0" w:rsidRDefault="00E12C0C" w:rsidP="0067521E">
      <w:pPr>
        <w:pStyle w:val="ListParagraph"/>
        <w:numPr>
          <w:ilvl w:val="0"/>
          <w:numId w:val="62"/>
        </w:numPr>
        <w:ind w:left="567" w:hanging="567"/>
        <w:rPr>
          <w:lang w:eastAsia="en-AU"/>
        </w:rPr>
      </w:pPr>
      <w:r>
        <w:rPr>
          <w:lang w:eastAsia="en-AU"/>
        </w:rPr>
        <w:t xml:space="preserve">the </w:t>
      </w:r>
      <w:r w:rsidR="00620FD0">
        <w:rPr>
          <w:lang w:eastAsia="en-AU"/>
        </w:rPr>
        <w:t>need to ensure every program has:</w:t>
      </w:r>
    </w:p>
    <w:p w14:paraId="0582916A" w14:textId="62B0C081" w:rsidR="00620FD0" w:rsidRDefault="00E12C0C" w:rsidP="0067521E">
      <w:pPr>
        <w:pStyle w:val="ListParagraph"/>
        <w:numPr>
          <w:ilvl w:val="1"/>
          <w:numId w:val="62"/>
        </w:numPr>
        <w:ind w:left="993" w:hanging="426"/>
        <w:rPr>
          <w:lang w:eastAsia="en-AU"/>
        </w:rPr>
      </w:pPr>
      <w:r>
        <w:rPr>
          <w:lang w:eastAsia="en-AU"/>
        </w:rPr>
        <w:t xml:space="preserve">clear </w:t>
      </w:r>
      <w:r w:rsidR="00620FD0">
        <w:rPr>
          <w:lang w:eastAsia="en-AU"/>
        </w:rPr>
        <w:t>objectives to improve the safety of women and children</w:t>
      </w:r>
      <w:r>
        <w:rPr>
          <w:lang w:eastAsia="en-AU"/>
        </w:rPr>
        <w:t>;</w:t>
      </w:r>
    </w:p>
    <w:p w14:paraId="7D1152CA" w14:textId="5F695824" w:rsidR="00620FD0" w:rsidRDefault="00E12C0C" w:rsidP="0067521E">
      <w:pPr>
        <w:pStyle w:val="ListParagraph"/>
        <w:numPr>
          <w:ilvl w:val="1"/>
          <w:numId w:val="62"/>
        </w:numPr>
        <w:ind w:left="993" w:hanging="426"/>
        <w:rPr>
          <w:lang w:eastAsia="en-AU"/>
        </w:rPr>
      </w:pPr>
      <w:r>
        <w:rPr>
          <w:lang w:eastAsia="en-AU"/>
        </w:rPr>
        <w:t xml:space="preserve">have </w:t>
      </w:r>
      <w:r w:rsidR="00620FD0">
        <w:rPr>
          <w:lang w:eastAsia="en-AU"/>
        </w:rPr>
        <w:t>a funded partner contact service</w:t>
      </w:r>
      <w:r>
        <w:rPr>
          <w:lang w:eastAsia="en-AU"/>
        </w:rPr>
        <w:t>;</w:t>
      </w:r>
    </w:p>
    <w:p w14:paraId="3AF4029B" w14:textId="2A65AB78" w:rsidR="009474BE" w:rsidRDefault="00E12C0C" w:rsidP="0067521E">
      <w:pPr>
        <w:pStyle w:val="ListParagraph"/>
        <w:numPr>
          <w:ilvl w:val="0"/>
          <w:numId w:val="62"/>
        </w:numPr>
        <w:spacing w:after="200"/>
        <w:ind w:left="567" w:hanging="567"/>
        <w:rPr>
          <w:lang w:eastAsia="en-AU"/>
        </w:rPr>
      </w:pPr>
      <w:r>
        <w:rPr>
          <w:lang w:eastAsia="en-AU"/>
        </w:rPr>
        <w:t xml:space="preserve">the </w:t>
      </w:r>
      <w:r w:rsidR="008D0ACD">
        <w:rPr>
          <w:lang w:eastAsia="en-AU"/>
        </w:rPr>
        <w:t>need for separate healing programs in recognition that people who use violence often have a history</w:t>
      </w:r>
      <w:r w:rsidR="007A2C9B">
        <w:rPr>
          <w:lang w:eastAsia="en-AU"/>
        </w:rPr>
        <w:t xml:space="preserve"> of trauma themselves which needs to</w:t>
      </w:r>
      <w:r w:rsidR="008D0ACD">
        <w:rPr>
          <w:lang w:eastAsia="en-AU"/>
        </w:rPr>
        <w:t xml:space="preserve"> be </w:t>
      </w:r>
      <w:r w:rsidR="007A2C9B">
        <w:rPr>
          <w:lang w:eastAsia="en-AU"/>
        </w:rPr>
        <w:t>addressed.</w:t>
      </w:r>
    </w:p>
    <w:p w14:paraId="41C17CBC" w14:textId="72641760" w:rsidR="00184A41" w:rsidRDefault="00D4233A" w:rsidP="00184A41">
      <w:pPr>
        <w:pStyle w:val="Heading4"/>
      </w:pPr>
      <w:r>
        <w:t xml:space="preserve">The trial of </w:t>
      </w:r>
      <w:r w:rsidR="0045762C">
        <w:t xml:space="preserve">a </w:t>
      </w:r>
      <w:r w:rsidR="00184A41">
        <w:t>Specialist DFV List in Alice Springs</w:t>
      </w:r>
      <w:r>
        <w:t xml:space="preserve"> </w:t>
      </w:r>
    </w:p>
    <w:p w14:paraId="211306A7" w14:textId="4096E7A8" w:rsidR="0045762C" w:rsidRDefault="00984BDE" w:rsidP="00184A41">
      <w:r>
        <w:lastRenderedPageBreak/>
        <w:t>Accountability for</w:t>
      </w:r>
      <w:r w:rsidR="00184A41">
        <w:t xml:space="preserve"> DFV perpetrator programs </w:t>
      </w:r>
      <w:r w:rsidR="009474BE">
        <w:t>is currently being trialled as part of the Specialist Approach to Domestic and Family Violence at the Local Court in Alice Springs</w:t>
      </w:r>
      <w:r w:rsidR="00E85939">
        <w:t xml:space="preserve"> (Specialist Approach)</w:t>
      </w:r>
      <w:r w:rsidR="009474BE">
        <w:t>.</w:t>
      </w:r>
    </w:p>
    <w:p w14:paraId="088AEAC0" w14:textId="4E12EA4D" w:rsidR="006C4FB1" w:rsidRDefault="00E85939" w:rsidP="00184A41">
      <w:r>
        <w:t>T</w:t>
      </w:r>
      <w:r w:rsidR="006C4FB1">
        <w:t>he Court can make an order for a defendant to attend a DFV Rehabilitation Program as part of a DVO pursuant to section 24</w:t>
      </w:r>
      <w:r>
        <w:t xml:space="preserve"> of the DFVA. If this occurs the defendant is referred to a special court list called the ‘Specialist DFV List’.</w:t>
      </w:r>
    </w:p>
    <w:p w14:paraId="755D91A3" w14:textId="21BBD05E" w:rsidR="00E85939" w:rsidRDefault="00E85939" w:rsidP="00184A41">
      <w:r>
        <w:t>The way that accountability occurs in relation to orders under section 24 i</w:t>
      </w:r>
      <w:r w:rsidR="004C664E">
        <w:t xml:space="preserve">s set out below. This </w:t>
      </w:r>
      <w:r>
        <w:t>is being trialled as part of the Specialist Approach.</w:t>
      </w:r>
    </w:p>
    <w:p w14:paraId="341DC318" w14:textId="67499565" w:rsidR="00ED355E" w:rsidRPr="00E85939" w:rsidRDefault="004C664E" w:rsidP="00184A41">
      <w:pPr>
        <w:rPr>
          <w:b/>
        </w:rPr>
      </w:pPr>
      <w:r>
        <w:rPr>
          <w:b/>
        </w:rPr>
        <w:t>A</w:t>
      </w:r>
      <w:r w:rsidR="0045762C" w:rsidRPr="00E85939">
        <w:rPr>
          <w:b/>
        </w:rPr>
        <w:t>ccountability</w:t>
      </w:r>
      <w:r w:rsidR="00806258">
        <w:rPr>
          <w:b/>
        </w:rPr>
        <w:t xml:space="preserve"> via</w:t>
      </w:r>
      <w:r>
        <w:rPr>
          <w:b/>
        </w:rPr>
        <w:t xml:space="preserve"> </w:t>
      </w:r>
      <w:r w:rsidR="00806258">
        <w:rPr>
          <w:b/>
        </w:rPr>
        <w:t>d</w:t>
      </w:r>
      <w:r>
        <w:rPr>
          <w:b/>
        </w:rPr>
        <w:t>eclared programs</w:t>
      </w:r>
      <w:r w:rsidR="0045762C" w:rsidRPr="00E85939">
        <w:rPr>
          <w:b/>
        </w:rPr>
        <w:t xml:space="preserve"> </w:t>
      </w:r>
      <w:r w:rsidR="00F055C5" w:rsidRPr="00E85939">
        <w:rPr>
          <w:b/>
        </w:rPr>
        <w:t xml:space="preserve">  </w:t>
      </w:r>
    </w:p>
    <w:p w14:paraId="5A50E623" w14:textId="60548F55" w:rsidR="00184A41" w:rsidRDefault="004C664E" w:rsidP="00E12C0C">
      <w:pPr>
        <w:spacing w:after="120"/>
      </w:pPr>
      <w:r>
        <w:t>For a section 24 order to be made, t</w:t>
      </w:r>
      <w:r w:rsidR="00184A41">
        <w:t>he</w:t>
      </w:r>
      <w:r>
        <w:t xml:space="preserve"> DFV rehabilitation</w:t>
      </w:r>
      <w:r w:rsidR="00184A41">
        <w:t xml:space="preserve"> program must be declared by the Attorney-General and Minister for Justice under section 85A of the DFV</w:t>
      </w:r>
      <w:r w:rsidR="00E12C0C">
        <w:t> </w:t>
      </w:r>
      <w:r w:rsidR="00184A41">
        <w:t>A</w:t>
      </w:r>
      <w:r w:rsidR="00E12C0C">
        <w:t>ct</w:t>
      </w:r>
      <w:r w:rsidR="00184A41">
        <w:t>.  The Minister may declare a program if the primary objective is to change the behaviour of a person who commits domestic violence to:</w:t>
      </w:r>
    </w:p>
    <w:p w14:paraId="6C99BB88" w14:textId="12A7F4FD" w:rsidR="00184A41" w:rsidRPr="00E12C0C" w:rsidRDefault="00E12C0C" w:rsidP="000F5969">
      <w:pPr>
        <w:pStyle w:val="ListParagraph"/>
        <w:numPr>
          <w:ilvl w:val="0"/>
          <w:numId w:val="122"/>
        </w:numPr>
        <w:ind w:left="567" w:hanging="567"/>
      </w:pPr>
      <w:r w:rsidRPr="00E12C0C">
        <w:t xml:space="preserve">reduce </w:t>
      </w:r>
      <w:r w:rsidR="00184A41" w:rsidRPr="00E12C0C">
        <w:t>and prevent the person committing domestic violence;</w:t>
      </w:r>
    </w:p>
    <w:p w14:paraId="60BC430B" w14:textId="054C27DD" w:rsidR="00184A41" w:rsidRPr="00E12C0C" w:rsidRDefault="00E12C0C" w:rsidP="000F5969">
      <w:pPr>
        <w:pStyle w:val="ListParagraph"/>
        <w:numPr>
          <w:ilvl w:val="0"/>
          <w:numId w:val="122"/>
        </w:numPr>
        <w:ind w:left="567" w:hanging="567"/>
      </w:pPr>
      <w:r w:rsidRPr="00E12C0C">
        <w:t xml:space="preserve">increase </w:t>
      </w:r>
      <w:r w:rsidR="00184A41" w:rsidRPr="00E12C0C">
        <w:t>the safety and protection of persons with whom the person is or may be in a domestic relationship; and</w:t>
      </w:r>
    </w:p>
    <w:p w14:paraId="3164F9E7" w14:textId="53A7F4D8" w:rsidR="00184A41" w:rsidRPr="00E12C0C" w:rsidRDefault="00E12C0C" w:rsidP="000F5969">
      <w:pPr>
        <w:pStyle w:val="ListParagraph"/>
        <w:numPr>
          <w:ilvl w:val="0"/>
          <w:numId w:val="122"/>
        </w:numPr>
        <w:spacing w:after="200"/>
        <w:ind w:left="567" w:hanging="567"/>
      </w:pPr>
      <w:r w:rsidRPr="00E12C0C">
        <w:t xml:space="preserve">ensure </w:t>
      </w:r>
      <w:r w:rsidR="00184A41" w:rsidRPr="00E12C0C">
        <w:t>the person accepts responsibility for the person’s behaviour.</w:t>
      </w:r>
    </w:p>
    <w:p w14:paraId="4D15019F" w14:textId="1B250F34" w:rsidR="00A11B6D" w:rsidRDefault="00184A41" w:rsidP="00184A41">
      <w:r>
        <w:t>AGD has an application process in place to advise the Minister about the suitab</w:t>
      </w:r>
      <w:r w:rsidR="00ED355E">
        <w:t xml:space="preserve">ility of programs prior to </w:t>
      </w:r>
      <w:r w:rsidR="004C664E">
        <w:t xml:space="preserve">the Minister declaring a program </w:t>
      </w:r>
      <w:r>
        <w:t>under s</w:t>
      </w:r>
      <w:r w:rsidR="00E12C0C">
        <w:t>ection </w:t>
      </w:r>
      <w:r>
        <w:t xml:space="preserve">85A. </w:t>
      </w:r>
    </w:p>
    <w:p w14:paraId="54458656" w14:textId="1FB7B5FB" w:rsidR="00ED355E" w:rsidRDefault="00ED355E" w:rsidP="00ED355E">
      <w:r>
        <w:t>One prog</w:t>
      </w:r>
      <w:r w:rsidR="00806258">
        <w:t xml:space="preserve">ram has been declared to date, for the purpose of the </w:t>
      </w:r>
      <w:r w:rsidR="00984BDE">
        <w:t>trial</w:t>
      </w:r>
      <w:r w:rsidR="00806258">
        <w:t xml:space="preserve"> as part of the Specialist Approach</w:t>
      </w:r>
      <w:r w:rsidR="00984BDE">
        <w:t xml:space="preserve">. </w:t>
      </w:r>
    </w:p>
    <w:p w14:paraId="367EEC40" w14:textId="10AB7FEB" w:rsidR="004C664E" w:rsidRPr="004C664E" w:rsidRDefault="004C664E" w:rsidP="00ED355E">
      <w:pPr>
        <w:rPr>
          <w:b/>
        </w:rPr>
      </w:pPr>
      <w:r w:rsidRPr="004C664E">
        <w:rPr>
          <w:b/>
        </w:rPr>
        <w:t>Accountability</w:t>
      </w:r>
      <w:r w:rsidR="00806258">
        <w:rPr>
          <w:b/>
        </w:rPr>
        <w:t xml:space="preserve"> via</w:t>
      </w:r>
      <w:r w:rsidRPr="004C664E">
        <w:rPr>
          <w:b/>
        </w:rPr>
        <w:t xml:space="preserve"> Specialist </w:t>
      </w:r>
      <w:r>
        <w:rPr>
          <w:b/>
        </w:rPr>
        <w:t>DF</w:t>
      </w:r>
      <w:r w:rsidR="0034731E">
        <w:rPr>
          <w:b/>
        </w:rPr>
        <w:t>V</w:t>
      </w:r>
      <w:r>
        <w:rPr>
          <w:b/>
        </w:rPr>
        <w:t xml:space="preserve"> </w:t>
      </w:r>
      <w:r w:rsidRPr="004C664E">
        <w:rPr>
          <w:b/>
        </w:rPr>
        <w:t>List</w:t>
      </w:r>
    </w:p>
    <w:p w14:paraId="0A3F804A" w14:textId="6D8883FB" w:rsidR="00ED355E" w:rsidRPr="00ED355E" w:rsidRDefault="00ED355E" w:rsidP="00ED355E">
      <w:pPr>
        <w:rPr>
          <w:rFonts w:eastAsiaTheme="minorEastAsia"/>
          <w:iCs/>
        </w:rPr>
      </w:pPr>
      <w:r w:rsidRPr="00ED355E">
        <w:rPr>
          <w:lang w:eastAsia="en-AU"/>
        </w:rPr>
        <w:t xml:space="preserve">The early results of the Specialist </w:t>
      </w:r>
      <w:r w:rsidR="00984BDE">
        <w:rPr>
          <w:lang w:eastAsia="en-AU"/>
        </w:rPr>
        <w:t xml:space="preserve">DFV </w:t>
      </w:r>
      <w:r w:rsidRPr="00ED355E">
        <w:rPr>
          <w:lang w:eastAsia="en-AU"/>
        </w:rPr>
        <w:t>List have been promising as indicated</w:t>
      </w:r>
      <w:r w:rsidRPr="00ED355E">
        <w:rPr>
          <w:rFonts w:eastAsiaTheme="minorEastAsia"/>
          <w:iCs/>
        </w:rPr>
        <w:t xml:space="preserve"> in the Internal Evaluation of the Specialist Approach conducted after 18 months of operation (</w:t>
      </w:r>
      <w:r w:rsidRPr="00E12C0C">
        <w:rPr>
          <w:rFonts w:eastAsiaTheme="minorEastAsia"/>
          <w:iCs/>
        </w:rPr>
        <w:t xml:space="preserve">see </w:t>
      </w:r>
      <w:r w:rsidR="00E12C0C">
        <w:rPr>
          <w:rFonts w:eastAsiaTheme="minorEastAsia"/>
          <w:iCs/>
        </w:rPr>
        <w:t>Part </w:t>
      </w:r>
      <w:r w:rsidR="00FB15B0" w:rsidRPr="00E12C0C">
        <w:rPr>
          <w:rFonts w:eastAsiaTheme="minorEastAsia"/>
          <w:iCs/>
        </w:rPr>
        <w:t>6.2.2</w:t>
      </w:r>
      <w:r w:rsidRPr="00E12C0C">
        <w:rPr>
          <w:rFonts w:eastAsiaTheme="minorEastAsia"/>
          <w:iCs/>
        </w:rPr>
        <w:t xml:space="preserve"> above).</w:t>
      </w:r>
      <w:r w:rsidRPr="00E12C0C">
        <w:rPr>
          <w:rStyle w:val="FootnoteReference"/>
          <w:rFonts w:eastAsiaTheme="minorEastAsia"/>
          <w:iCs/>
        </w:rPr>
        <w:footnoteReference w:id="230"/>
      </w:r>
      <w:r w:rsidRPr="00ED355E">
        <w:rPr>
          <w:rFonts w:eastAsiaTheme="minorEastAsia"/>
          <w:iCs/>
        </w:rPr>
        <w:t xml:space="preserve">  </w:t>
      </w:r>
    </w:p>
    <w:p w14:paraId="125BF653" w14:textId="6BDFE968" w:rsidR="00ED355E" w:rsidRPr="00E12C0C" w:rsidRDefault="00ED355E" w:rsidP="00E12C0C">
      <w:pPr>
        <w:spacing w:after="120" w:line="276" w:lineRule="auto"/>
        <w:ind w:firstLine="1"/>
        <w:jc w:val="both"/>
        <w:rPr>
          <w:rFonts w:asciiTheme="minorHAnsi" w:hAnsiTheme="minorHAnsi"/>
        </w:rPr>
      </w:pPr>
      <w:r w:rsidRPr="00E12C0C">
        <w:rPr>
          <w:rFonts w:asciiTheme="minorHAnsi" w:hAnsiTheme="minorHAnsi"/>
        </w:rPr>
        <w:t>The Specialist List and the legislation which underpins it (Part 2.11A of the</w:t>
      </w:r>
      <w:r w:rsidR="00E12C0C">
        <w:rPr>
          <w:rFonts w:asciiTheme="minorHAnsi" w:hAnsiTheme="minorHAnsi"/>
        </w:rPr>
        <w:t xml:space="preserve"> DFV  Act</w:t>
      </w:r>
      <w:r w:rsidRPr="00E12C0C">
        <w:rPr>
          <w:rFonts w:asciiTheme="minorHAnsi" w:hAnsiTheme="minorHAnsi"/>
        </w:rPr>
        <w:t>) has a number of important features to increase the accountability of the defendant. Th</w:t>
      </w:r>
      <w:r w:rsidR="00E12C0C">
        <w:rPr>
          <w:rFonts w:asciiTheme="minorHAnsi" w:hAnsiTheme="minorHAnsi"/>
        </w:rPr>
        <w:t>e</w:t>
      </w:r>
      <w:r w:rsidRPr="00E12C0C">
        <w:rPr>
          <w:rFonts w:asciiTheme="minorHAnsi" w:hAnsiTheme="minorHAnsi"/>
        </w:rPr>
        <w:t>s</w:t>
      </w:r>
      <w:r w:rsidR="00E12C0C">
        <w:rPr>
          <w:rFonts w:asciiTheme="minorHAnsi" w:hAnsiTheme="minorHAnsi"/>
        </w:rPr>
        <w:t>e</w:t>
      </w:r>
      <w:r w:rsidRPr="00E12C0C">
        <w:rPr>
          <w:rFonts w:asciiTheme="minorHAnsi" w:hAnsiTheme="minorHAnsi"/>
        </w:rPr>
        <w:t xml:space="preserve"> include:</w:t>
      </w:r>
    </w:p>
    <w:p w14:paraId="6D059B67" w14:textId="07B4CD2B" w:rsidR="00ED355E" w:rsidRPr="00E12C0C" w:rsidRDefault="00ED355E" w:rsidP="000F5969">
      <w:pPr>
        <w:pStyle w:val="ListParagraph"/>
        <w:numPr>
          <w:ilvl w:val="0"/>
          <w:numId w:val="123"/>
        </w:numPr>
        <w:ind w:left="567" w:hanging="567"/>
      </w:pPr>
      <w:r w:rsidRPr="00E12C0C">
        <w:t xml:space="preserve">The safety and protection of the protected person must be the paramount consideration in making an order to attend a program as part of a DVO.  In addition, the </w:t>
      </w:r>
      <w:r w:rsidR="00E12C0C" w:rsidRPr="00E12C0C">
        <w:t xml:space="preserve">court </w:t>
      </w:r>
      <w:r w:rsidRPr="00E12C0C">
        <w:t>must be satisfied that the defendant is a suitable person to take part in the program.</w:t>
      </w:r>
    </w:p>
    <w:p w14:paraId="0B27A2AD" w14:textId="2F0BAF2F" w:rsidR="00ED355E" w:rsidRPr="00E12C0C" w:rsidRDefault="00ED355E" w:rsidP="000F5969">
      <w:pPr>
        <w:pStyle w:val="ListParagraph"/>
        <w:numPr>
          <w:ilvl w:val="0"/>
          <w:numId w:val="123"/>
        </w:numPr>
        <w:ind w:left="567" w:hanging="567"/>
      </w:pPr>
      <w:r w:rsidRPr="00E12C0C">
        <w:t xml:space="preserve">The practice direction sets out the procedures for the defendant to be assessed for his suitability to attend a program and also for a risk assessment to be conducted with the victim and for the victim’s views to be taken into account if they wish to express a view. </w:t>
      </w:r>
      <w:r w:rsidR="00E12C0C">
        <w:t xml:space="preserve"> </w:t>
      </w:r>
      <w:r w:rsidRPr="00E12C0C">
        <w:t>Assessments with defendants and protected persons are carried out by professionals with considerable expertise in DFV, based in non-government agencies.</w:t>
      </w:r>
    </w:p>
    <w:p w14:paraId="0A987BD3" w14:textId="188ECE7C" w:rsidR="00ED355E" w:rsidRPr="00E12C0C" w:rsidRDefault="00ED355E" w:rsidP="000F5969">
      <w:pPr>
        <w:pStyle w:val="ListParagraph"/>
        <w:numPr>
          <w:ilvl w:val="0"/>
          <w:numId w:val="123"/>
        </w:numPr>
        <w:ind w:left="567" w:hanging="567"/>
      </w:pPr>
      <w:r w:rsidRPr="00E12C0C">
        <w:t xml:space="preserve">While a defendant is attending the program, the </w:t>
      </w:r>
      <w:r w:rsidR="00E12C0C" w:rsidRPr="00E12C0C">
        <w:t xml:space="preserve">court </w:t>
      </w:r>
      <w:r w:rsidRPr="00E12C0C">
        <w:t xml:space="preserve">has the power to conduct reviews to monitor the defendant’s progress in the program. </w:t>
      </w:r>
      <w:r w:rsidR="00E12C0C">
        <w:t xml:space="preserve"> </w:t>
      </w:r>
      <w:r w:rsidRPr="00E12C0C">
        <w:t>Reviews are conducted by the Lead Judge of the Specialist Approach.</w:t>
      </w:r>
    </w:p>
    <w:p w14:paraId="16D3113E" w14:textId="77777777" w:rsidR="00ED355E" w:rsidRPr="00E12C0C" w:rsidRDefault="00ED355E" w:rsidP="000F5969">
      <w:pPr>
        <w:pStyle w:val="ListParagraph"/>
        <w:numPr>
          <w:ilvl w:val="0"/>
          <w:numId w:val="123"/>
        </w:numPr>
        <w:ind w:left="567" w:hanging="567"/>
      </w:pPr>
      <w:r w:rsidRPr="00E12C0C">
        <w:t xml:space="preserve">The duties of program facilitators are provided for in legislation, including a duty to notify the Court if a defendant has failed to comply with a program requirement and to notify the Police and the Court if the defendant commits further DFV, breaches a DVO, or presents an </w:t>
      </w:r>
      <w:r w:rsidRPr="00E12C0C">
        <w:lastRenderedPageBreak/>
        <w:t>unacceptable risk to the safety or welfare of the protected person or any person.  The program facilitator is also required to provide a notice summarising the defendant’s participation in the program if requested to do so by the Court prior to a review, and to provide a notice when the defendant completes the program requirements.</w:t>
      </w:r>
    </w:p>
    <w:p w14:paraId="3A4924DB" w14:textId="681367E9" w:rsidR="00ED355E" w:rsidRPr="00E12C0C" w:rsidRDefault="00ED355E" w:rsidP="000F5969">
      <w:pPr>
        <w:pStyle w:val="ListParagraph"/>
        <w:numPr>
          <w:ilvl w:val="0"/>
          <w:numId w:val="123"/>
        </w:numPr>
        <w:ind w:left="567" w:hanging="567"/>
      </w:pPr>
      <w:r w:rsidRPr="00E12C0C">
        <w:t xml:space="preserve">The legislation provides for the </w:t>
      </w:r>
      <w:r w:rsidR="00E12C0C" w:rsidRPr="00E12C0C">
        <w:t xml:space="preserve">court </w:t>
      </w:r>
      <w:r w:rsidRPr="00E12C0C">
        <w:t xml:space="preserve">to issue a summons or warrant to bring the defendant before the </w:t>
      </w:r>
      <w:r w:rsidR="00E12C0C" w:rsidRPr="00E12C0C">
        <w:t xml:space="preserve">court </w:t>
      </w:r>
      <w:r w:rsidRPr="00E12C0C">
        <w:t xml:space="preserve">if the defendant fails to attend a review, fails to comply with a program requirement, or the </w:t>
      </w:r>
      <w:r w:rsidR="00E12C0C" w:rsidRPr="00E12C0C">
        <w:t xml:space="preserve">court </w:t>
      </w:r>
      <w:r w:rsidRPr="00E12C0C">
        <w:t>believes the defendant may present a risk to the safety of the protected person or any person;</w:t>
      </w:r>
    </w:p>
    <w:p w14:paraId="2317BB47" w14:textId="1E89BAF2" w:rsidR="00ED355E" w:rsidRPr="00E12C0C" w:rsidRDefault="00ED355E" w:rsidP="000F5969">
      <w:pPr>
        <w:pStyle w:val="ListParagraph"/>
        <w:numPr>
          <w:ilvl w:val="0"/>
          <w:numId w:val="123"/>
        </w:numPr>
        <w:spacing w:after="240"/>
        <w:ind w:left="567" w:hanging="567"/>
        <w:contextualSpacing/>
      </w:pPr>
      <w:r w:rsidRPr="00E12C0C">
        <w:t xml:space="preserve">The legislation provides for the </w:t>
      </w:r>
      <w:r w:rsidR="00E12C0C" w:rsidRPr="00E12C0C">
        <w:t xml:space="preserve">court </w:t>
      </w:r>
      <w:r w:rsidRPr="00E12C0C">
        <w:t>to revoke the rehabilitation program order in certain circumstances.</w:t>
      </w:r>
    </w:p>
    <w:p w14:paraId="607864D6" w14:textId="192A33BA" w:rsidR="00ED355E" w:rsidRPr="00E12C0C" w:rsidRDefault="00ED355E" w:rsidP="00E12C0C">
      <w:pPr>
        <w:spacing w:after="240"/>
      </w:pPr>
      <w:r w:rsidRPr="00E12C0C">
        <w:t xml:space="preserve">The new Part 2.11A </w:t>
      </w:r>
      <w:r w:rsidR="00806258" w:rsidRPr="00E12C0C">
        <w:t xml:space="preserve">of the DFVA </w:t>
      </w:r>
      <w:r w:rsidRPr="00E12C0C">
        <w:t>includes safeguards to ensure that minor non</w:t>
      </w:r>
      <w:r w:rsidRPr="00E12C0C">
        <w:noBreakHyphen/>
        <w:t xml:space="preserve">compliance by defendants does not unfairly prevent them from continuing with the program or satisfactorily completing it.  For example, if a defendant fails to comply with a requirement of the program, it does not constitute a breach of the DVO but the defendant will be called before the </w:t>
      </w:r>
      <w:r w:rsidR="00E12C0C" w:rsidRPr="00E12C0C">
        <w:t xml:space="preserve">court </w:t>
      </w:r>
      <w:r w:rsidRPr="00E12C0C">
        <w:t>for a review.</w:t>
      </w:r>
    </w:p>
    <w:p w14:paraId="2D082F62" w14:textId="2F138653" w:rsidR="00ED355E" w:rsidRPr="00E12C0C" w:rsidRDefault="00ED355E" w:rsidP="00E12C0C">
      <w:pPr>
        <w:spacing w:after="120"/>
      </w:pPr>
      <w:r w:rsidRPr="00E12C0C">
        <w:t xml:space="preserve">Stakeholders found the Specialist List to be highly successful in supporting defendants to take responsibility for their use of violence.  </w:t>
      </w:r>
      <w:r w:rsidRPr="00E12C0C">
        <w:rPr>
          <w:rFonts w:cs="Calibri"/>
        </w:rPr>
        <w:t xml:space="preserve">Positive feedback has been received from defendants in the Specialist List regarding both the approach adopted by the Judge and the MBCP.  </w:t>
      </w:r>
      <w:r w:rsidRPr="00E12C0C">
        <w:t>Commenting on their experience of completing the MBCP on the Speci</w:t>
      </w:r>
      <w:r w:rsidR="00855AF3" w:rsidRPr="00E12C0C">
        <w:t>alist list, one defendant said:</w:t>
      </w:r>
    </w:p>
    <w:p w14:paraId="51B53058" w14:textId="422E353B" w:rsidR="00ED355E" w:rsidRPr="00E12C0C" w:rsidRDefault="00ED355E" w:rsidP="00E12C0C">
      <w:pPr>
        <w:ind w:left="567"/>
        <w:jc w:val="both"/>
        <w:rPr>
          <w:rFonts w:ascii="Calibri" w:eastAsia="Times New Roman" w:hAnsi="Calibri"/>
          <w:i/>
          <w:iCs/>
        </w:rPr>
      </w:pPr>
      <w:r w:rsidRPr="00E12C0C">
        <w:rPr>
          <w:rFonts w:eastAsia="Times New Roman"/>
          <w:i/>
          <w:iCs/>
        </w:rPr>
        <w:t>“I feel good about myself. For completing it and sticking with it. I’m not ashamed now to talk up. I can express my feelings more. I don’t have to hide it away. Don’t have to let it eat me and make me feel like shit”.</w:t>
      </w:r>
    </w:p>
    <w:p w14:paraId="0FC61384" w14:textId="2C9C8A94" w:rsidR="00ED355E" w:rsidRPr="00E12C0C" w:rsidRDefault="00ED355E" w:rsidP="00E12C0C">
      <w:pPr>
        <w:spacing w:after="120"/>
        <w:jc w:val="both"/>
        <w:rPr>
          <w:rFonts w:ascii="Calibri" w:eastAsia="Times New Roman" w:hAnsi="Calibri"/>
          <w:lang w:val="en-GB"/>
        </w:rPr>
      </w:pPr>
      <w:r w:rsidRPr="00E12C0C">
        <w:rPr>
          <w:rFonts w:eastAsia="Times New Roman"/>
          <w:lang w:val="en-GB"/>
        </w:rPr>
        <w:t xml:space="preserve">It has been suggested that men who have been referred to the MBCP as part of the Specialist List, have additional levels of accountability available through the Specialist List compared to men who are referred through other pathways </w:t>
      </w:r>
      <w:r w:rsidRPr="00E12C0C">
        <w:rPr>
          <w:rFonts w:eastAsia="Times New Roman"/>
        </w:rPr>
        <w:t xml:space="preserve">(for example, sentencing orders where the defendant is not required to regularly return to </w:t>
      </w:r>
      <w:r w:rsidR="00E12C0C" w:rsidRPr="00E12C0C">
        <w:rPr>
          <w:rFonts w:eastAsia="Times New Roman"/>
        </w:rPr>
        <w:t xml:space="preserve">court </w:t>
      </w:r>
      <w:r w:rsidRPr="00E12C0C">
        <w:rPr>
          <w:rFonts w:eastAsia="Times New Roman"/>
        </w:rPr>
        <w:t>for review of their progress in the MBCP)</w:t>
      </w:r>
      <w:r w:rsidRPr="00E12C0C">
        <w:rPr>
          <w:rFonts w:eastAsia="Times New Roman"/>
          <w:lang w:val="en-GB"/>
        </w:rPr>
        <w:t>.  </w:t>
      </w:r>
    </w:p>
    <w:p w14:paraId="13DA6615" w14:textId="77777777" w:rsidR="00ED355E" w:rsidRPr="00E12C0C" w:rsidRDefault="00ED355E" w:rsidP="00E12C0C">
      <w:pPr>
        <w:ind w:left="567"/>
        <w:rPr>
          <w:rFonts w:ascii="Calibri" w:eastAsia="Times New Roman" w:hAnsi="Calibri"/>
          <w:i/>
          <w:lang w:val="en-GB"/>
        </w:rPr>
      </w:pPr>
      <w:r w:rsidRPr="00E12C0C">
        <w:rPr>
          <w:rFonts w:eastAsia="Times New Roman"/>
          <w:i/>
          <w:lang w:val="en-GB"/>
        </w:rPr>
        <w:t xml:space="preserve">“Comparing the different referral pathways for men who engage in the MBCP, men from the Specialist List have additional levels of accountability”. </w:t>
      </w:r>
    </w:p>
    <w:p w14:paraId="14155D58" w14:textId="7FBF3D2A" w:rsidR="00F15C8F" w:rsidRPr="00E12C0C" w:rsidRDefault="00F15C8F" w:rsidP="00E12C0C">
      <w:pPr>
        <w:spacing w:after="120"/>
      </w:pPr>
      <w:r w:rsidRPr="00E12C0C">
        <w:t>The Specialist Approach is a limited trial in one location and has only been operating for 12</w:t>
      </w:r>
      <w:r w:rsidR="0034731E" w:rsidRPr="00E12C0C">
        <w:t>-18</w:t>
      </w:r>
      <w:r w:rsidRPr="00E12C0C">
        <w:t xml:space="preserve"> months to date. The Internal Evaluation found:</w:t>
      </w:r>
    </w:p>
    <w:p w14:paraId="0ADE37B9" w14:textId="0C3A5434" w:rsidR="00F15C8F" w:rsidRPr="00E12C0C" w:rsidRDefault="00F15C8F" w:rsidP="00E12C0C">
      <w:pPr>
        <w:spacing w:after="120"/>
        <w:ind w:left="567"/>
        <w:jc w:val="both"/>
        <w:rPr>
          <w:rFonts w:asciiTheme="minorHAnsi" w:hAnsiTheme="minorHAnsi"/>
        </w:rPr>
      </w:pPr>
      <w:r w:rsidRPr="00E12C0C">
        <w:rPr>
          <w:rFonts w:asciiTheme="minorHAnsi" w:hAnsiTheme="minorHAnsi"/>
        </w:rPr>
        <w:t>Of the 12 men ordered to attend the MBCP, 16</w:t>
      </w:r>
      <w:r w:rsidR="00E12C0C">
        <w:rPr>
          <w:rFonts w:asciiTheme="minorHAnsi" w:hAnsiTheme="minorHAnsi"/>
        </w:rPr>
        <w:t xml:space="preserve"> per cent</w:t>
      </w:r>
      <w:r w:rsidRPr="00E12C0C">
        <w:rPr>
          <w:rFonts w:asciiTheme="minorHAnsi" w:hAnsiTheme="minorHAnsi"/>
        </w:rPr>
        <w:t xml:space="preserve"> (or 2 men) successfully completed the program and half (6 men) were still engaged in the program at t</w:t>
      </w:r>
      <w:r w:rsidR="00E12C0C">
        <w:rPr>
          <w:rFonts w:asciiTheme="minorHAnsi" w:hAnsiTheme="minorHAnsi"/>
        </w:rPr>
        <w:t>he end of the period.  As at 31 </w:t>
      </w:r>
      <w:r w:rsidRPr="00E12C0C">
        <w:rPr>
          <w:rFonts w:asciiTheme="minorHAnsi" w:hAnsiTheme="minorHAnsi"/>
        </w:rPr>
        <w:t>December 2021 there were 6 defendants on the Specialist List. That is a successful or pending outcome in 67</w:t>
      </w:r>
      <w:r w:rsidR="00E12C0C">
        <w:rPr>
          <w:rFonts w:asciiTheme="minorHAnsi" w:hAnsiTheme="minorHAnsi"/>
        </w:rPr>
        <w:t xml:space="preserve"> per cent</w:t>
      </w:r>
      <w:r w:rsidRPr="00E12C0C">
        <w:rPr>
          <w:rFonts w:asciiTheme="minorHAnsi" w:hAnsiTheme="minorHAnsi"/>
        </w:rPr>
        <w:t xml:space="preserve"> of matters. </w:t>
      </w:r>
    </w:p>
    <w:p w14:paraId="0BA2438B" w14:textId="0BEA0D55" w:rsidR="00F15C8F" w:rsidRPr="00E12C0C" w:rsidRDefault="00F15C8F" w:rsidP="00E12C0C">
      <w:pPr>
        <w:ind w:left="567"/>
        <w:jc w:val="both"/>
        <w:rPr>
          <w:rFonts w:asciiTheme="minorHAnsi" w:hAnsiTheme="minorHAnsi"/>
        </w:rPr>
      </w:pPr>
      <w:r w:rsidRPr="00E12C0C">
        <w:rPr>
          <w:rFonts w:asciiTheme="minorHAnsi" w:hAnsiTheme="minorHAnsi"/>
        </w:rPr>
        <w:t>Three defendants did not complete the order to attend the MBCP or the order to attend was revoked following non-compliance.  1 defendant received a completion notice (indicating that he had met the requirements of the MBCP) but was found not to have successfully completed the program pursuant to section 85B of the</w:t>
      </w:r>
      <w:r w:rsidR="00E12C0C">
        <w:rPr>
          <w:rFonts w:asciiTheme="minorHAnsi" w:hAnsiTheme="minorHAnsi"/>
        </w:rPr>
        <w:t xml:space="preserve"> DFV Act</w:t>
      </w:r>
      <w:r w:rsidRPr="00E12C0C">
        <w:rPr>
          <w:rFonts w:asciiTheme="minorHAnsi" w:hAnsiTheme="minorHAnsi"/>
        </w:rPr>
        <w:t>.</w:t>
      </w:r>
      <w:r w:rsidR="00E12C0C">
        <w:rPr>
          <w:rFonts w:asciiTheme="minorHAnsi" w:hAnsiTheme="minorHAnsi"/>
        </w:rPr>
        <w:t xml:space="preserve"> </w:t>
      </w:r>
      <w:r w:rsidRPr="00E12C0C">
        <w:rPr>
          <w:rFonts w:asciiTheme="minorHAnsi" w:hAnsiTheme="minorHAnsi"/>
        </w:rPr>
        <w:t xml:space="preserve"> That is 33</w:t>
      </w:r>
      <w:r w:rsidR="00E12C0C">
        <w:rPr>
          <w:rFonts w:asciiTheme="minorHAnsi" w:hAnsiTheme="minorHAnsi"/>
        </w:rPr>
        <w:t xml:space="preserve"> per cent</w:t>
      </w:r>
      <w:r w:rsidRPr="00E12C0C">
        <w:rPr>
          <w:rFonts w:asciiTheme="minorHAnsi" w:hAnsiTheme="minorHAnsi"/>
        </w:rPr>
        <w:t xml:space="preserve"> of matters with an unsuccessful outcome.</w:t>
      </w:r>
    </w:p>
    <w:p w14:paraId="3BD15855" w14:textId="285EAABC" w:rsidR="00F15C8F" w:rsidRPr="00E12C0C" w:rsidRDefault="00F15C8F" w:rsidP="00184A41">
      <w:r w:rsidRPr="00E12C0C">
        <w:t>However, the experience from the Specialist List provides an important opportunity to consider how to increase the accountability of perpetrators of DFV, particularly as the Government is currently considering reform of community-based sentencing options and programs.</w:t>
      </w:r>
    </w:p>
    <w:p w14:paraId="50123C50" w14:textId="549E2DC2" w:rsidR="00F15C8F" w:rsidRPr="00F15C8F" w:rsidRDefault="00F15C8F" w:rsidP="00184A41">
      <w:r w:rsidRPr="00F15C8F">
        <w:lastRenderedPageBreak/>
        <w:t xml:space="preserve">The Internal Evaluation of the Specialist Approach recommended </w:t>
      </w:r>
      <w:r w:rsidR="001B623F">
        <w:t xml:space="preserve">that AGD </w:t>
      </w:r>
      <w:r w:rsidRPr="00F15C8F">
        <w:t xml:space="preserve">consider, as part of the DFV Legislative Review, mandating attendance at behaviour changes programs along the lines of counselling orders provided for in Part 5 of the </w:t>
      </w:r>
      <w:r w:rsidRPr="002603FC">
        <w:rPr>
          <w:i/>
          <w:iCs/>
        </w:rPr>
        <w:t>Family Violence Protection Act 2008 (Vic)</w:t>
      </w:r>
      <w:r w:rsidRPr="002603FC">
        <w:rPr>
          <w:i/>
        </w:rPr>
        <w:t>.</w:t>
      </w:r>
      <w:r>
        <w:rPr>
          <w:rStyle w:val="FootnoteReference"/>
        </w:rPr>
        <w:footnoteReference w:id="231"/>
      </w:r>
    </w:p>
    <w:p w14:paraId="033040A9" w14:textId="2076F18F" w:rsidR="00F15C8F" w:rsidRPr="002603FC" w:rsidRDefault="00F15C8F" w:rsidP="00184A41">
      <w:pPr>
        <w:rPr>
          <w:b/>
        </w:rPr>
      </w:pPr>
      <w:r>
        <w:t>This has been c</w:t>
      </w:r>
      <w:r w:rsidR="002603FC">
        <w:t xml:space="preserve">onsidered in this Review.  </w:t>
      </w:r>
      <w:r w:rsidR="00D5497E">
        <w:t xml:space="preserve">In </w:t>
      </w:r>
      <w:r w:rsidR="00E12C0C" w:rsidRPr="00E12C0C">
        <w:t xml:space="preserve">proposal </w:t>
      </w:r>
      <w:r w:rsidR="00D5497E" w:rsidRPr="00E12C0C">
        <w:t>LR 18</w:t>
      </w:r>
      <w:r w:rsidR="001B623F" w:rsidRPr="001B623F">
        <w:t xml:space="preserve"> of this paper </w:t>
      </w:r>
      <w:r w:rsidR="002603FC" w:rsidRPr="00D5497E">
        <w:t>it</w:t>
      </w:r>
      <w:r w:rsidR="002603FC" w:rsidRPr="002603FC">
        <w:t xml:space="preserve"> is proposed that attendance at DFV behaviour changes programs be mandated along the lines of counselling orders provided for in Part 5 of the </w:t>
      </w:r>
      <w:r w:rsidR="002603FC" w:rsidRPr="002603FC">
        <w:rPr>
          <w:i/>
          <w:iCs/>
        </w:rPr>
        <w:t>Family Violence Protection Act 2008 (Vic)</w:t>
      </w:r>
      <w:r w:rsidR="002603FC" w:rsidRPr="002603FC">
        <w:t>.</w:t>
      </w:r>
    </w:p>
    <w:p w14:paraId="4CA26618" w14:textId="6B78FCAE" w:rsidR="00A33D9E" w:rsidRPr="00A812D2" w:rsidRDefault="00184A41" w:rsidP="00A812D2">
      <w:pPr>
        <w:pStyle w:val="Heading4"/>
      </w:pPr>
      <w:r>
        <w:t>Trauma informed counselling services</w:t>
      </w:r>
      <w:r w:rsidR="00EF31FA">
        <w:t xml:space="preserve"> for w</w:t>
      </w:r>
      <w:r w:rsidR="00A33D9E" w:rsidRPr="00A812D2">
        <w:t>omen offenders</w:t>
      </w:r>
    </w:p>
    <w:p w14:paraId="088B9FAB" w14:textId="2D715E7A" w:rsidR="00A33D9E" w:rsidRPr="000E3942" w:rsidRDefault="00A33D9E" w:rsidP="00A33D9E">
      <w:pPr>
        <w:rPr>
          <w:b/>
          <w:i/>
        </w:rPr>
      </w:pPr>
      <w:r w:rsidRPr="000E3942">
        <w:t>Over half of women prisoners in the NT are held for DFV and over 74-80</w:t>
      </w:r>
      <w:r w:rsidR="00E12C0C">
        <w:t> per cent</w:t>
      </w:r>
      <w:r w:rsidRPr="000E3942">
        <w:t xml:space="preserve"> of women prisoners are victi</w:t>
      </w:r>
      <w:r w:rsidR="001B473E">
        <w:t xml:space="preserve">ms of DFV and/or child abuse. </w:t>
      </w:r>
      <w:r w:rsidR="00E12C0C">
        <w:t xml:space="preserve"> </w:t>
      </w:r>
      <w:r w:rsidR="001B473E">
        <w:t>T</w:t>
      </w:r>
      <w:r w:rsidRPr="000E3942">
        <w:t xml:space="preserve">here is no ongoing access to trauma informed DFV counselling for women prisoners, including Aboriginal prisoners. </w:t>
      </w:r>
      <w:r w:rsidR="00E12C0C">
        <w:t xml:space="preserve"> </w:t>
      </w:r>
      <w:r w:rsidRPr="000E3942">
        <w:t>The need for trauma informed counselling was raised as part of the A</w:t>
      </w:r>
      <w:r w:rsidR="00E12C0C">
        <w:t>JA</w:t>
      </w:r>
      <w:r w:rsidR="001B473E">
        <w:t xml:space="preserve"> and by women’s legal services</w:t>
      </w:r>
      <w:r w:rsidRPr="000E3942">
        <w:t xml:space="preserve"> who have been conducting ‘legal health checks’ for women prisoners. </w:t>
      </w:r>
      <w:r w:rsidR="000E3942">
        <w:rPr>
          <w:b/>
          <w:i/>
        </w:rPr>
        <w:t xml:space="preserve"> </w:t>
      </w:r>
      <w:r w:rsidRPr="000E3942">
        <w:t>A unique ser</w:t>
      </w:r>
      <w:r w:rsidR="000E3942">
        <w:t>vice of this kind could</w:t>
      </w:r>
      <w:r w:rsidRPr="000E3942">
        <w:t xml:space="preserve"> play a key role in improving outcomes for women prisoners and reducing reoffending, and so is consistent with the aims of the Aboriginal Justice Agreement.</w:t>
      </w:r>
    </w:p>
    <w:p w14:paraId="2DF17770" w14:textId="702410CC" w:rsidR="000E3942" w:rsidRPr="009B2C1B" w:rsidRDefault="00450EA1" w:rsidP="009C5ED6">
      <w:pPr>
        <w:pStyle w:val="Heading4"/>
        <w:keepNext/>
        <w:numPr>
          <w:ilvl w:val="0"/>
          <w:numId w:val="0"/>
        </w:numPr>
        <w:spacing w:after="0" w:line="259" w:lineRule="auto"/>
        <w:rPr>
          <w:lang w:eastAsia="en-AU"/>
        </w:rPr>
      </w:pPr>
      <w:r>
        <w:rPr>
          <w:lang w:eastAsia="en-AU"/>
        </w:rPr>
        <w:t>PROPOSAL SR</w:t>
      </w:r>
      <w:r w:rsidR="00F71454">
        <w:rPr>
          <w:lang w:eastAsia="en-AU"/>
        </w:rPr>
        <w:t xml:space="preserve"> 20</w:t>
      </w:r>
    </w:p>
    <w:p w14:paraId="4F177FC3" w14:textId="3C9A680B" w:rsidR="000E3942" w:rsidRDefault="00C225A1" w:rsidP="009C5ED6">
      <w:pPr>
        <w:spacing w:after="0" w:line="259" w:lineRule="auto"/>
        <w:rPr>
          <w:b/>
        </w:rPr>
      </w:pPr>
      <w:r>
        <w:rPr>
          <w:b/>
        </w:rPr>
        <w:t xml:space="preserve">It is proposed that the </w:t>
      </w:r>
      <w:r w:rsidR="00E37E7C">
        <w:rPr>
          <w:b/>
        </w:rPr>
        <w:t>DFSV-ICRO</w:t>
      </w:r>
      <w:r>
        <w:rPr>
          <w:b/>
        </w:rPr>
        <w:t xml:space="preserve"> reform agenda include </w:t>
      </w:r>
      <w:r w:rsidR="00BC7792">
        <w:rPr>
          <w:b/>
        </w:rPr>
        <w:t xml:space="preserve">consideration of funding for </w:t>
      </w:r>
      <w:r w:rsidR="000E3942">
        <w:rPr>
          <w:b/>
        </w:rPr>
        <w:t>a specialist trauma-informed counselling service for women prisoners who have experienced DFV, sexual abuse, child abuse or other forms of trauma.</w:t>
      </w:r>
    </w:p>
    <w:p w14:paraId="0A159511" w14:textId="0F68B526" w:rsidR="00184A41" w:rsidRDefault="00450EA1" w:rsidP="009C5ED6">
      <w:pPr>
        <w:pStyle w:val="Heading4"/>
        <w:keepNext/>
        <w:numPr>
          <w:ilvl w:val="0"/>
          <w:numId w:val="0"/>
        </w:numPr>
        <w:spacing w:after="0" w:line="259" w:lineRule="auto"/>
      </w:pPr>
      <w:r>
        <w:t>PROPOSAL SR 21</w:t>
      </w:r>
    </w:p>
    <w:p w14:paraId="4E68D037" w14:textId="1D6C2EE0" w:rsidR="00574203" w:rsidRDefault="001C6749" w:rsidP="009C5ED6">
      <w:pPr>
        <w:spacing w:after="0" w:line="259" w:lineRule="auto"/>
        <w:rPr>
          <w:b/>
          <w:lang w:eastAsia="en-AU"/>
        </w:rPr>
      </w:pPr>
      <w:r>
        <w:rPr>
          <w:b/>
          <w:lang w:eastAsia="en-AU"/>
        </w:rPr>
        <w:t xml:space="preserve">It is proposed that </w:t>
      </w:r>
      <w:r w:rsidR="00E37E7C">
        <w:rPr>
          <w:b/>
          <w:lang w:eastAsia="en-AU"/>
        </w:rPr>
        <w:t>DFSV-ICRO</w:t>
      </w:r>
      <w:r>
        <w:rPr>
          <w:b/>
          <w:lang w:eastAsia="en-AU"/>
        </w:rPr>
        <w:t xml:space="preserve"> in collab</w:t>
      </w:r>
      <w:r w:rsidR="005A70D4">
        <w:rPr>
          <w:b/>
          <w:lang w:eastAsia="en-AU"/>
        </w:rPr>
        <w:t xml:space="preserve">oration with </w:t>
      </w:r>
      <w:r w:rsidR="00F22809">
        <w:rPr>
          <w:b/>
          <w:lang w:eastAsia="en-AU"/>
        </w:rPr>
        <w:t xml:space="preserve">TFHC and </w:t>
      </w:r>
      <w:r w:rsidR="005A70D4">
        <w:rPr>
          <w:b/>
          <w:lang w:eastAsia="en-AU"/>
        </w:rPr>
        <w:t>AGD (including AJA and NTCS)</w:t>
      </w:r>
      <w:r>
        <w:rPr>
          <w:b/>
          <w:lang w:eastAsia="en-AU"/>
        </w:rPr>
        <w:t xml:space="preserve"> </w:t>
      </w:r>
      <w:r w:rsidR="000F5969">
        <w:rPr>
          <w:b/>
          <w:lang w:eastAsia="en-AU"/>
        </w:rPr>
        <w:t xml:space="preserve">give consideration to </w:t>
      </w:r>
      <w:r>
        <w:rPr>
          <w:b/>
          <w:lang w:eastAsia="en-AU"/>
        </w:rPr>
        <w:t>develop</w:t>
      </w:r>
      <w:r w:rsidR="000F5969">
        <w:rPr>
          <w:b/>
          <w:lang w:eastAsia="en-AU"/>
        </w:rPr>
        <w:t>ing</w:t>
      </w:r>
      <w:r>
        <w:rPr>
          <w:b/>
          <w:lang w:eastAsia="en-AU"/>
        </w:rPr>
        <w:t xml:space="preserve"> a costed plan to increase</w:t>
      </w:r>
      <w:r w:rsidR="00FA29A8" w:rsidRPr="000E3942">
        <w:rPr>
          <w:b/>
          <w:lang w:eastAsia="en-AU"/>
        </w:rPr>
        <w:t xml:space="preserve"> the availability of high quality DFV perpetr</w:t>
      </w:r>
      <w:r w:rsidR="001B473E">
        <w:rPr>
          <w:b/>
          <w:lang w:eastAsia="en-AU"/>
        </w:rPr>
        <w:t>ator programs in the NT</w:t>
      </w:r>
      <w:r w:rsidR="00866335">
        <w:rPr>
          <w:b/>
          <w:lang w:eastAsia="en-AU"/>
        </w:rPr>
        <w:t xml:space="preserve">.  </w:t>
      </w:r>
      <w:r w:rsidR="00574203">
        <w:rPr>
          <w:b/>
          <w:lang w:eastAsia="en-AU"/>
        </w:rPr>
        <w:t>It is proposed that programs are:</w:t>
      </w:r>
    </w:p>
    <w:p w14:paraId="4D0E1014" w14:textId="568BCD93" w:rsidR="001C1171" w:rsidRDefault="00FA29A8" w:rsidP="000F5969">
      <w:pPr>
        <w:pStyle w:val="ListParagraph"/>
        <w:numPr>
          <w:ilvl w:val="0"/>
          <w:numId w:val="149"/>
        </w:numPr>
        <w:spacing w:after="0" w:line="259" w:lineRule="auto"/>
        <w:ind w:left="567" w:hanging="567"/>
        <w:rPr>
          <w:b/>
          <w:lang w:eastAsia="en-AU"/>
        </w:rPr>
      </w:pPr>
      <w:r w:rsidRPr="001C1171">
        <w:rPr>
          <w:b/>
          <w:lang w:eastAsia="en-AU"/>
        </w:rPr>
        <w:t>aligned with recognised good pr</w:t>
      </w:r>
      <w:r w:rsidR="001C1171">
        <w:rPr>
          <w:b/>
          <w:lang w:eastAsia="en-AU"/>
        </w:rPr>
        <w:t>actice and standards for DFV programs</w:t>
      </w:r>
    </w:p>
    <w:p w14:paraId="1603B2D0" w14:textId="007236D9" w:rsidR="001C1171" w:rsidRDefault="001C1171" w:rsidP="000F5969">
      <w:pPr>
        <w:pStyle w:val="ListParagraph"/>
        <w:numPr>
          <w:ilvl w:val="0"/>
          <w:numId w:val="149"/>
        </w:numPr>
        <w:spacing w:after="0" w:line="259" w:lineRule="auto"/>
        <w:ind w:left="567" w:hanging="567"/>
        <w:rPr>
          <w:b/>
          <w:lang w:eastAsia="en-AU"/>
        </w:rPr>
      </w:pPr>
      <w:r>
        <w:rPr>
          <w:b/>
          <w:lang w:eastAsia="en-AU"/>
        </w:rPr>
        <w:t xml:space="preserve">able to provide a </w:t>
      </w:r>
      <w:r w:rsidR="00FA29A8" w:rsidRPr="001C1171">
        <w:rPr>
          <w:b/>
          <w:lang w:eastAsia="en-AU"/>
        </w:rPr>
        <w:t xml:space="preserve">culturally competent and </w:t>
      </w:r>
      <w:r>
        <w:rPr>
          <w:b/>
          <w:lang w:eastAsia="en-AU"/>
        </w:rPr>
        <w:t xml:space="preserve">cultural </w:t>
      </w:r>
      <w:r w:rsidR="00FA29A8" w:rsidRPr="001C1171">
        <w:rPr>
          <w:b/>
          <w:lang w:eastAsia="en-AU"/>
        </w:rPr>
        <w:t>safe</w:t>
      </w:r>
      <w:r>
        <w:rPr>
          <w:b/>
          <w:lang w:eastAsia="en-AU"/>
        </w:rPr>
        <w:t xml:space="preserve"> program for Aboriginal participants</w:t>
      </w:r>
    </w:p>
    <w:p w14:paraId="65CEDEAB" w14:textId="5AEA53D1" w:rsidR="001C1171" w:rsidRDefault="001C1171" w:rsidP="000F5969">
      <w:pPr>
        <w:pStyle w:val="ListParagraph"/>
        <w:numPr>
          <w:ilvl w:val="0"/>
          <w:numId w:val="149"/>
        </w:numPr>
        <w:spacing w:after="0" w:line="259" w:lineRule="auto"/>
        <w:ind w:left="567" w:hanging="567"/>
        <w:rPr>
          <w:b/>
          <w:lang w:eastAsia="en-AU"/>
        </w:rPr>
      </w:pPr>
      <w:r>
        <w:rPr>
          <w:b/>
          <w:lang w:eastAsia="en-AU"/>
        </w:rPr>
        <w:t>address all forms of abuse, including coercive control</w:t>
      </w:r>
    </w:p>
    <w:p w14:paraId="2252D396" w14:textId="74A373C6" w:rsidR="001C1171" w:rsidRDefault="001C1171" w:rsidP="000F5969">
      <w:pPr>
        <w:pStyle w:val="ListParagraph"/>
        <w:numPr>
          <w:ilvl w:val="0"/>
          <w:numId w:val="149"/>
        </w:numPr>
        <w:spacing w:after="0" w:line="259" w:lineRule="auto"/>
        <w:ind w:left="567" w:hanging="567"/>
        <w:rPr>
          <w:b/>
          <w:lang w:eastAsia="en-AU"/>
        </w:rPr>
      </w:pPr>
      <w:r>
        <w:rPr>
          <w:b/>
          <w:lang w:eastAsia="en-AU"/>
        </w:rPr>
        <w:t>prioritise victim safety</w:t>
      </w:r>
    </w:p>
    <w:p w14:paraId="60AD9869" w14:textId="064BBB08" w:rsidR="00FA29A8" w:rsidRPr="001C1171" w:rsidRDefault="001C1171" w:rsidP="000F5969">
      <w:pPr>
        <w:pStyle w:val="ListParagraph"/>
        <w:numPr>
          <w:ilvl w:val="0"/>
          <w:numId w:val="149"/>
        </w:numPr>
        <w:spacing w:after="0" w:line="259" w:lineRule="auto"/>
        <w:ind w:left="567" w:hanging="567"/>
        <w:rPr>
          <w:b/>
          <w:lang w:eastAsia="en-AU"/>
        </w:rPr>
      </w:pPr>
      <w:r>
        <w:rPr>
          <w:b/>
          <w:lang w:eastAsia="en-AU"/>
        </w:rPr>
        <w:t>o</w:t>
      </w:r>
      <w:r w:rsidR="00FA29A8" w:rsidRPr="001C1171">
        <w:rPr>
          <w:b/>
          <w:lang w:eastAsia="en-AU"/>
        </w:rPr>
        <w:t>perate across three settings</w:t>
      </w:r>
      <w:r>
        <w:rPr>
          <w:b/>
          <w:lang w:eastAsia="en-AU"/>
        </w:rPr>
        <w:t xml:space="preserve"> but with shared principles</w:t>
      </w:r>
      <w:r w:rsidR="00FA29A8" w:rsidRPr="001C1171">
        <w:rPr>
          <w:b/>
          <w:lang w:eastAsia="en-AU"/>
        </w:rPr>
        <w:t>:</w:t>
      </w:r>
    </w:p>
    <w:p w14:paraId="7EBCD2C7" w14:textId="4C4E2AB4" w:rsidR="00FA29A8" w:rsidRPr="000E3942" w:rsidRDefault="00E12C0C" w:rsidP="000F5969">
      <w:pPr>
        <w:pStyle w:val="ListParagraph"/>
        <w:numPr>
          <w:ilvl w:val="0"/>
          <w:numId w:val="161"/>
        </w:numPr>
        <w:spacing w:after="0" w:line="259" w:lineRule="auto"/>
        <w:ind w:left="1134" w:hanging="426"/>
        <w:rPr>
          <w:b/>
          <w:lang w:eastAsia="en-AU"/>
        </w:rPr>
      </w:pPr>
      <w:r w:rsidRPr="000E3942">
        <w:rPr>
          <w:b/>
          <w:lang w:eastAsia="en-AU"/>
        </w:rPr>
        <w:t xml:space="preserve">correctional </w:t>
      </w:r>
      <w:r w:rsidR="00FA29A8" w:rsidRPr="000E3942">
        <w:rPr>
          <w:b/>
          <w:lang w:eastAsia="en-AU"/>
        </w:rPr>
        <w:t>settings</w:t>
      </w:r>
      <w:r>
        <w:rPr>
          <w:b/>
          <w:lang w:eastAsia="en-AU"/>
        </w:rPr>
        <w:t>;</w:t>
      </w:r>
    </w:p>
    <w:p w14:paraId="2CEF05F2" w14:textId="2F417EA5" w:rsidR="00FA29A8" w:rsidRPr="00E12C0C" w:rsidRDefault="00E12C0C" w:rsidP="000F5969">
      <w:pPr>
        <w:pStyle w:val="ListParagraph"/>
        <w:numPr>
          <w:ilvl w:val="0"/>
          <w:numId w:val="161"/>
        </w:numPr>
        <w:spacing w:after="0" w:line="259" w:lineRule="auto"/>
        <w:ind w:left="1134" w:hanging="426"/>
        <w:rPr>
          <w:b/>
          <w:lang w:eastAsia="en-AU"/>
        </w:rPr>
      </w:pPr>
      <w:r w:rsidRPr="00E12C0C">
        <w:rPr>
          <w:b/>
          <w:lang w:eastAsia="en-AU"/>
        </w:rPr>
        <w:t xml:space="preserve">residential </w:t>
      </w:r>
      <w:r w:rsidR="00FA29A8" w:rsidRPr="00E12C0C">
        <w:rPr>
          <w:b/>
          <w:lang w:eastAsia="en-AU"/>
        </w:rPr>
        <w:t>facilities / Alternatives to Custody settings (For example the DFV Alternatives to Custody being developed as part of the AJU in Alice Springs)</w:t>
      </w:r>
      <w:r w:rsidRPr="00E12C0C">
        <w:rPr>
          <w:b/>
          <w:lang w:eastAsia="en-AU"/>
        </w:rPr>
        <w:t>;</w:t>
      </w:r>
      <w:r w:rsidR="00FA29A8" w:rsidRPr="00E12C0C">
        <w:rPr>
          <w:b/>
          <w:lang w:eastAsia="en-AU"/>
        </w:rPr>
        <w:t xml:space="preserve"> </w:t>
      </w:r>
    </w:p>
    <w:p w14:paraId="1A323DB9" w14:textId="067F788D" w:rsidR="00184A41" w:rsidRDefault="00E12C0C" w:rsidP="000F5969">
      <w:pPr>
        <w:pStyle w:val="ListParagraph"/>
        <w:numPr>
          <w:ilvl w:val="0"/>
          <w:numId w:val="161"/>
        </w:numPr>
        <w:spacing w:line="259" w:lineRule="auto"/>
        <w:ind w:left="1134" w:hanging="426"/>
        <w:rPr>
          <w:b/>
          <w:lang w:eastAsia="en-AU"/>
        </w:rPr>
      </w:pPr>
      <w:r w:rsidRPr="000E3942">
        <w:rPr>
          <w:b/>
          <w:lang w:eastAsia="en-AU"/>
        </w:rPr>
        <w:t xml:space="preserve">community </w:t>
      </w:r>
      <w:r w:rsidR="00FA29A8" w:rsidRPr="000E3942">
        <w:rPr>
          <w:b/>
          <w:lang w:eastAsia="en-AU"/>
        </w:rPr>
        <w:t>based settings</w:t>
      </w:r>
      <w:r>
        <w:rPr>
          <w:b/>
          <w:lang w:eastAsia="en-AU"/>
        </w:rPr>
        <w:t>.</w:t>
      </w:r>
      <w:r w:rsidR="00FA29A8" w:rsidRPr="000E3942">
        <w:rPr>
          <w:b/>
          <w:lang w:eastAsia="en-AU"/>
        </w:rPr>
        <w:t xml:space="preserve"> </w:t>
      </w:r>
    </w:p>
    <w:p w14:paraId="0A65E28B" w14:textId="477F44A0" w:rsidR="00184A41" w:rsidRDefault="005A78DC" w:rsidP="009C5ED6">
      <w:pPr>
        <w:pStyle w:val="Heading4"/>
        <w:keepNext/>
        <w:numPr>
          <w:ilvl w:val="0"/>
          <w:numId w:val="0"/>
        </w:numPr>
        <w:spacing w:after="0" w:line="259" w:lineRule="auto"/>
        <w:rPr>
          <w:lang w:eastAsia="en-AU"/>
        </w:rPr>
      </w:pPr>
      <w:r>
        <w:rPr>
          <w:lang w:eastAsia="en-AU"/>
        </w:rPr>
        <w:t xml:space="preserve">PROPOSAL SR 22 </w:t>
      </w:r>
    </w:p>
    <w:p w14:paraId="1317F3F3" w14:textId="16069E12" w:rsidR="005A78DC" w:rsidRPr="00FA11E0" w:rsidRDefault="00C225A1" w:rsidP="009C5ED6">
      <w:pPr>
        <w:spacing w:after="0" w:line="259" w:lineRule="auto"/>
        <w:rPr>
          <w:b/>
          <w:i/>
          <w:lang w:eastAsia="en-AU"/>
        </w:rPr>
      </w:pPr>
      <w:r>
        <w:rPr>
          <w:b/>
          <w:lang w:eastAsia="en-AU"/>
        </w:rPr>
        <w:t xml:space="preserve">It is proposed that </w:t>
      </w:r>
      <w:r w:rsidR="00E37E7C">
        <w:rPr>
          <w:b/>
          <w:lang w:eastAsia="en-AU"/>
        </w:rPr>
        <w:t>DFSV-ICRO</w:t>
      </w:r>
      <w:r w:rsidR="004D007A">
        <w:rPr>
          <w:b/>
          <w:lang w:eastAsia="en-AU"/>
        </w:rPr>
        <w:t xml:space="preserve"> </w:t>
      </w:r>
      <w:r w:rsidR="00101C0D">
        <w:rPr>
          <w:b/>
          <w:lang w:eastAsia="en-AU"/>
        </w:rPr>
        <w:t xml:space="preserve">give consideration to </w:t>
      </w:r>
      <w:r w:rsidR="004D007A">
        <w:rPr>
          <w:b/>
          <w:lang w:eastAsia="en-AU"/>
        </w:rPr>
        <w:t>establish</w:t>
      </w:r>
      <w:r w:rsidR="00101C0D">
        <w:rPr>
          <w:b/>
          <w:lang w:eastAsia="en-AU"/>
        </w:rPr>
        <w:t>ing</w:t>
      </w:r>
      <w:r w:rsidR="004D007A">
        <w:rPr>
          <w:b/>
          <w:lang w:eastAsia="en-AU"/>
        </w:rPr>
        <w:t xml:space="preserve"> </w:t>
      </w:r>
      <w:r w:rsidR="00FA29A8" w:rsidRPr="00184A41">
        <w:rPr>
          <w:b/>
          <w:lang w:eastAsia="en-AU"/>
        </w:rPr>
        <w:t>a multi-agency oversight committee or body comprised of key agencies (TFHC, AGD, AJU, NTCS) and DFV experts whose purpose is to ensure a suite of accountable high quality DFV perpetrator programs are provided in the NT that prioritise victim safety and offender accountability</w:t>
      </w:r>
      <w:r w:rsidR="00D6291C">
        <w:rPr>
          <w:b/>
          <w:lang w:eastAsia="en-AU"/>
        </w:rPr>
        <w:t>.  The committee or body</w:t>
      </w:r>
      <w:r w:rsidR="00FA29A8" w:rsidRPr="00184A41">
        <w:rPr>
          <w:b/>
          <w:lang w:eastAsia="en-AU"/>
        </w:rPr>
        <w:t xml:space="preserve"> may include </w:t>
      </w:r>
      <w:r w:rsidR="00D6291C">
        <w:rPr>
          <w:b/>
          <w:lang w:eastAsia="en-AU"/>
        </w:rPr>
        <w:t xml:space="preserve">a </w:t>
      </w:r>
      <w:r w:rsidR="00FA29A8" w:rsidRPr="00184A41">
        <w:rPr>
          <w:b/>
          <w:lang w:eastAsia="en-AU"/>
        </w:rPr>
        <w:t>review of existing programs, development of best practice standards, and recommendations as to which programs should be declared or approved for the purposes to the</w:t>
      </w:r>
      <w:r w:rsidR="009C5ED6">
        <w:rPr>
          <w:b/>
          <w:lang w:eastAsia="en-AU"/>
        </w:rPr>
        <w:t xml:space="preserve"> DFV Act </w:t>
      </w:r>
      <w:r w:rsidR="00FA29A8" w:rsidRPr="00184A41">
        <w:rPr>
          <w:b/>
          <w:lang w:eastAsia="en-AU"/>
        </w:rPr>
        <w:t xml:space="preserve">and the </w:t>
      </w:r>
      <w:r w:rsidR="00FA29A8" w:rsidRPr="00184A41">
        <w:rPr>
          <w:b/>
          <w:i/>
          <w:lang w:eastAsia="en-AU"/>
        </w:rPr>
        <w:t>Sentencing Act 1995.</w:t>
      </w:r>
    </w:p>
    <w:p w14:paraId="2A59AF10" w14:textId="77777777" w:rsidR="009C5ED6" w:rsidRDefault="009C5ED6">
      <w:pPr>
        <w:rPr>
          <w:rFonts w:asciiTheme="majorHAnsi" w:eastAsiaTheme="majorEastAsia" w:hAnsiTheme="majorHAnsi" w:cstheme="majorBidi"/>
          <w:bCs/>
          <w:iCs/>
          <w:color w:val="454347"/>
          <w:sz w:val="32"/>
          <w:szCs w:val="32"/>
          <w:lang w:eastAsia="en-AU"/>
        </w:rPr>
      </w:pPr>
      <w:r>
        <w:rPr>
          <w:lang w:eastAsia="en-AU"/>
        </w:rPr>
        <w:br w:type="page"/>
      </w:r>
    </w:p>
    <w:p w14:paraId="4F860022" w14:textId="07E6550E" w:rsidR="003061F7" w:rsidRDefault="003061F7" w:rsidP="009C5ED6">
      <w:pPr>
        <w:pStyle w:val="Heading2"/>
        <w:ind w:left="1134"/>
        <w:rPr>
          <w:lang w:eastAsia="en-AU"/>
        </w:rPr>
      </w:pPr>
      <w:bookmarkStart w:id="123" w:name="_Toc112051906"/>
      <w:r>
        <w:rPr>
          <w:lang w:eastAsia="en-AU"/>
        </w:rPr>
        <w:lastRenderedPageBreak/>
        <w:t>Identifying DFV and managing risk of DFV</w:t>
      </w:r>
      <w:bookmarkEnd w:id="123"/>
    </w:p>
    <w:p w14:paraId="62BFE8D3" w14:textId="64472983" w:rsidR="003061F7" w:rsidRDefault="003061F7" w:rsidP="003061F7">
      <w:pPr>
        <w:tabs>
          <w:tab w:val="left" w:pos="750"/>
        </w:tabs>
        <w:rPr>
          <w:lang w:eastAsia="en-AU"/>
        </w:rPr>
      </w:pPr>
      <w:r>
        <w:rPr>
          <w:lang w:eastAsia="en-AU"/>
        </w:rPr>
        <w:t xml:space="preserve">TFHC has developed a DFV Risk Assessment and Management Framework </w:t>
      </w:r>
      <w:r w:rsidR="00173444">
        <w:rPr>
          <w:lang w:eastAsia="en-AU"/>
        </w:rPr>
        <w:t>(RAMF) for the NT.</w:t>
      </w:r>
      <w:r>
        <w:rPr>
          <w:rStyle w:val="FootnoteReference"/>
          <w:lang w:eastAsia="en-AU"/>
        </w:rPr>
        <w:footnoteReference w:id="232"/>
      </w:r>
      <w:r>
        <w:rPr>
          <w:lang w:eastAsia="en-AU"/>
        </w:rPr>
        <w:t xml:space="preserve"> </w:t>
      </w:r>
    </w:p>
    <w:p w14:paraId="7753C3A3" w14:textId="77777777" w:rsidR="003061F7" w:rsidRDefault="003061F7" w:rsidP="009C5ED6">
      <w:pPr>
        <w:tabs>
          <w:tab w:val="left" w:pos="750"/>
        </w:tabs>
        <w:spacing w:after="120"/>
        <w:rPr>
          <w:lang w:eastAsia="en-AU"/>
        </w:rPr>
      </w:pPr>
      <w:r>
        <w:rPr>
          <w:lang w:eastAsia="en-AU"/>
        </w:rPr>
        <w:t>The fundamental purpose of the RAMF is to provide a consistent, evidence-based way to identify, assess, respond to, and manage the risk of DFV in order to:</w:t>
      </w:r>
    </w:p>
    <w:p w14:paraId="63852E03" w14:textId="77777777" w:rsidR="003061F7" w:rsidRDefault="003061F7" w:rsidP="00706CA6">
      <w:pPr>
        <w:pStyle w:val="ListParagraph"/>
        <w:numPr>
          <w:ilvl w:val="0"/>
          <w:numId w:val="117"/>
        </w:numPr>
        <w:ind w:left="567" w:hanging="567"/>
        <w:rPr>
          <w:lang w:eastAsia="en-AU"/>
        </w:rPr>
      </w:pPr>
      <w:r>
        <w:rPr>
          <w:lang w:eastAsia="en-AU"/>
        </w:rPr>
        <w:t>increase the safety and well-being of children, young people and adults who are victim-survivors of DFV, and</w:t>
      </w:r>
    </w:p>
    <w:p w14:paraId="07431537" w14:textId="77777777" w:rsidR="003061F7" w:rsidRDefault="003061F7" w:rsidP="00706CA6">
      <w:pPr>
        <w:pStyle w:val="ListParagraph"/>
        <w:numPr>
          <w:ilvl w:val="0"/>
          <w:numId w:val="117"/>
        </w:numPr>
        <w:spacing w:after="200"/>
        <w:ind w:left="567" w:hanging="567"/>
        <w:rPr>
          <w:lang w:eastAsia="en-AU"/>
        </w:rPr>
      </w:pPr>
      <w:r>
        <w:rPr>
          <w:lang w:eastAsia="en-AU"/>
        </w:rPr>
        <w:t>increase the accountability of people who commit DFV.</w:t>
      </w:r>
    </w:p>
    <w:p w14:paraId="33919694" w14:textId="77777777" w:rsidR="003061F7" w:rsidRDefault="003061F7" w:rsidP="003061F7">
      <w:pPr>
        <w:tabs>
          <w:tab w:val="left" w:pos="750"/>
        </w:tabs>
        <w:rPr>
          <w:lang w:eastAsia="en-AU"/>
        </w:rPr>
      </w:pPr>
      <w:r>
        <w:rPr>
          <w:lang w:eastAsia="en-AU"/>
        </w:rPr>
        <w:t>The RAMF provides a consistent framework across justice, health, education and human service sectors.</w:t>
      </w:r>
    </w:p>
    <w:p w14:paraId="734A7D0F" w14:textId="77777777" w:rsidR="003061F7" w:rsidRDefault="003061F7" w:rsidP="009C5ED6">
      <w:pPr>
        <w:tabs>
          <w:tab w:val="left" w:pos="750"/>
        </w:tabs>
        <w:spacing w:after="120"/>
        <w:rPr>
          <w:lang w:eastAsia="en-AU"/>
        </w:rPr>
      </w:pPr>
      <w:r>
        <w:rPr>
          <w:lang w:eastAsia="en-AU"/>
        </w:rPr>
        <w:t>It is intended to guide:</w:t>
      </w:r>
    </w:p>
    <w:p w14:paraId="0BACABBA" w14:textId="77777777" w:rsidR="003061F7" w:rsidRDefault="003061F7" w:rsidP="00706CA6">
      <w:pPr>
        <w:pStyle w:val="ListParagraph"/>
        <w:numPr>
          <w:ilvl w:val="0"/>
          <w:numId w:val="118"/>
        </w:numPr>
        <w:tabs>
          <w:tab w:val="left" w:pos="567"/>
        </w:tabs>
        <w:ind w:left="567" w:hanging="425"/>
        <w:rPr>
          <w:lang w:eastAsia="en-AU"/>
        </w:rPr>
      </w:pPr>
      <w:r w:rsidRPr="00D11727">
        <w:rPr>
          <w:b/>
          <w:lang w:eastAsia="en-AU"/>
        </w:rPr>
        <w:t>Specialist DFV services</w:t>
      </w:r>
      <w:r>
        <w:rPr>
          <w:lang w:eastAsia="en-AU"/>
        </w:rPr>
        <w:t xml:space="preserve"> (eg DFV women’s refuges, DFV counselling services, DFV perpetrator programs)</w:t>
      </w:r>
    </w:p>
    <w:p w14:paraId="7A44BB09" w14:textId="77777777" w:rsidR="003061F7" w:rsidRDefault="003061F7" w:rsidP="00706CA6">
      <w:pPr>
        <w:pStyle w:val="ListParagraph"/>
        <w:numPr>
          <w:ilvl w:val="0"/>
          <w:numId w:val="118"/>
        </w:numPr>
        <w:tabs>
          <w:tab w:val="left" w:pos="567"/>
        </w:tabs>
        <w:ind w:left="567" w:hanging="425"/>
        <w:rPr>
          <w:lang w:eastAsia="en-AU"/>
        </w:rPr>
      </w:pPr>
      <w:r w:rsidRPr="00D11727">
        <w:rPr>
          <w:b/>
          <w:lang w:eastAsia="en-AU"/>
        </w:rPr>
        <w:t>Universal and generalist services</w:t>
      </w:r>
      <w:r>
        <w:rPr>
          <w:lang w:eastAsia="en-AU"/>
        </w:rPr>
        <w:t xml:space="preserve"> (eg hospitals, schools, health services mental health services, alcohol and drug services)</w:t>
      </w:r>
    </w:p>
    <w:p w14:paraId="39C83883" w14:textId="77777777" w:rsidR="003061F7" w:rsidRDefault="003061F7" w:rsidP="00706CA6">
      <w:pPr>
        <w:pStyle w:val="ListParagraph"/>
        <w:numPr>
          <w:ilvl w:val="0"/>
          <w:numId w:val="118"/>
        </w:numPr>
        <w:tabs>
          <w:tab w:val="left" w:pos="567"/>
        </w:tabs>
        <w:spacing w:after="200"/>
        <w:ind w:left="567" w:hanging="425"/>
        <w:rPr>
          <w:lang w:eastAsia="en-AU"/>
        </w:rPr>
      </w:pPr>
      <w:r w:rsidRPr="00D11727">
        <w:rPr>
          <w:b/>
          <w:lang w:eastAsia="en-AU"/>
        </w:rPr>
        <w:t>Statutory services</w:t>
      </w:r>
      <w:r>
        <w:rPr>
          <w:lang w:eastAsia="en-AU"/>
        </w:rPr>
        <w:t xml:space="preserve"> (eg police, correctional services, child protection).</w:t>
      </w:r>
    </w:p>
    <w:p w14:paraId="512CD753" w14:textId="77777777" w:rsidR="003061F7" w:rsidRDefault="003061F7" w:rsidP="003061F7">
      <w:pPr>
        <w:tabs>
          <w:tab w:val="left" w:pos="750"/>
        </w:tabs>
        <w:rPr>
          <w:lang w:eastAsia="en-AU"/>
        </w:rPr>
      </w:pPr>
      <w:r>
        <w:rPr>
          <w:lang w:eastAsia="en-AU"/>
        </w:rPr>
        <w:t>Although each agency has a unique role in responding to DFV, the RAMF provides consistent language and understanding of DFV and outlines shared expectations about how DFV should be managed.</w:t>
      </w:r>
    </w:p>
    <w:p w14:paraId="404D6DE8" w14:textId="77777777" w:rsidR="003061F7" w:rsidRDefault="003061F7" w:rsidP="003061F7">
      <w:pPr>
        <w:tabs>
          <w:tab w:val="left" w:pos="750"/>
        </w:tabs>
        <w:rPr>
          <w:lang w:eastAsia="en-AU"/>
        </w:rPr>
      </w:pPr>
      <w:r>
        <w:rPr>
          <w:lang w:eastAsia="en-AU"/>
        </w:rPr>
        <w:t>This enables victim-survivors and defendants to receive more consistent messages about DFV and, importantly, more consistent and complementary responses from different types of services.  This alignment of responses helps create environment in which people who commit DFV are held more accountable and are less able to ‘get away with it.’</w:t>
      </w:r>
    </w:p>
    <w:p w14:paraId="757E468D" w14:textId="55D96432" w:rsidR="003061F7" w:rsidRDefault="003061F7" w:rsidP="003061F7">
      <w:pPr>
        <w:tabs>
          <w:tab w:val="left" w:pos="750"/>
        </w:tabs>
        <w:rPr>
          <w:lang w:eastAsia="en-AU"/>
        </w:rPr>
      </w:pPr>
      <w:r>
        <w:rPr>
          <w:lang w:eastAsia="en-AU"/>
        </w:rPr>
        <w:t xml:space="preserve">The RAMF is such an important part of the response to DFV because it creates a shared way of understanding and responding to DFV.  This includes, for example, recognising that coercive control is a fundamental part of DFV that can cause significant cumulative harm and </w:t>
      </w:r>
      <w:r w:rsidR="00173444">
        <w:rPr>
          <w:lang w:eastAsia="en-AU"/>
        </w:rPr>
        <w:t xml:space="preserve">contributes to the entrapment of </w:t>
      </w:r>
      <w:r>
        <w:rPr>
          <w:lang w:eastAsia="en-AU"/>
        </w:rPr>
        <w:t xml:space="preserve">victim-survivors </w:t>
      </w:r>
      <w:r w:rsidR="00173444">
        <w:rPr>
          <w:lang w:eastAsia="en-AU"/>
        </w:rPr>
        <w:t xml:space="preserve">in abusive </w:t>
      </w:r>
      <w:r>
        <w:rPr>
          <w:lang w:eastAsia="en-AU"/>
        </w:rPr>
        <w:t>relationships.</w:t>
      </w:r>
    </w:p>
    <w:p w14:paraId="62DDDCB9" w14:textId="77777777" w:rsidR="00173444" w:rsidRDefault="003061F7" w:rsidP="003061F7">
      <w:pPr>
        <w:tabs>
          <w:tab w:val="left" w:pos="750"/>
        </w:tabs>
        <w:rPr>
          <w:lang w:eastAsia="en-AU"/>
        </w:rPr>
      </w:pPr>
      <w:r>
        <w:rPr>
          <w:lang w:eastAsia="en-AU"/>
        </w:rPr>
        <w:t xml:space="preserve">The other reason the RAMF is important, it is that it is evidence-based. It contains a list of high risk factors for serious harm and death in DFV situations that has been informed by research and Coroner’s findings.  </w:t>
      </w:r>
    </w:p>
    <w:p w14:paraId="762DE910" w14:textId="00496F36" w:rsidR="00DF3B66" w:rsidRDefault="003061F7" w:rsidP="003061F7">
      <w:pPr>
        <w:tabs>
          <w:tab w:val="left" w:pos="750"/>
        </w:tabs>
        <w:rPr>
          <w:lang w:eastAsia="en-AU"/>
        </w:rPr>
      </w:pPr>
      <w:r>
        <w:rPr>
          <w:lang w:eastAsia="en-AU"/>
        </w:rPr>
        <w:t>Coercive control is</w:t>
      </w:r>
      <w:r w:rsidR="00DF3B66">
        <w:rPr>
          <w:lang w:eastAsia="en-AU"/>
        </w:rPr>
        <w:t xml:space="preserve"> one of these high risk factors.  Other high risk factors are set out </w:t>
      </w:r>
      <w:r w:rsidR="00DF3B66" w:rsidRPr="009C5ED6">
        <w:rPr>
          <w:lang w:eastAsia="en-AU"/>
        </w:rPr>
        <w:t xml:space="preserve">in </w:t>
      </w:r>
      <w:r w:rsidR="009C5ED6" w:rsidRPr="009C5ED6">
        <w:rPr>
          <w:lang w:eastAsia="en-AU"/>
        </w:rPr>
        <w:t xml:space="preserve">Part </w:t>
      </w:r>
      <w:r w:rsidR="0062295A" w:rsidRPr="009C5ED6">
        <w:rPr>
          <w:lang w:eastAsia="en-AU"/>
        </w:rPr>
        <w:t>3.5</w:t>
      </w:r>
      <w:r w:rsidR="00DF3B66" w:rsidRPr="009C5ED6">
        <w:rPr>
          <w:lang w:eastAsia="en-AU"/>
        </w:rPr>
        <w:t>.</w:t>
      </w:r>
    </w:p>
    <w:p w14:paraId="3C69ECB1" w14:textId="6FF22CB3" w:rsidR="003061F7" w:rsidRDefault="00173444" w:rsidP="003061F7">
      <w:pPr>
        <w:tabs>
          <w:tab w:val="left" w:pos="750"/>
        </w:tabs>
        <w:rPr>
          <w:lang w:eastAsia="en-AU"/>
        </w:rPr>
      </w:pPr>
      <w:r>
        <w:rPr>
          <w:lang w:eastAsia="en-AU"/>
        </w:rPr>
        <w:t xml:space="preserve">Consideration of these factors </w:t>
      </w:r>
      <w:r w:rsidR="003061F7">
        <w:rPr>
          <w:lang w:eastAsia="en-AU"/>
        </w:rPr>
        <w:t xml:space="preserve">is essential to preventing domestic homicide and </w:t>
      </w:r>
      <w:r>
        <w:rPr>
          <w:lang w:eastAsia="en-AU"/>
        </w:rPr>
        <w:t xml:space="preserve">other forms of </w:t>
      </w:r>
      <w:r w:rsidR="003061F7">
        <w:rPr>
          <w:lang w:eastAsia="en-AU"/>
        </w:rPr>
        <w:t xml:space="preserve">serious harm to victim-survivors. </w:t>
      </w:r>
    </w:p>
    <w:p w14:paraId="46AA10FA" w14:textId="3BD6AB79" w:rsidR="003061F7" w:rsidRDefault="003061F7" w:rsidP="003061F7">
      <w:pPr>
        <w:tabs>
          <w:tab w:val="left" w:pos="750"/>
        </w:tabs>
        <w:rPr>
          <w:lang w:eastAsia="en-AU"/>
        </w:rPr>
      </w:pPr>
      <w:r>
        <w:rPr>
          <w:lang w:eastAsia="en-AU"/>
        </w:rPr>
        <w:t>The RAMF has been approved by the CEO of TFHC under section 124Q of the DFV</w:t>
      </w:r>
      <w:r w:rsidR="009C5ED6">
        <w:rPr>
          <w:lang w:eastAsia="en-AU"/>
        </w:rPr>
        <w:t> </w:t>
      </w:r>
      <w:r>
        <w:rPr>
          <w:lang w:eastAsia="en-AU"/>
        </w:rPr>
        <w:t>A</w:t>
      </w:r>
      <w:r w:rsidR="009C5ED6">
        <w:rPr>
          <w:lang w:eastAsia="en-AU"/>
        </w:rPr>
        <w:t>ct</w:t>
      </w:r>
      <w:r>
        <w:rPr>
          <w:lang w:eastAsia="en-AU"/>
        </w:rPr>
        <w:t>.  Under section 124R of the DFV</w:t>
      </w:r>
      <w:r w:rsidR="009C5ED6">
        <w:rPr>
          <w:lang w:eastAsia="en-AU"/>
        </w:rPr>
        <w:t> </w:t>
      </w:r>
      <w:r>
        <w:rPr>
          <w:lang w:eastAsia="en-AU"/>
        </w:rPr>
        <w:t>A</w:t>
      </w:r>
      <w:r w:rsidR="009C5ED6">
        <w:rPr>
          <w:lang w:eastAsia="en-AU"/>
        </w:rPr>
        <w:t>ct</w:t>
      </w:r>
      <w:r>
        <w:rPr>
          <w:lang w:eastAsia="en-AU"/>
        </w:rPr>
        <w:t xml:space="preserve"> all information sharing entities under Chapter 5A must ensure that their policies, procedures, practice guidance and tools relevant to the sharing of information align with the RAMF.</w:t>
      </w:r>
      <w:r w:rsidR="009C5ED6">
        <w:rPr>
          <w:lang w:eastAsia="en-AU"/>
        </w:rPr>
        <w:t xml:space="preserve"> </w:t>
      </w:r>
      <w:r w:rsidR="004830EB">
        <w:rPr>
          <w:lang w:eastAsia="en-AU"/>
        </w:rPr>
        <w:t xml:space="preserve"> Government agencies are information sharing entities (see section 124B definition of </w:t>
      </w:r>
      <w:r w:rsidR="004830EB">
        <w:rPr>
          <w:lang w:eastAsia="en-AU"/>
        </w:rPr>
        <w:lastRenderedPageBreak/>
        <w:t>information sharing entity) along with any other person or entity that provides a domestic violence related services, and is prescribed by regulation.</w:t>
      </w:r>
    </w:p>
    <w:p w14:paraId="055A1606" w14:textId="4136E562" w:rsidR="003061F7" w:rsidRDefault="003061F7" w:rsidP="003061F7">
      <w:pPr>
        <w:tabs>
          <w:tab w:val="left" w:pos="750"/>
        </w:tabs>
        <w:rPr>
          <w:lang w:eastAsia="en-AU"/>
        </w:rPr>
      </w:pPr>
      <w:r>
        <w:rPr>
          <w:lang w:eastAsia="en-AU"/>
        </w:rPr>
        <w:t xml:space="preserve">However, regardless of whether an organisation is </w:t>
      </w:r>
      <w:r w:rsidR="00173444">
        <w:rPr>
          <w:lang w:eastAsia="en-AU"/>
        </w:rPr>
        <w:t xml:space="preserve">an </w:t>
      </w:r>
      <w:r>
        <w:rPr>
          <w:lang w:eastAsia="en-AU"/>
        </w:rPr>
        <w:t>information sharing entity under Chapter 5A, the RAMF provide critical guidance about what is best practice in responding to DFV.</w:t>
      </w:r>
    </w:p>
    <w:p w14:paraId="6C0B976E" w14:textId="3FF54AC9" w:rsidR="003061F7" w:rsidRPr="002B3B3A" w:rsidRDefault="003061F7" w:rsidP="003061F7">
      <w:pPr>
        <w:tabs>
          <w:tab w:val="left" w:pos="750"/>
        </w:tabs>
        <w:rPr>
          <w:lang w:eastAsia="en-AU"/>
        </w:rPr>
      </w:pPr>
      <w:r>
        <w:rPr>
          <w:lang w:eastAsia="en-AU"/>
        </w:rPr>
        <w:t>TFHC have been providing training on the RAMF</w:t>
      </w:r>
      <w:r w:rsidR="004830EB">
        <w:rPr>
          <w:lang w:eastAsia="en-AU"/>
        </w:rPr>
        <w:t>, which includes a component on coercive control,</w:t>
      </w:r>
      <w:r>
        <w:rPr>
          <w:lang w:eastAsia="en-AU"/>
        </w:rPr>
        <w:t xml:space="preserve"> but there are still many more professionals in the NT who require </w:t>
      </w:r>
      <w:r w:rsidR="00173444">
        <w:rPr>
          <w:lang w:eastAsia="en-AU"/>
        </w:rPr>
        <w:t xml:space="preserve">RAMF </w:t>
      </w:r>
      <w:r>
        <w:rPr>
          <w:lang w:eastAsia="en-AU"/>
        </w:rPr>
        <w:t>training to improve responses to DFV.  In addition, some agencies have not fully integrated the RAMF into th</w:t>
      </w:r>
      <w:r w:rsidR="00173444">
        <w:rPr>
          <w:lang w:eastAsia="en-AU"/>
        </w:rPr>
        <w:t>eir own policies and procedures which is critical for effective implementation.</w:t>
      </w:r>
      <w:r>
        <w:rPr>
          <w:lang w:eastAsia="en-AU"/>
        </w:rPr>
        <w:t xml:space="preserve">  </w:t>
      </w:r>
    </w:p>
    <w:p w14:paraId="13BD3A18" w14:textId="3BD0379F" w:rsidR="003061F7" w:rsidRDefault="002104A5" w:rsidP="009C5ED6">
      <w:pPr>
        <w:pStyle w:val="Heading4"/>
        <w:numPr>
          <w:ilvl w:val="0"/>
          <w:numId w:val="0"/>
        </w:numPr>
        <w:spacing w:after="0" w:line="259" w:lineRule="auto"/>
      </w:pPr>
      <w:r>
        <w:t>PROPOSAL SR 23</w:t>
      </w:r>
    </w:p>
    <w:p w14:paraId="11BF1114" w14:textId="663D99AF" w:rsidR="00EA3EBC" w:rsidRDefault="00EA3EBC" w:rsidP="009C5ED6">
      <w:pPr>
        <w:spacing w:after="0" w:line="259" w:lineRule="auto"/>
        <w:rPr>
          <w:b/>
          <w:lang w:eastAsia="en-AU"/>
        </w:rPr>
      </w:pPr>
      <w:r>
        <w:rPr>
          <w:b/>
          <w:lang w:eastAsia="en-AU"/>
        </w:rPr>
        <w:t>It is proposed that</w:t>
      </w:r>
      <w:r w:rsidR="004D007A">
        <w:rPr>
          <w:b/>
          <w:lang w:eastAsia="en-AU"/>
        </w:rPr>
        <w:t xml:space="preserve"> the </w:t>
      </w:r>
      <w:r w:rsidR="00E37E7C">
        <w:rPr>
          <w:b/>
          <w:lang w:eastAsia="en-AU"/>
        </w:rPr>
        <w:t>DFSV-ICRO</w:t>
      </w:r>
      <w:r w:rsidR="004D007A">
        <w:rPr>
          <w:b/>
          <w:lang w:eastAsia="en-AU"/>
        </w:rPr>
        <w:t xml:space="preserve"> reform agenda</w:t>
      </w:r>
      <w:r w:rsidR="00F22809">
        <w:rPr>
          <w:b/>
          <w:lang w:eastAsia="en-AU"/>
        </w:rPr>
        <w:t xml:space="preserve"> include consideration of</w:t>
      </w:r>
      <w:r>
        <w:rPr>
          <w:b/>
          <w:lang w:eastAsia="en-AU"/>
        </w:rPr>
        <w:t xml:space="preserve"> funding for</w:t>
      </w:r>
      <w:r w:rsidR="004D007A">
        <w:rPr>
          <w:b/>
          <w:lang w:eastAsia="en-AU"/>
        </w:rPr>
        <w:t xml:space="preserve"> </w:t>
      </w:r>
      <w:r w:rsidR="003061F7" w:rsidRPr="00A61E2C">
        <w:rPr>
          <w:b/>
          <w:lang w:eastAsia="en-AU"/>
        </w:rPr>
        <w:t xml:space="preserve">TFHC </w:t>
      </w:r>
      <w:r>
        <w:rPr>
          <w:b/>
          <w:lang w:eastAsia="en-AU"/>
        </w:rPr>
        <w:t xml:space="preserve">to </w:t>
      </w:r>
      <w:r w:rsidR="003061F7" w:rsidRPr="00A61E2C">
        <w:rPr>
          <w:b/>
          <w:lang w:eastAsia="en-AU"/>
        </w:rPr>
        <w:t xml:space="preserve">significantly expand the implementation process </w:t>
      </w:r>
      <w:r w:rsidR="003061F7">
        <w:rPr>
          <w:b/>
          <w:lang w:eastAsia="en-AU"/>
        </w:rPr>
        <w:t xml:space="preserve">and training </w:t>
      </w:r>
      <w:r w:rsidR="003061F7" w:rsidRPr="00A61E2C">
        <w:rPr>
          <w:b/>
          <w:lang w:eastAsia="en-AU"/>
        </w:rPr>
        <w:t xml:space="preserve">for the NT’s DFV Risk Assessment and Management Framework (RAMF) to ensure that the </w:t>
      </w:r>
      <w:r w:rsidR="004830EB">
        <w:rPr>
          <w:b/>
          <w:lang w:eastAsia="en-AU"/>
        </w:rPr>
        <w:t>approach to DFV risk assessment and management is consistent across the system, and that coercive control is recognised as a predominant feature of DFV</w:t>
      </w:r>
      <w:r w:rsidR="00F22809">
        <w:rPr>
          <w:b/>
          <w:lang w:eastAsia="en-AU"/>
        </w:rPr>
        <w:t>.</w:t>
      </w:r>
    </w:p>
    <w:p w14:paraId="1ABEC8B0" w14:textId="48F4D243" w:rsidR="00A61E2C" w:rsidRDefault="00A61E2C" w:rsidP="009C5ED6">
      <w:pPr>
        <w:pStyle w:val="Heading2"/>
        <w:ind w:left="1134"/>
        <w:rPr>
          <w:lang w:eastAsia="en-AU"/>
        </w:rPr>
      </w:pPr>
      <w:bookmarkStart w:id="124" w:name="_Toc112051907"/>
      <w:r>
        <w:rPr>
          <w:lang w:eastAsia="en-AU"/>
        </w:rPr>
        <w:t>Family Safety Framework (FSF)</w:t>
      </w:r>
      <w:bookmarkEnd w:id="124"/>
    </w:p>
    <w:p w14:paraId="14FAC8C2" w14:textId="52746C0F" w:rsidR="00D55AAF" w:rsidRDefault="00D55AAF" w:rsidP="009C5ED6">
      <w:r w:rsidRPr="00D55AAF">
        <w:t xml:space="preserve">The Family Safety Framework (FSF) </w:t>
      </w:r>
      <w:r w:rsidR="003061F7">
        <w:t>is the Northern Territory’s action-</w:t>
      </w:r>
      <w:r w:rsidRPr="00D55AAF">
        <w:t>based, integrated, multi</w:t>
      </w:r>
      <w:r w:rsidR="009C5ED6">
        <w:noBreakHyphen/>
      </w:r>
      <w:r w:rsidR="00D85C99">
        <w:t>service response for people</w:t>
      </w:r>
      <w:r w:rsidRPr="00D55AAF">
        <w:t xml:space="preserve"> experiencing</w:t>
      </w:r>
      <w:r w:rsidR="00241E63">
        <w:t>,</w:t>
      </w:r>
      <w:r w:rsidRPr="00D55AAF">
        <w:t xml:space="preserve"> or at risk of experiencing</w:t>
      </w:r>
      <w:r w:rsidR="00241E63">
        <w:t>,</w:t>
      </w:r>
      <w:r w:rsidRPr="00D55AAF">
        <w:t xml:space="preserve"> serious harm or death because of domestic and family violence (DFV). </w:t>
      </w:r>
    </w:p>
    <w:p w14:paraId="73F467CE" w14:textId="6EBCFBBE" w:rsidR="00D55AAF" w:rsidRPr="00D55AAF" w:rsidRDefault="00D55AAF" w:rsidP="009C5ED6">
      <w:r w:rsidRPr="00D55AAF">
        <w:t xml:space="preserve">The FSF fosters collaboration with government and non-government agencies to identify and assess risk of serious harm or death because of DFV; share information; and agree and report on risk management actions </w:t>
      </w:r>
      <w:r w:rsidR="00D85C99">
        <w:t>to improve the safety of victim-</w:t>
      </w:r>
      <w:r w:rsidRPr="00D55AAF">
        <w:t xml:space="preserve">survivors. </w:t>
      </w:r>
      <w:r w:rsidR="00241E63">
        <w:t>Participating agencies in the FSF use the Common Risk Assessment Took in the RAMF to assess and manage risk.</w:t>
      </w:r>
    </w:p>
    <w:p w14:paraId="023F45EC" w14:textId="5AF7AB09" w:rsidR="00D55AAF" w:rsidRPr="00D55AAF" w:rsidRDefault="00D55AAF" w:rsidP="009C5ED6">
      <w:r w:rsidRPr="00D55AAF">
        <w:t xml:space="preserve">The FSF currently operates in six locations across the Northern Territory: Darwin, Alice Springs, Tennant Creek, Nhulunbuy, Katherine and Yuendumu. NT Police are the operational lead for the FSF, with Territory Families, Housing and Communities leading the policy framework for the FSF. </w:t>
      </w:r>
    </w:p>
    <w:p w14:paraId="506A1A6B" w14:textId="644BDFE3" w:rsidR="00D55AAF" w:rsidRPr="00D55AAF" w:rsidRDefault="00D55AAF" w:rsidP="009C5ED6">
      <w:r w:rsidRPr="00D55AAF">
        <w:t>In 2017 an internal review recommended a number of amendments to strengthen the operation of the FSF. The majority of these recommendations have been implemented, including the development of contemporary FSF Guidelines; development of the DFV</w:t>
      </w:r>
      <w:r w:rsidR="00241E63">
        <w:t xml:space="preserve"> Risk Assessment and Management Framework</w:t>
      </w:r>
      <w:r w:rsidRPr="00D55AAF">
        <w:t>; adoption of the Common Risk Assessment Tool; provision of free risk assessment and management training across the Northern Territory for government and non-government workers, tailored to the level of skill and experience of participants and prioritised for FSF members; and strengthened accountability of Northern Territory Government agencies participating in the FSF.</w:t>
      </w:r>
    </w:p>
    <w:p w14:paraId="118450BF" w14:textId="24F2E8B1" w:rsidR="00D55AAF" w:rsidRPr="00D55AAF" w:rsidRDefault="00D55AAF" w:rsidP="009C5ED6">
      <w:r w:rsidRPr="00D55AAF">
        <w:t>Women identified as at risk of serious harm or death because of DFV are accepted onto the FSF by consensus by participating agencies and organisations, whether or not they are accompanied by children, and are monitored during and after their involvement in the FSF.</w:t>
      </w:r>
    </w:p>
    <w:p w14:paraId="32EEAF9A" w14:textId="77777777" w:rsidR="003061F7" w:rsidRDefault="003061F7" w:rsidP="009C5ED6">
      <w:r>
        <w:t>T</w:t>
      </w:r>
      <w:r w:rsidRPr="00D55AAF">
        <w:t>he primary focus of the FSF is the saf</w:t>
      </w:r>
      <w:r>
        <w:t>ety and wellbeing of the victim-</w:t>
      </w:r>
      <w:r w:rsidRPr="00D55AAF">
        <w:t>survivor</w:t>
      </w:r>
      <w:r>
        <w:t>s of DFV</w:t>
      </w:r>
      <w:r w:rsidRPr="00D55AAF">
        <w:t>.</w:t>
      </w:r>
      <w:r>
        <w:t xml:space="preserve">  </w:t>
      </w:r>
    </w:p>
    <w:p w14:paraId="0B54C09E" w14:textId="0A01F741" w:rsidR="003061F7" w:rsidRDefault="003061F7" w:rsidP="009C5ED6">
      <w:r>
        <w:t>T</w:t>
      </w:r>
      <w:r w:rsidR="00D55AAF" w:rsidRPr="00D55AAF">
        <w:t>he Multi Agency Community a</w:t>
      </w:r>
      <w:r>
        <w:t xml:space="preserve">nd Child Safety Framework (MACCSF) </w:t>
      </w:r>
      <w:r w:rsidR="00D55AAF" w:rsidRPr="00D55AAF">
        <w:t>focuses on i</w:t>
      </w:r>
      <w:r>
        <w:t>mproving chi</w:t>
      </w:r>
      <w:r w:rsidR="00241E63">
        <w:t xml:space="preserve">ld safety outcomes (see below).  </w:t>
      </w:r>
      <w:r>
        <w:t>The FSF and the MACCSF are complementary mechanis</w:t>
      </w:r>
      <w:r w:rsidR="007E261E">
        <w:t>ms to keep families safer. Responses to DFV that occur under both the FSF and the MACCSF</w:t>
      </w:r>
      <w:r>
        <w:t xml:space="preserve"> must be informed by the RAMF</w:t>
      </w:r>
      <w:r w:rsidR="007E261E">
        <w:t xml:space="preserve"> to ensure a consistent best practice response to DFV</w:t>
      </w:r>
      <w:r>
        <w:t>.</w:t>
      </w:r>
    </w:p>
    <w:p w14:paraId="722BBA10" w14:textId="45BAEC5A" w:rsidR="003061F7" w:rsidRPr="00801563" w:rsidRDefault="002104A5" w:rsidP="009C5ED6">
      <w:pPr>
        <w:pStyle w:val="Heading4"/>
        <w:keepNext/>
        <w:numPr>
          <w:ilvl w:val="0"/>
          <w:numId w:val="0"/>
        </w:numPr>
        <w:spacing w:after="0" w:line="259" w:lineRule="auto"/>
        <w:ind w:left="862" w:hanging="862"/>
        <w:rPr>
          <w:color w:val="auto"/>
          <w:lang w:eastAsia="en-AU"/>
        </w:rPr>
      </w:pPr>
      <w:r>
        <w:rPr>
          <w:color w:val="auto"/>
          <w:lang w:eastAsia="en-AU"/>
        </w:rPr>
        <w:lastRenderedPageBreak/>
        <w:t>PROPOSAL SR 24</w:t>
      </w:r>
    </w:p>
    <w:p w14:paraId="44251EDE" w14:textId="478DF9C3" w:rsidR="004731B3" w:rsidRDefault="004D007A" w:rsidP="009C5ED6">
      <w:pPr>
        <w:spacing w:after="0" w:line="259" w:lineRule="auto"/>
        <w:rPr>
          <w:lang w:eastAsia="en-AU"/>
        </w:rPr>
      </w:pPr>
      <w:r>
        <w:rPr>
          <w:b/>
          <w:lang w:eastAsia="en-AU"/>
        </w:rPr>
        <w:t xml:space="preserve">It </w:t>
      </w:r>
      <w:r w:rsidR="008B250F">
        <w:rPr>
          <w:b/>
          <w:lang w:eastAsia="en-AU"/>
        </w:rPr>
        <w:t xml:space="preserve">is proposed that the </w:t>
      </w:r>
      <w:r w:rsidR="00E37E7C">
        <w:rPr>
          <w:b/>
          <w:lang w:eastAsia="en-AU"/>
        </w:rPr>
        <w:t>DFSV-ICRO</w:t>
      </w:r>
      <w:r w:rsidR="00EA3EBC">
        <w:rPr>
          <w:b/>
          <w:lang w:eastAsia="en-AU"/>
        </w:rPr>
        <w:t xml:space="preserve"> </w:t>
      </w:r>
      <w:r w:rsidR="008B250F">
        <w:rPr>
          <w:b/>
          <w:lang w:eastAsia="en-AU"/>
        </w:rPr>
        <w:t xml:space="preserve">reform agenda include </w:t>
      </w:r>
      <w:r w:rsidR="004C0CF3">
        <w:rPr>
          <w:b/>
          <w:lang w:eastAsia="en-AU"/>
        </w:rPr>
        <w:t>consideration of</w:t>
      </w:r>
      <w:r w:rsidR="008B250F">
        <w:rPr>
          <w:b/>
          <w:lang w:eastAsia="en-AU"/>
        </w:rPr>
        <w:t xml:space="preserve"> strengthening </w:t>
      </w:r>
      <w:r w:rsidR="003061F7" w:rsidRPr="003061F7">
        <w:rPr>
          <w:b/>
          <w:lang w:eastAsia="en-AU"/>
        </w:rPr>
        <w:t xml:space="preserve">the </w:t>
      </w:r>
      <w:r w:rsidR="003061F7" w:rsidRPr="003061F7">
        <w:rPr>
          <w:b/>
        </w:rPr>
        <w:t xml:space="preserve">Family Safety Framework (FSF) </w:t>
      </w:r>
      <w:r w:rsidR="003061F7">
        <w:rPr>
          <w:b/>
        </w:rPr>
        <w:t>as an</w:t>
      </w:r>
      <w:r w:rsidR="003061F7" w:rsidRPr="003061F7">
        <w:rPr>
          <w:b/>
        </w:rPr>
        <w:t xml:space="preserve"> action based, integrated, multi</w:t>
      </w:r>
      <w:r w:rsidR="00241E63">
        <w:rPr>
          <w:b/>
        </w:rPr>
        <w:t>-</w:t>
      </w:r>
      <w:r w:rsidR="003061F7" w:rsidRPr="003061F7">
        <w:rPr>
          <w:b/>
        </w:rPr>
        <w:t>service response for women experiencing or at risk of experiencing serious harm or death because o</w:t>
      </w:r>
      <w:r w:rsidR="00D85C99">
        <w:rPr>
          <w:b/>
        </w:rPr>
        <w:t>f DFV</w:t>
      </w:r>
      <w:r w:rsidR="003061F7" w:rsidRPr="003061F7">
        <w:rPr>
          <w:b/>
        </w:rPr>
        <w:t xml:space="preserve">. </w:t>
      </w:r>
    </w:p>
    <w:p w14:paraId="26CA0D9C" w14:textId="6D94E78B" w:rsidR="00810D74" w:rsidRPr="000A0EF3" w:rsidRDefault="00810D74" w:rsidP="009C5ED6">
      <w:pPr>
        <w:pStyle w:val="Heading2"/>
        <w:ind w:left="1134"/>
        <w:rPr>
          <w:lang w:eastAsia="en-AU"/>
        </w:rPr>
      </w:pPr>
      <w:bookmarkStart w:id="125" w:name="_Toc112051908"/>
      <w:r w:rsidRPr="000A0EF3">
        <w:rPr>
          <w:lang w:eastAsia="en-AU"/>
        </w:rPr>
        <w:t>Multi-Agency Children and Community Safety Teams / Framework</w:t>
      </w:r>
      <w:bookmarkEnd w:id="125"/>
    </w:p>
    <w:p w14:paraId="6C20F523" w14:textId="77777777" w:rsidR="004731B3" w:rsidRDefault="004731B3" w:rsidP="004731B3">
      <w:r>
        <w:t>Multi-Agency Community and Child Safety Teams (MACCSTs) have been formed in the NT to deliver timely, co-ordinated responses to ensure children, young people and families are cared for, protected, safe and able to reach their full potential.</w:t>
      </w:r>
    </w:p>
    <w:p w14:paraId="47692D7C" w14:textId="77777777" w:rsidR="004731B3" w:rsidRPr="002B08CC" w:rsidRDefault="004731B3" w:rsidP="004731B3">
      <w:r w:rsidRPr="002B08CC">
        <w:t>MACCTs were formed in response to a recommendatio</w:t>
      </w:r>
      <w:r>
        <w:t>n by the Coroner following an</w:t>
      </w:r>
      <w:r w:rsidRPr="002B08CC">
        <w:t xml:space="preserve"> inquest into the deaths of three young women in remote commu</w:t>
      </w:r>
      <w:r>
        <w:t>nities</w:t>
      </w:r>
      <w:r w:rsidRPr="002B08CC">
        <w:t>.</w:t>
      </w:r>
      <w:r w:rsidRPr="002B08CC">
        <w:rPr>
          <w:rStyle w:val="FootnoteReference"/>
        </w:rPr>
        <w:footnoteReference w:id="233"/>
      </w:r>
      <w:r>
        <w:t xml:space="preserve"> </w:t>
      </w:r>
      <w:r w:rsidRPr="001C6BB1">
        <w:t xml:space="preserve">The circumstances in the lead up the young women’s deaths </w:t>
      </w:r>
      <w:r>
        <w:t>revealed DFV,</w:t>
      </w:r>
      <w:r w:rsidRPr="001C6BB1">
        <w:t xml:space="preserve"> sexual assault/abuse</w:t>
      </w:r>
      <w:r>
        <w:t>,</w:t>
      </w:r>
      <w:r w:rsidRPr="001C6BB1">
        <w:t xml:space="preserve"> trauma</w:t>
      </w:r>
      <w:r>
        <w:t xml:space="preserve"> and coercive control</w:t>
      </w:r>
      <w:r w:rsidRPr="001C6BB1">
        <w:t>.</w:t>
      </w:r>
    </w:p>
    <w:p w14:paraId="2902CBEF" w14:textId="77777777" w:rsidR="004731B3" w:rsidRDefault="004731B3" w:rsidP="004731B3">
      <w:r>
        <w:t>Many of the children referred to MACCST will be victims of DFV and/or exposed to DFV against their mothers, step-mothers or other family members.  Many of the families referred to MACCSTs are likely to have both victims and perpetrators within the family unit.</w:t>
      </w:r>
    </w:p>
    <w:p w14:paraId="7577C68E" w14:textId="279E2BC4" w:rsidR="004731B3" w:rsidRDefault="004731B3" w:rsidP="00810D74">
      <w:r>
        <w:t xml:space="preserve">It is important that the teams respond to children exposed to DFV in a way that fosters victim safety, and offender accountability.  Support of the non-offending parent can be instrumental in reducing children’s exposure to DFV.  Managing the risk of DFV in accordance with the NT’s </w:t>
      </w:r>
      <w:r w:rsidR="00241E63">
        <w:t>RAMF</w:t>
      </w:r>
      <w:r>
        <w:t xml:space="preserve"> is part of a best practice response.</w:t>
      </w:r>
    </w:p>
    <w:p w14:paraId="0E6E663E" w14:textId="77777777" w:rsidR="002104A5" w:rsidRDefault="004830EB" w:rsidP="002104A5">
      <w:r>
        <w:t>Many remote communities have a MACCST but not an FSF. In these communities, protocols are required to guide the MACCST in responding to referrals of women who are DFV victim survivors, whether or not the</w:t>
      </w:r>
      <w:r w:rsidR="008B250F">
        <w:t xml:space="preserve">y are accompanied by children. </w:t>
      </w:r>
    </w:p>
    <w:p w14:paraId="7A0753D9" w14:textId="1608A85A" w:rsidR="00A61E2C" w:rsidRPr="00801563" w:rsidRDefault="002104A5" w:rsidP="009C5ED6">
      <w:pPr>
        <w:pStyle w:val="Heading4"/>
        <w:keepNext/>
        <w:numPr>
          <w:ilvl w:val="0"/>
          <w:numId w:val="0"/>
        </w:numPr>
        <w:spacing w:after="0" w:line="259" w:lineRule="auto"/>
        <w:ind w:left="862" w:hanging="862"/>
      </w:pPr>
      <w:r>
        <w:rPr>
          <w:lang w:eastAsia="en-AU"/>
        </w:rPr>
        <w:t>PROPOSAL SR 25</w:t>
      </w:r>
    </w:p>
    <w:p w14:paraId="495452C0" w14:textId="08587E36" w:rsidR="00A61E2C" w:rsidRDefault="008B250F" w:rsidP="009C5ED6">
      <w:pPr>
        <w:spacing w:after="0" w:line="259" w:lineRule="auto"/>
        <w:rPr>
          <w:b/>
          <w:lang w:eastAsia="en-AU"/>
        </w:rPr>
      </w:pPr>
      <w:r>
        <w:rPr>
          <w:b/>
          <w:lang w:eastAsia="en-AU"/>
        </w:rPr>
        <w:t>It is proposed that TFHC</w:t>
      </w:r>
      <w:r w:rsidR="00585FCD">
        <w:rPr>
          <w:b/>
          <w:lang w:eastAsia="en-AU"/>
        </w:rPr>
        <w:t>,</w:t>
      </w:r>
      <w:r>
        <w:rPr>
          <w:b/>
          <w:lang w:eastAsia="en-AU"/>
        </w:rPr>
        <w:t xml:space="preserve"> </w:t>
      </w:r>
      <w:r w:rsidR="00585FCD">
        <w:rPr>
          <w:b/>
          <w:lang w:eastAsia="en-AU"/>
        </w:rPr>
        <w:t xml:space="preserve">in collaboration with </w:t>
      </w:r>
      <w:r w:rsidR="00E37E7C">
        <w:rPr>
          <w:b/>
          <w:lang w:eastAsia="en-AU"/>
        </w:rPr>
        <w:t>DFSV-ICRO</w:t>
      </w:r>
      <w:r w:rsidR="00585FCD">
        <w:rPr>
          <w:b/>
          <w:lang w:eastAsia="en-AU"/>
        </w:rPr>
        <w:t xml:space="preserve">, </w:t>
      </w:r>
      <w:r w:rsidR="00101C0D">
        <w:rPr>
          <w:b/>
          <w:lang w:eastAsia="en-AU"/>
        </w:rPr>
        <w:t xml:space="preserve">give consideration to </w:t>
      </w:r>
      <w:r>
        <w:rPr>
          <w:b/>
          <w:lang w:eastAsia="en-AU"/>
        </w:rPr>
        <w:t>d</w:t>
      </w:r>
      <w:r w:rsidR="00810D74" w:rsidRPr="00801563">
        <w:rPr>
          <w:b/>
          <w:lang w:eastAsia="en-AU"/>
        </w:rPr>
        <w:t>evel</w:t>
      </w:r>
      <w:r w:rsidR="007E261E">
        <w:rPr>
          <w:b/>
          <w:lang w:eastAsia="en-AU"/>
        </w:rPr>
        <w:t>op</w:t>
      </w:r>
      <w:r w:rsidR="00101C0D">
        <w:rPr>
          <w:b/>
          <w:lang w:eastAsia="en-AU"/>
        </w:rPr>
        <w:t>ing</w:t>
      </w:r>
      <w:r w:rsidR="007E261E">
        <w:rPr>
          <w:b/>
          <w:lang w:eastAsia="en-AU"/>
        </w:rPr>
        <w:t xml:space="preserve"> guidelines</w:t>
      </w:r>
      <w:r w:rsidR="00810D74" w:rsidRPr="00801563">
        <w:rPr>
          <w:b/>
          <w:lang w:eastAsia="en-AU"/>
        </w:rPr>
        <w:t xml:space="preserve"> on how MACCST will deal with children exposed to, and affected by DFV, and</w:t>
      </w:r>
      <w:r w:rsidR="007E261E">
        <w:rPr>
          <w:b/>
          <w:lang w:eastAsia="en-AU"/>
        </w:rPr>
        <w:t xml:space="preserve"> their families</w:t>
      </w:r>
      <w:r w:rsidR="00F601B1">
        <w:rPr>
          <w:b/>
          <w:lang w:eastAsia="en-AU"/>
        </w:rPr>
        <w:t>,</w:t>
      </w:r>
      <w:r w:rsidR="007E261E">
        <w:rPr>
          <w:b/>
          <w:lang w:eastAsia="en-AU"/>
        </w:rPr>
        <w:t xml:space="preserve"> that is aligned with</w:t>
      </w:r>
      <w:r w:rsidR="00810D74" w:rsidRPr="00801563">
        <w:rPr>
          <w:b/>
          <w:lang w:eastAsia="en-AU"/>
        </w:rPr>
        <w:t xml:space="preserve"> the </w:t>
      </w:r>
      <w:r w:rsidR="007E261E">
        <w:rPr>
          <w:b/>
          <w:lang w:eastAsia="en-AU"/>
        </w:rPr>
        <w:t xml:space="preserve">NT’s DFV </w:t>
      </w:r>
      <w:r w:rsidR="00810D74" w:rsidRPr="00801563">
        <w:rPr>
          <w:b/>
          <w:lang w:eastAsia="en-AU"/>
        </w:rPr>
        <w:t xml:space="preserve">Risk Assessment </w:t>
      </w:r>
      <w:r w:rsidR="007E261E">
        <w:rPr>
          <w:b/>
          <w:lang w:eastAsia="en-AU"/>
        </w:rPr>
        <w:t>and Management Framewo</w:t>
      </w:r>
      <w:r w:rsidR="00253C8F">
        <w:rPr>
          <w:b/>
          <w:lang w:eastAsia="en-AU"/>
        </w:rPr>
        <w:t>rk (RAMF).  The guideline</w:t>
      </w:r>
      <w:r w:rsidR="00F601B1">
        <w:rPr>
          <w:b/>
          <w:lang w:eastAsia="en-AU"/>
        </w:rPr>
        <w:t>s</w:t>
      </w:r>
      <w:r w:rsidR="00253C8F">
        <w:rPr>
          <w:b/>
          <w:lang w:eastAsia="en-AU"/>
        </w:rPr>
        <w:t xml:space="preserve"> should prioriti</w:t>
      </w:r>
      <w:r w:rsidR="00F601B1">
        <w:rPr>
          <w:b/>
          <w:lang w:eastAsia="en-AU"/>
        </w:rPr>
        <w:t>se victim safety and offender</w:t>
      </w:r>
      <w:r w:rsidR="00253C8F">
        <w:rPr>
          <w:b/>
          <w:lang w:eastAsia="en-AU"/>
        </w:rPr>
        <w:t xml:space="preserve"> accountability </w:t>
      </w:r>
      <w:r w:rsidR="00F601B1">
        <w:rPr>
          <w:b/>
          <w:lang w:eastAsia="en-AU"/>
        </w:rPr>
        <w:t xml:space="preserve">and </w:t>
      </w:r>
      <w:r w:rsidR="007E261E">
        <w:rPr>
          <w:b/>
          <w:lang w:eastAsia="en-AU"/>
        </w:rPr>
        <w:t>include:</w:t>
      </w:r>
    </w:p>
    <w:p w14:paraId="3990F6DC" w14:textId="017ED0A4" w:rsidR="007E261E" w:rsidRDefault="009C5ED6" w:rsidP="00101C0D">
      <w:pPr>
        <w:pStyle w:val="ListParagraph"/>
        <w:numPr>
          <w:ilvl w:val="0"/>
          <w:numId w:val="124"/>
        </w:numPr>
        <w:spacing w:after="0" w:line="259" w:lineRule="auto"/>
        <w:ind w:left="567" w:hanging="567"/>
        <w:rPr>
          <w:b/>
          <w:lang w:eastAsia="en-AU"/>
        </w:rPr>
      </w:pPr>
      <w:r>
        <w:rPr>
          <w:b/>
          <w:lang w:eastAsia="en-AU"/>
        </w:rPr>
        <w:t xml:space="preserve">responses </w:t>
      </w:r>
      <w:r w:rsidR="007E261E">
        <w:rPr>
          <w:b/>
          <w:lang w:eastAsia="en-AU"/>
        </w:rPr>
        <w:t>to children who are primary vict</w:t>
      </w:r>
      <w:r w:rsidR="00D85C99">
        <w:rPr>
          <w:b/>
          <w:lang w:eastAsia="en-AU"/>
        </w:rPr>
        <w:t>ims or otherwise exposed to DFV</w:t>
      </w:r>
      <w:r>
        <w:rPr>
          <w:b/>
          <w:lang w:eastAsia="en-AU"/>
        </w:rPr>
        <w:t>;</w:t>
      </w:r>
    </w:p>
    <w:p w14:paraId="2DE3A5D7" w14:textId="3534C568" w:rsidR="007E261E" w:rsidRDefault="009C5ED6" w:rsidP="00101C0D">
      <w:pPr>
        <w:pStyle w:val="ListParagraph"/>
        <w:numPr>
          <w:ilvl w:val="0"/>
          <w:numId w:val="124"/>
        </w:numPr>
        <w:spacing w:after="0" w:line="259" w:lineRule="auto"/>
        <w:ind w:left="567" w:hanging="567"/>
        <w:rPr>
          <w:b/>
          <w:lang w:eastAsia="en-AU"/>
        </w:rPr>
      </w:pPr>
      <w:r>
        <w:rPr>
          <w:b/>
          <w:lang w:eastAsia="en-AU"/>
        </w:rPr>
        <w:t xml:space="preserve">responses </w:t>
      </w:r>
      <w:r w:rsidR="007E261E">
        <w:rPr>
          <w:b/>
          <w:lang w:eastAsia="en-AU"/>
        </w:rPr>
        <w:t>to non-offe</w:t>
      </w:r>
      <w:r w:rsidR="004830EB">
        <w:rPr>
          <w:b/>
          <w:lang w:eastAsia="en-AU"/>
        </w:rPr>
        <w:t xml:space="preserve">nding adults </w:t>
      </w:r>
      <w:r w:rsidR="00F601B1">
        <w:rPr>
          <w:b/>
          <w:lang w:eastAsia="en-AU"/>
        </w:rPr>
        <w:t>who are victims of DFV</w:t>
      </w:r>
      <w:r>
        <w:rPr>
          <w:b/>
          <w:lang w:eastAsia="en-AU"/>
        </w:rPr>
        <w:t>;</w:t>
      </w:r>
    </w:p>
    <w:p w14:paraId="69DBF45E" w14:textId="4DE33D2C" w:rsidR="007E261E" w:rsidRDefault="009C5ED6" w:rsidP="00101C0D">
      <w:pPr>
        <w:pStyle w:val="ListParagraph"/>
        <w:numPr>
          <w:ilvl w:val="0"/>
          <w:numId w:val="124"/>
        </w:numPr>
        <w:spacing w:after="0" w:line="259" w:lineRule="auto"/>
        <w:ind w:left="567" w:hanging="567"/>
        <w:rPr>
          <w:b/>
          <w:lang w:eastAsia="en-AU"/>
        </w:rPr>
      </w:pPr>
      <w:r>
        <w:rPr>
          <w:b/>
          <w:lang w:eastAsia="en-AU"/>
        </w:rPr>
        <w:t xml:space="preserve">responses </w:t>
      </w:r>
      <w:r w:rsidR="007E261E">
        <w:rPr>
          <w:b/>
          <w:lang w:eastAsia="en-AU"/>
        </w:rPr>
        <w:t xml:space="preserve">to </w:t>
      </w:r>
      <w:r>
        <w:rPr>
          <w:b/>
          <w:lang w:eastAsia="en-AU"/>
        </w:rPr>
        <w:t>DFV perpetrators;</w:t>
      </w:r>
      <w:r w:rsidR="00F601B1">
        <w:rPr>
          <w:b/>
          <w:lang w:eastAsia="en-AU"/>
        </w:rPr>
        <w:t xml:space="preserve"> and</w:t>
      </w:r>
    </w:p>
    <w:p w14:paraId="3816C92E" w14:textId="1C1B9575" w:rsidR="00D85214" w:rsidRPr="003058D0" w:rsidRDefault="009C5ED6" w:rsidP="00101C0D">
      <w:pPr>
        <w:pStyle w:val="ListParagraph"/>
        <w:numPr>
          <w:ilvl w:val="0"/>
          <w:numId w:val="124"/>
        </w:numPr>
        <w:spacing w:line="259" w:lineRule="auto"/>
        <w:ind w:left="567" w:hanging="567"/>
        <w:rPr>
          <w:b/>
          <w:lang w:eastAsia="en-AU"/>
        </w:rPr>
      </w:pPr>
      <w:r>
        <w:rPr>
          <w:b/>
          <w:lang w:eastAsia="en-AU"/>
        </w:rPr>
        <w:t xml:space="preserve">responses </w:t>
      </w:r>
      <w:r w:rsidR="00F601B1">
        <w:rPr>
          <w:b/>
          <w:lang w:eastAsia="en-AU"/>
        </w:rPr>
        <w:t xml:space="preserve">to the high risk factors outlined in the RAMF </w:t>
      </w:r>
      <w:r w:rsidR="00F601B1" w:rsidRPr="00F601B1">
        <w:rPr>
          <w:b/>
          <w:lang w:eastAsia="en-AU"/>
        </w:rPr>
        <w:t>(</w:t>
      </w:r>
      <w:r w:rsidRPr="00F601B1">
        <w:rPr>
          <w:b/>
          <w:lang w:eastAsia="en-AU"/>
        </w:rPr>
        <w:t xml:space="preserve">these </w:t>
      </w:r>
      <w:r w:rsidR="00F601B1" w:rsidRPr="00F601B1">
        <w:rPr>
          <w:b/>
          <w:lang w:eastAsia="en-AU"/>
        </w:rPr>
        <w:t xml:space="preserve">are summarised in </w:t>
      </w:r>
      <w:r w:rsidRPr="009C5ED6">
        <w:rPr>
          <w:b/>
          <w:lang w:eastAsia="en-AU"/>
        </w:rPr>
        <w:t xml:space="preserve">Part </w:t>
      </w:r>
      <w:r w:rsidR="003058D0" w:rsidRPr="009C5ED6">
        <w:rPr>
          <w:b/>
          <w:lang w:eastAsia="en-AU"/>
        </w:rPr>
        <w:t>3.6</w:t>
      </w:r>
      <w:r w:rsidR="00F601B1" w:rsidRPr="009C5ED6">
        <w:rPr>
          <w:b/>
          <w:lang w:eastAsia="en-AU"/>
        </w:rPr>
        <w:t xml:space="preserve"> </w:t>
      </w:r>
      <w:r w:rsidR="00F601B1" w:rsidRPr="003058D0">
        <w:rPr>
          <w:b/>
          <w:lang w:eastAsia="en-AU"/>
        </w:rPr>
        <w:t>above).</w:t>
      </w:r>
    </w:p>
    <w:p w14:paraId="0027EDFE" w14:textId="59F05C92" w:rsidR="00D20BA5" w:rsidRDefault="00B86EE9" w:rsidP="009C5ED6">
      <w:pPr>
        <w:pStyle w:val="Heading2"/>
        <w:ind w:left="1134"/>
        <w:rPr>
          <w:lang w:eastAsia="en-AU"/>
        </w:rPr>
      </w:pPr>
      <w:bookmarkStart w:id="126" w:name="_Toc112051909"/>
      <w:r>
        <w:rPr>
          <w:lang w:eastAsia="en-AU"/>
        </w:rPr>
        <w:t>Systems</w:t>
      </w:r>
      <w:r w:rsidR="00F73147">
        <w:rPr>
          <w:lang w:eastAsia="en-AU"/>
        </w:rPr>
        <w:t xml:space="preserve"> </w:t>
      </w:r>
      <w:r w:rsidR="00F37F33">
        <w:rPr>
          <w:lang w:eastAsia="en-AU"/>
        </w:rPr>
        <w:t xml:space="preserve">DFV </w:t>
      </w:r>
      <w:r w:rsidR="00D20BA5">
        <w:rPr>
          <w:lang w:eastAsia="en-AU"/>
        </w:rPr>
        <w:t>Death Review Process</w:t>
      </w:r>
      <w:bookmarkEnd w:id="126"/>
    </w:p>
    <w:p w14:paraId="50C70EDD" w14:textId="77777777" w:rsidR="009607FE" w:rsidRDefault="004A3F6F" w:rsidP="004A3F6F">
      <w:pPr>
        <w:rPr>
          <w:bCs/>
        </w:rPr>
      </w:pPr>
      <w:r w:rsidRPr="00A61E2C">
        <w:rPr>
          <w:bCs/>
        </w:rPr>
        <w:t xml:space="preserve">The implementation of a DFV Death Review Process </w:t>
      </w:r>
      <w:r w:rsidR="009607FE">
        <w:rPr>
          <w:bCs/>
        </w:rPr>
        <w:t xml:space="preserve">in the NT </w:t>
      </w:r>
      <w:r w:rsidRPr="00A61E2C">
        <w:rPr>
          <w:bCs/>
        </w:rPr>
        <w:t>was an initiative in Action Plan 1</w:t>
      </w:r>
      <w:r w:rsidR="009607FE">
        <w:rPr>
          <w:bCs/>
        </w:rPr>
        <w:t xml:space="preserve"> under the </w:t>
      </w:r>
      <w:r w:rsidR="009607FE">
        <w:rPr>
          <w:i/>
          <w:lang w:eastAsia="en-AU"/>
        </w:rPr>
        <w:t>NT</w:t>
      </w:r>
      <w:r w:rsidR="009607FE" w:rsidRPr="00274495">
        <w:rPr>
          <w:i/>
          <w:lang w:eastAsia="en-AU"/>
        </w:rPr>
        <w:t>’s Domestic, Family and Sexual Violence Reduction Framework 2018-20</w:t>
      </w:r>
      <w:r w:rsidR="009607FE">
        <w:rPr>
          <w:i/>
          <w:lang w:eastAsia="en-AU"/>
        </w:rPr>
        <w:t>28</w:t>
      </w:r>
      <w:r w:rsidRPr="00A61E2C">
        <w:rPr>
          <w:bCs/>
        </w:rPr>
        <w:t xml:space="preserve">. </w:t>
      </w:r>
    </w:p>
    <w:p w14:paraId="16E1D183" w14:textId="0A0C5A0D" w:rsidR="004A3F6F" w:rsidRPr="00A61E2C" w:rsidRDefault="004A3F6F" w:rsidP="004A3F6F">
      <w:pPr>
        <w:rPr>
          <w:rFonts w:asciiTheme="minorHAnsi" w:hAnsiTheme="minorHAnsi"/>
          <w:bCs/>
        </w:rPr>
      </w:pPr>
      <w:r w:rsidRPr="00A61E2C">
        <w:rPr>
          <w:bCs/>
        </w:rPr>
        <w:t>It involves a part time research position in the C</w:t>
      </w:r>
      <w:r w:rsidR="009607FE">
        <w:rPr>
          <w:bCs/>
        </w:rPr>
        <w:t>oroner’s office to provide support to the Coroner in relation to DFV-related Inquests and to contribute to the National</w:t>
      </w:r>
      <w:r w:rsidR="0019481A">
        <w:rPr>
          <w:bCs/>
        </w:rPr>
        <w:t xml:space="preserve"> database on DFV related homicides.</w:t>
      </w:r>
    </w:p>
    <w:p w14:paraId="702F56D2" w14:textId="3823E837" w:rsidR="004A3F6F" w:rsidRPr="00A61E2C" w:rsidRDefault="0019481A" w:rsidP="004A3F6F">
      <w:pPr>
        <w:rPr>
          <w:bCs/>
        </w:rPr>
      </w:pPr>
      <w:r>
        <w:rPr>
          <w:bCs/>
        </w:rPr>
        <w:lastRenderedPageBreak/>
        <w:t>U</w:t>
      </w:r>
      <w:r w:rsidR="004A3F6F" w:rsidRPr="00A61E2C">
        <w:rPr>
          <w:bCs/>
        </w:rPr>
        <w:t>nlike other jurisdictions</w:t>
      </w:r>
      <w:r>
        <w:rPr>
          <w:bCs/>
        </w:rPr>
        <w:t>, the process in the NT</w:t>
      </w:r>
      <w:r w:rsidR="004A3F6F" w:rsidRPr="00A61E2C">
        <w:rPr>
          <w:bCs/>
        </w:rPr>
        <w:t xml:space="preserve"> </w:t>
      </w:r>
      <w:r>
        <w:rPr>
          <w:bCs/>
        </w:rPr>
        <w:t xml:space="preserve">does not provide a framework or the necessary resources </w:t>
      </w:r>
      <w:r w:rsidR="004A3F6F" w:rsidRPr="00A61E2C">
        <w:rPr>
          <w:bCs/>
        </w:rPr>
        <w:t>to facilitate cross-agency experts to joint</w:t>
      </w:r>
      <w:r w:rsidR="00F73147">
        <w:rPr>
          <w:bCs/>
        </w:rPr>
        <w:t>ly de</w:t>
      </w:r>
      <w:r>
        <w:rPr>
          <w:bCs/>
        </w:rPr>
        <w:t xml:space="preserve">velop a co-ordinated </w:t>
      </w:r>
      <w:r w:rsidR="00D85C99">
        <w:rPr>
          <w:bCs/>
        </w:rPr>
        <w:t>systemic</w:t>
      </w:r>
      <w:r>
        <w:rPr>
          <w:bCs/>
        </w:rPr>
        <w:t xml:space="preserve"> response to DFV-related </w:t>
      </w:r>
      <w:r w:rsidR="004A3F6F" w:rsidRPr="00A61E2C">
        <w:rPr>
          <w:bCs/>
        </w:rPr>
        <w:t xml:space="preserve">issues identified by the Coroner.  </w:t>
      </w:r>
    </w:p>
    <w:p w14:paraId="6322A264" w14:textId="1981511C" w:rsidR="004A3F6F" w:rsidRPr="00A61E2C" w:rsidRDefault="00597442" w:rsidP="004A3F6F">
      <w:pPr>
        <w:rPr>
          <w:bCs/>
        </w:rPr>
      </w:pPr>
      <w:r>
        <w:rPr>
          <w:bCs/>
        </w:rPr>
        <w:t>It is proposed that the NT DF</w:t>
      </w:r>
      <w:r w:rsidR="00F73147">
        <w:rPr>
          <w:bCs/>
        </w:rPr>
        <w:t xml:space="preserve">V Death Review Process </w:t>
      </w:r>
      <w:r>
        <w:rPr>
          <w:bCs/>
        </w:rPr>
        <w:t>be expanded to</w:t>
      </w:r>
      <w:r w:rsidR="004A3F6F" w:rsidRPr="00A61E2C">
        <w:rPr>
          <w:bCs/>
        </w:rPr>
        <w:t xml:space="preserve"> enable a more dynamic, proactive, cross-agency, systems-based response rather than agencies considering </w:t>
      </w:r>
      <w:r>
        <w:rPr>
          <w:bCs/>
        </w:rPr>
        <w:t xml:space="preserve">the Coroner’s </w:t>
      </w:r>
      <w:r w:rsidR="004A3F6F" w:rsidRPr="00A61E2C">
        <w:rPr>
          <w:bCs/>
        </w:rPr>
        <w:t>r</w:t>
      </w:r>
      <w:r>
        <w:rPr>
          <w:bCs/>
        </w:rPr>
        <w:t xml:space="preserve">ecommendations </w:t>
      </w:r>
      <w:r w:rsidR="0019481A">
        <w:rPr>
          <w:bCs/>
        </w:rPr>
        <w:t xml:space="preserve">largely </w:t>
      </w:r>
      <w:r w:rsidR="004A3F6F" w:rsidRPr="00A61E2C">
        <w:rPr>
          <w:bCs/>
        </w:rPr>
        <w:t>in isolation.</w:t>
      </w:r>
      <w:r>
        <w:rPr>
          <w:bCs/>
        </w:rPr>
        <w:t xml:space="preserve">  There need</w:t>
      </w:r>
      <w:r w:rsidR="00F601B1">
        <w:rPr>
          <w:bCs/>
        </w:rPr>
        <w:t>s</w:t>
      </w:r>
      <w:r w:rsidR="0019481A">
        <w:rPr>
          <w:bCs/>
        </w:rPr>
        <w:t xml:space="preserve"> to be</w:t>
      </w:r>
      <w:r>
        <w:rPr>
          <w:bCs/>
        </w:rPr>
        <w:t xml:space="preserve"> multi-agency approach to learning from DFV-related </w:t>
      </w:r>
      <w:r w:rsidR="0019481A">
        <w:rPr>
          <w:bCs/>
        </w:rPr>
        <w:t>deaths to prevent future deaths and ensure continuous improvement of the NT’s response to DFV.</w:t>
      </w:r>
    </w:p>
    <w:p w14:paraId="42BCBC28" w14:textId="6800EEDF" w:rsidR="004A3F6F" w:rsidRPr="00A61E2C" w:rsidRDefault="004A3F6F" w:rsidP="004A3F6F">
      <w:pPr>
        <w:rPr>
          <w:bCs/>
        </w:rPr>
      </w:pPr>
      <w:r w:rsidRPr="00A61E2C">
        <w:rPr>
          <w:bCs/>
        </w:rPr>
        <w:t>Most jurisdictions have some form of de</w:t>
      </w:r>
      <w:r w:rsidR="00597442">
        <w:rPr>
          <w:bCs/>
        </w:rPr>
        <w:t>ath review process in place, and j</w:t>
      </w:r>
      <w:r w:rsidRPr="00A61E2C">
        <w:rPr>
          <w:bCs/>
        </w:rPr>
        <w:t>urisdictions work together to regularly report on DFV related homicides.</w:t>
      </w:r>
    </w:p>
    <w:p w14:paraId="5D8B1E99" w14:textId="77777777" w:rsidR="004A3F6F" w:rsidRPr="00A61E2C" w:rsidRDefault="004A3F6F" w:rsidP="009C5ED6">
      <w:pPr>
        <w:spacing w:after="120"/>
        <w:rPr>
          <w:bCs/>
        </w:rPr>
      </w:pPr>
      <w:r w:rsidRPr="00A61E2C">
        <w:rPr>
          <w:bCs/>
        </w:rPr>
        <w:t>It is proposed that the expanded NT death review process:</w:t>
      </w:r>
    </w:p>
    <w:p w14:paraId="3D21CC24" w14:textId="2B62FEC4" w:rsidR="004A3F6F" w:rsidRPr="00A61E2C" w:rsidRDefault="009C5ED6" w:rsidP="00101C0D">
      <w:pPr>
        <w:pStyle w:val="ListParagraph"/>
        <w:numPr>
          <w:ilvl w:val="0"/>
          <w:numId w:val="67"/>
        </w:numPr>
        <w:ind w:left="567" w:hanging="567"/>
        <w:rPr>
          <w:bCs/>
        </w:rPr>
      </w:pPr>
      <w:r w:rsidRPr="00A61E2C">
        <w:rPr>
          <w:bCs/>
        </w:rPr>
        <w:t xml:space="preserve">identify </w:t>
      </w:r>
      <w:r w:rsidR="004A3F6F" w:rsidRPr="00A61E2C">
        <w:rPr>
          <w:bCs/>
        </w:rPr>
        <w:t>deaths that occur in a DFV context</w:t>
      </w:r>
      <w:r>
        <w:rPr>
          <w:bCs/>
        </w:rPr>
        <w:t>;</w:t>
      </w:r>
    </w:p>
    <w:p w14:paraId="54A164E2" w14:textId="6AE7889B" w:rsidR="004A3F6F" w:rsidRPr="00A61E2C" w:rsidRDefault="009C5ED6" w:rsidP="00101C0D">
      <w:pPr>
        <w:pStyle w:val="ListParagraph"/>
        <w:numPr>
          <w:ilvl w:val="0"/>
          <w:numId w:val="67"/>
        </w:numPr>
        <w:ind w:left="567" w:hanging="567"/>
        <w:rPr>
          <w:bCs/>
        </w:rPr>
      </w:pPr>
      <w:r w:rsidRPr="00A61E2C">
        <w:rPr>
          <w:bCs/>
        </w:rPr>
        <w:t xml:space="preserve">assist </w:t>
      </w:r>
      <w:r w:rsidR="004A3F6F" w:rsidRPr="00A61E2C">
        <w:rPr>
          <w:bCs/>
        </w:rPr>
        <w:t>the Coroner in relation to DFV related matters being considered by the Coroner</w:t>
      </w:r>
      <w:r>
        <w:rPr>
          <w:bCs/>
        </w:rPr>
        <w:t>;</w:t>
      </w:r>
    </w:p>
    <w:p w14:paraId="4EA809D8" w14:textId="176D54B9" w:rsidR="004A3F6F" w:rsidRPr="00A61E2C" w:rsidRDefault="009C5ED6" w:rsidP="00101C0D">
      <w:pPr>
        <w:pStyle w:val="ListParagraph"/>
        <w:numPr>
          <w:ilvl w:val="0"/>
          <w:numId w:val="67"/>
        </w:numPr>
        <w:ind w:left="567" w:hanging="567"/>
        <w:rPr>
          <w:bCs/>
        </w:rPr>
      </w:pPr>
      <w:r w:rsidRPr="00A61E2C">
        <w:rPr>
          <w:bCs/>
        </w:rPr>
        <w:t xml:space="preserve">provide </w:t>
      </w:r>
      <w:r w:rsidR="004A3F6F" w:rsidRPr="00A61E2C">
        <w:rPr>
          <w:bCs/>
        </w:rPr>
        <w:t>a group of independent experts that the coroner can draw on in considering his or her findings, and particularly to inform recommendations for change (especially where there are cross agency implications)</w:t>
      </w:r>
      <w:r>
        <w:rPr>
          <w:bCs/>
        </w:rPr>
        <w:t>;</w:t>
      </w:r>
    </w:p>
    <w:p w14:paraId="1F8E71D9" w14:textId="149C7A84" w:rsidR="004A3F6F" w:rsidRPr="00A61E2C" w:rsidRDefault="009C5ED6" w:rsidP="00101C0D">
      <w:pPr>
        <w:pStyle w:val="ListParagraph"/>
        <w:numPr>
          <w:ilvl w:val="0"/>
          <w:numId w:val="67"/>
        </w:numPr>
        <w:ind w:left="567" w:hanging="567"/>
        <w:rPr>
          <w:bCs/>
        </w:rPr>
      </w:pPr>
      <w:r w:rsidRPr="00A61E2C">
        <w:rPr>
          <w:bCs/>
        </w:rPr>
        <w:t xml:space="preserve">undertake </w:t>
      </w:r>
      <w:r w:rsidR="004A3F6F" w:rsidRPr="00A61E2C">
        <w:rPr>
          <w:bCs/>
        </w:rPr>
        <w:t>independent research, investigations and case reviews of deaths that occur in a DFV context (either individually or as a group of cases with common features)</w:t>
      </w:r>
      <w:r>
        <w:rPr>
          <w:bCs/>
        </w:rPr>
        <w:t>;</w:t>
      </w:r>
    </w:p>
    <w:p w14:paraId="36B24529" w14:textId="38C55B0E" w:rsidR="004A3F6F" w:rsidRPr="00A61E2C" w:rsidRDefault="009C5ED6" w:rsidP="00101C0D">
      <w:pPr>
        <w:pStyle w:val="ListParagraph"/>
        <w:numPr>
          <w:ilvl w:val="0"/>
          <w:numId w:val="67"/>
        </w:numPr>
        <w:ind w:left="567" w:hanging="567"/>
        <w:rPr>
          <w:bCs/>
        </w:rPr>
      </w:pPr>
      <w:r w:rsidRPr="00A61E2C">
        <w:rPr>
          <w:bCs/>
        </w:rPr>
        <w:t xml:space="preserve">source </w:t>
      </w:r>
      <w:r w:rsidR="004A3F6F" w:rsidRPr="00A61E2C">
        <w:rPr>
          <w:bCs/>
        </w:rPr>
        <w:t>additional inf</w:t>
      </w:r>
      <w:r>
        <w:rPr>
          <w:bCs/>
        </w:rPr>
        <w:t>ormation to inform case reviews;</w:t>
      </w:r>
    </w:p>
    <w:p w14:paraId="7013F9A1" w14:textId="11EF4D18" w:rsidR="004A3F6F" w:rsidRPr="00A61E2C" w:rsidRDefault="009C5ED6" w:rsidP="00101C0D">
      <w:pPr>
        <w:pStyle w:val="ListParagraph"/>
        <w:numPr>
          <w:ilvl w:val="0"/>
          <w:numId w:val="67"/>
        </w:numPr>
        <w:ind w:left="567" w:hanging="567"/>
        <w:rPr>
          <w:bCs/>
        </w:rPr>
      </w:pPr>
      <w:r w:rsidRPr="00A61E2C">
        <w:rPr>
          <w:bCs/>
        </w:rPr>
        <w:t xml:space="preserve">identify </w:t>
      </w:r>
      <w:r w:rsidR="004A3F6F" w:rsidRPr="00A61E2C">
        <w:rPr>
          <w:bCs/>
        </w:rPr>
        <w:t>fatality risk factors to inform risk assessment frameworks and for other purposes</w:t>
      </w:r>
      <w:r>
        <w:rPr>
          <w:bCs/>
        </w:rPr>
        <w:t>;</w:t>
      </w:r>
    </w:p>
    <w:p w14:paraId="495C771F" w14:textId="5036CD48" w:rsidR="004A3F6F" w:rsidRPr="00A61E2C" w:rsidRDefault="009C5ED6" w:rsidP="00101C0D">
      <w:pPr>
        <w:pStyle w:val="ListParagraph"/>
        <w:numPr>
          <w:ilvl w:val="0"/>
          <w:numId w:val="67"/>
        </w:numPr>
        <w:ind w:left="567" w:hanging="567"/>
        <w:rPr>
          <w:bCs/>
        </w:rPr>
      </w:pPr>
      <w:r w:rsidRPr="00A61E2C">
        <w:rPr>
          <w:bCs/>
        </w:rPr>
        <w:t xml:space="preserve">develop </w:t>
      </w:r>
      <w:r w:rsidR="004A3F6F" w:rsidRPr="00A61E2C">
        <w:rPr>
          <w:bCs/>
        </w:rPr>
        <w:t xml:space="preserve">recommendations for </w:t>
      </w:r>
      <w:r w:rsidR="00B86EE9">
        <w:rPr>
          <w:bCs/>
        </w:rPr>
        <w:t>systems</w:t>
      </w:r>
      <w:r w:rsidR="004A3F6F" w:rsidRPr="00A61E2C">
        <w:rPr>
          <w:bCs/>
        </w:rPr>
        <w:t xml:space="preserve"> change across agencies and non-government agencies (including legislation, policies, practices and services and inform the NT’s DFV Risk Assessment and Management Framework)</w:t>
      </w:r>
      <w:r>
        <w:rPr>
          <w:bCs/>
        </w:rPr>
        <w:t>;</w:t>
      </w:r>
    </w:p>
    <w:p w14:paraId="7B52ADCF" w14:textId="7E604FDA" w:rsidR="004A3F6F" w:rsidRPr="00A61E2C" w:rsidRDefault="009C5ED6" w:rsidP="00101C0D">
      <w:pPr>
        <w:pStyle w:val="ListParagraph"/>
        <w:numPr>
          <w:ilvl w:val="0"/>
          <w:numId w:val="67"/>
        </w:numPr>
        <w:ind w:left="567" w:hanging="567"/>
        <w:rPr>
          <w:bCs/>
        </w:rPr>
      </w:pPr>
      <w:r w:rsidRPr="00A61E2C">
        <w:rPr>
          <w:bCs/>
        </w:rPr>
        <w:t xml:space="preserve">monitor </w:t>
      </w:r>
      <w:r w:rsidR="004A3F6F" w:rsidRPr="00A61E2C">
        <w:rPr>
          <w:bCs/>
        </w:rPr>
        <w:t>the progress and uptake of recommendations</w:t>
      </w:r>
      <w:r>
        <w:rPr>
          <w:bCs/>
        </w:rPr>
        <w:t>;</w:t>
      </w:r>
    </w:p>
    <w:p w14:paraId="2DE2DE54" w14:textId="480E7DC0" w:rsidR="004A3F6F" w:rsidRPr="00A61E2C" w:rsidRDefault="009C5ED6" w:rsidP="00101C0D">
      <w:pPr>
        <w:pStyle w:val="ListParagraph"/>
        <w:numPr>
          <w:ilvl w:val="0"/>
          <w:numId w:val="67"/>
        </w:numPr>
        <w:spacing w:after="160"/>
        <w:ind w:left="567" w:hanging="567"/>
        <w:rPr>
          <w:bCs/>
        </w:rPr>
      </w:pPr>
      <w:r w:rsidRPr="00A61E2C">
        <w:rPr>
          <w:bCs/>
        </w:rPr>
        <w:t xml:space="preserve">report </w:t>
      </w:r>
      <w:r w:rsidR="004A3F6F" w:rsidRPr="00A61E2C">
        <w:rPr>
          <w:bCs/>
        </w:rPr>
        <w:t>to the public and parliament on its work and recommendations.</w:t>
      </w:r>
    </w:p>
    <w:p w14:paraId="7D6467AF" w14:textId="4ABCBE36" w:rsidR="00D20BA5" w:rsidRDefault="00B40A70" w:rsidP="009C5ED6">
      <w:pPr>
        <w:pStyle w:val="Heading4"/>
        <w:keepNext/>
        <w:numPr>
          <w:ilvl w:val="0"/>
          <w:numId w:val="0"/>
        </w:numPr>
        <w:spacing w:after="0" w:line="259" w:lineRule="auto"/>
        <w:rPr>
          <w:lang w:eastAsia="en-AU"/>
        </w:rPr>
      </w:pPr>
      <w:r>
        <w:rPr>
          <w:lang w:eastAsia="en-AU"/>
        </w:rPr>
        <w:t>PROPOSAL SR 26</w:t>
      </w:r>
    </w:p>
    <w:p w14:paraId="28729BB9" w14:textId="2DD9EFF7" w:rsidR="009F0A49" w:rsidRDefault="009F0A49" w:rsidP="009C5ED6">
      <w:pPr>
        <w:keepNext/>
        <w:spacing w:after="0" w:line="259" w:lineRule="auto"/>
        <w:rPr>
          <w:b/>
        </w:rPr>
      </w:pPr>
      <w:r>
        <w:rPr>
          <w:b/>
        </w:rPr>
        <w:t>It is proposed that</w:t>
      </w:r>
      <w:r w:rsidR="00101C0D">
        <w:rPr>
          <w:b/>
        </w:rPr>
        <w:t>,</w:t>
      </w:r>
      <w:r>
        <w:rPr>
          <w:b/>
        </w:rPr>
        <w:t xml:space="preserve"> as part of the </w:t>
      </w:r>
      <w:r w:rsidR="00E37E7C">
        <w:rPr>
          <w:b/>
        </w:rPr>
        <w:t>DFSV-ICRO</w:t>
      </w:r>
      <w:r>
        <w:rPr>
          <w:b/>
        </w:rPr>
        <w:t xml:space="preserve"> reform agenda</w:t>
      </w:r>
      <w:r w:rsidR="00101C0D">
        <w:rPr>
          <w:b/>
        </w:rPr>
        <w:t>,</w:t>
      </w:r>
      <w:r w:rsidR="00585FCD">
        <w:rPr>
          <w:b/>
        </w:rPr>
        <w:t xml:space="preserve"> </w:t>
      </w:r>
      <w:r w:rsidR="00101C0D">
        <w:rPr>
          <w:b/>
        </w:rPr>
        <w:t>consideration be given to</w:t>
      </w:r>
      <w:r>
        <w:rPr>
          <w:b/>
        </w:rPr>
        <w:t>:</w:t>
      </w:r>
    </w:p>
    <w:p w14:paraId="0FEA99D7" w14:textId="45D5F12B" w:rsidR="00A33D9E" w:rsidRDefault="009F0A49" w:rsidP="00101C0D">
      <w:pPr>
        <w:pStyle w:val="ListParagraph"/>
        <w:numPr>
          <w:ilvl w:val="0"/>
          <w:numId w:val="140"/>
        </w:numPr>
        <w:spacing w:after="0" w:line="259" w:lineRule="auto"/>
        <w:ind w:left="567" w:hanging="567"/>
        <w:rPr>
          <w:b/>
        </w:rPr>
      </w:pPr>
      <w:r w:rsidRPr="009F0A49">
        <w:rPr>
          <w:b/>
        </w:rPr>
        <w:t>e</w:t>
      </w:r>
      <w:r w:rsidR="00F2157E" w:rsidRPr="009F0A49">
        <w:rPr>
          <w:b/>
        </w:rPr>
        <w:t>stablish</w:t>
      </w:r>
      <w:r w:rsidR="00101C0D">
        <w:rPr>
          <w:b/>
        </w:rPr>
        <w:t>ing</w:t>
      </w:r>
      <w:r w:rsidR="00F2157E" w:rsidRPr="009F0A49">
        <w:rPr>
          <w:b/>
        </w:rPr>
        <w:t xml:space="preserve"> a </w:t>
      </w:r>
      <w:r w:rsidR="009A104D">
        <w:rPr>
          <w:b/>
        </w:rPr>
        <w:t xml:space="preserve">model for a </w:t>
      </w:r>
      <w:r w:rsidR="00F2157E" w:rsidRPr="009F0A49">
        <w:rPr>
          <w:b/>
        </w:rPr>
        <w:t>systems-driven DFV Death Review</w:t>
      </w:r>
      <w:r w:rsidR="009A104D">
        <w:rPr>
          <w:b/>
        </w:rPr>
        <w:t xml:space="preserve"> Process in the NT;</w:t>
      </w:r>
    </w:p>
    <w:p w14:paraId="448A30A4" w14:textId="4E473E79" w:rsidR="009A104D" w:rsidRDefault="009A104D" w:rsidP="00101C0D">
      <w:pPr>
        <w:pStyle w:val="ListParagraph"/>
        <w:numPr>
          <w:ilvl w:val="0"/>
          <w:numId w:val="140"/>
        </w:numPr>
        <w:spacing w:after="0" w:line="259" w:lineRule="auto"/>
        <w:ind w:left="567" w:hanging="567"/>
        <w:rPr>
          <w:b/>
        </w:rPr>
      </w:pPr>
      <w:r>
        <w:rPr>
          <w:b/>
        </w:rPr>
        <w:t>includ</w:t>
      </w:r>
      <w:r w:rsidR="00101C0D">
        <w:rPr>
          <w:b/>
        </w:rPr>
        <w:t>ing</w:t>
      </w:r>
      <w:r>
        <w:rPr>
          <w:b/>
        </w:rPr>
        <w:t xml:space="preserve"> </w:t>
      </w:r>
      <w:r w:rsidR="00585FCD">
        <w:rPr>
          <w:b/>
        </w:rPr>
        <w:t xml:space="preserve">consideration of </w:t>
      </w:r>
      <w:r>
        <w:rPr>
          <w:b/>
        </w:rPr>
        <w:t>funding to implement the model for a DFV Death Review Process in the NT;</w:t>
      </w:r>
      <w:r w:rsidR="009C5ED6">
        <w:rPr>
          <w:b/>
        </w:rPr>
        <w:t xml:space="preserve"> and</w:t>
      </w:r>
    </w:p>
    <w:p w14:paraId="42B17C02" w14:textId="3204D026" w:rsidR="009A104D" w:rsidRPr="009F0A49" w:rsidRDefault="00101C0D" w:rsidP="00101C0D">
      <w:pPr>
        <w:pStyle w:val="ListParagraph"/>
        <w:numPr>
          <w:ilvl w:val="0"/>
          <w:numId w:val="140"/>
        </w:numPr>
        <w:spacing w:line="259" w:lineRule="auto"/>
        <w:ind w:left="567" w:hanging="567"/>
        <w:rPr>
          <w:b/>
        </w:rPr>
      </w:pPr>
      <w:r>
        <w:rPr>
          <w:b/>
        </w:rPr>
        <w:t xml:space="preserve">linking </w:t>
      </w:r>
      <w:r w:rsidR="009C5ED6">
        <w:rPr>
          <w:b/>
        </w:rPr>
        <w:t xml:space="preserve">the </w:t>
      </w:r>
      <w:r w:rsidR="009A104D">
        <w:rPr>
          <w:b/>
        </w:rPr>
        <w:t xml:space="preserve">DFV Death Review Process </w:t>
      </w:r>
      <w:r w:rsidR="00D85C99">
        <w:rPr>
          <w:b/>
        </w:rPr>
        <w:t xml:space="preserve">to </w:t>
      </w:r>
      <w:r w:rsidR="00585FCD">
        <w:rPr>
          <w:b/>
        </w:rPr>
        <w:t xml:space="preserve">the ongoing </w:t>
      </w:r>
      <w:r w:rsidR="006A3AF5">
        <w:rPr>
          <w:b/>
        </w:rPr>
        <w:t xml:space="preserve">inter-agency </w:t>
      </w:r>
      <w:r w:rsidR="00585FCD">
        <w:rPr>
          <w:b/>
        </w:rPr>
        <w:t>leadership and govern</w:t>
      </w:r>
      <w:r w:rsidR="00D54AF2">
        <w:rPr>
          <w:b/>
        </w:rPr>
        <w:t>ance</w:t>
      </w:r>
      <w:r w:rsidR="00661077">
        <w:rPr>
          <w:b/>
        </w:rPr>
        <w:t xml:space="preserve"> structure for DFSV going forward.</w:t>
      </w:r>
    </w:p>
    <w:p w14:paraId="2F68E542" w14:textId="2F65BA4B" w:rsidR="00B851CA" w:rsidRDefault="00D54AF2" w:rsidP="009C5ED6">
      <w:pPr>
        <w:pStyle w:val="Heading2"/>
        <w:ind w:left="1134"/>
        <w:rPr>
          <w:lang w:eastAsia="en-AU"/>
        </w:rPr>
      </w:pPr>
      <w:bookmarkStart w:id="127" w:name="_Toc112051910"/>
      <w:r>
        <w:rPr>
          <w:lang w:eastAsia="en-AU"/>
        </w:rPr>
        <w:t>Ongoing inter-agency l</w:t>
      </w:r>
      <w:r w:rsidR="00B851CA">
        <w:rPr>
          <w:lang w:eastAsia="en-AU"/>
        </w:rPr>
        <w:t>eadership and governance</w:t>
      </w:r>
      <w:bookmarkEnd w:id="127"/>
      <w:r>
        <w:rPr>
          <w:lang w:eastAsia="en-AU"/>
        </w:rPr>
        <w:t xml:space="preserve"> </w:t>
      </w:r>
    </w:p>
    <w:p w14:paraId="7D467F4E" w14:textId="532A772E" w:rsidR="0019481A" w:rsidRDefault="00D54AF2" w:rsidP="00E14F23">
      <w:pPr>
        <w:rPr>
          <w:lang w:eastAsia="en-AU"/>
        </w:rPr>
      </w:pPr>
      <w:r>
        <w:rPr>
          <w:lang w:eastAsia="en-AU"/>
        </w:rPr>
        <w:t>O</w:t>
      </w:r>
      <w:r w:rsidR="003D3C4E">
        <w:rPr>
          <w:lang w:eastAsia="en-AU"/>
        </w:rPr>
        <w:t xml:space="preserve">ne of the tasks of the </w:t>
      </w:r>
      <w:r w:rsidR="00E37E7C">
        <w:rPr>
          <w:lang w:eastAsia="en-AU"/>
        </w:rPr>
        <w:t>DFSV-ICRO</w:t>
      </w:r>
      <w:r w:rsidR="00B07A07">
        <w:rPr>
          <w:lang w:eastAsia="en-AU"/>
        </w:rPr>
        <w:t xml:space="preserve"> in its </w:t>
      </w:r>
      <w:r w:rsidR="003D3C4E">
        <w:rPr>
          <w:lang w:eastAsia="en-AU"/>
        </w:rPr>
        <w:t xml:space="preserve">12 months </w:t>
      </w:r>
      <w:r w:rsidR="00B07A07">
        <w:rPr>
          <w:lang w:eastAsia="en-AU"/>
        </w:rPr>
        <w:t xml:space="preserve">of operation </w:t>
      </w:r>
      <w:r w:rsidR="009B2F9F">
        <w:rPr>
          <w:lang w:eastAsia="en-AU"/>
        </w:rPr>
        <w:t>is to recommend an appropriate</w:t>
      </w:r>
      <w:r w:rsidR="003D3C4E">
        <w:rPr>
          <w:lang w:eastAsia="en-AU"/>
        </w:rPr>
        <w:t xml:space="preserve"> inter-agency leaders</w:t>
      </w:r>
      <w:r w:rsidR="009B2F9F">
        <w:rPr>
          <w:lang w:eastAsia="en-AU"/>
        </w:rPr>
        <w:t xml:space="preserve">hip and governance structure </w:t>
      </w:r>
      <w:r w:rsidR="00661077">
        <w:rPr>
          <w:lang w:eastAsia="en-AU"/>
        </w:rPr>
        <w:t xml:space="preserve">for the NTG </w:t>
      </w:r>
      <w:r w:rsidR="009B2F9F">
        <w:rPr>
          <w:lang w:eastAsia="en-AU"/>
        </w:rPr>
        <w:t>to prevent and respond</w:t>
      </w:r>
      <w:r w:rsidR="003D3C4E">
        <w:rPr>
          <w:lang w:eastAsia="en-AU"/>
        </w:rPr>
        <w:t xml:space="preserve"> to DFV going forward.</w:t>
      </w:r>
      <w:r w:rsidR="0019481A">
        <w:rPr>
          <w:lang w:eastAsia="en-AU"/>
        </w:rPr>
        <w:t xml:space="preserve"> </w:t>
      </w:r>
    </w:p>
    <w:p w14:paraId="381A4E21" w14:textId="4B7C5E9D" w:rsidR="003D3C4E" w:rsidRDefault="0019481A" w:rsidP="00E14F23">
      <w:pPr>
        <w:rPr>
          <w:lang w:eastAsia="en-AU"/>
        </w:rPr>
      </w:pPr>
      <w:r>
        <w:rPr>
          <w:lang w:eastAsia="en-AU"/>
        </w:rPr>
        <w:t>A mechanism or structure of this kind will be necessary to</w:t>
      </w:r>
      <w:r w:rsidR="00D650F1">
        <w:rPr>
          <w:lang w:eastAsia="en-AU"/>
        </w:rPr>
        <w:t xml:space="preserve"> </w:t>
      </w:r>
      <w:r w:rsidR="00B07A07">
        <w:rPr>
          <w:lang w:eastAsia="en-AU"/>
        </w:rPr>
        <w:t>maintain the momentum for</w:t>
      </w:r>
      <w:r w:rsidR="00D54AF2">
        <w:rPr>
          <w:lang w:eastAsia="en-AU"/>
        </w:rPr>
        <w:t xml:space="preserve"> DFSV </w:t>
      </w:r>
      <w:r w:rsidR="00B07A07">
        <w:rPr>
          <w:lang w:eastAsia="en-AU"/>
        </w:rPr>
        <w:t>reform</w:t>
      </w:r>
      <w:r w:rsidR="00D650F1">
        <w:rPr>
          <w:lang w:eastAsia="en-AU"/>
        </w:rPr>
        <w:t xml:space="preserve"> over time, </w:t>
      </w:r>
      <w:r w:rsidR="009B2F9F">
        <w:rPr>
          <w:lang w:eastAsia="en-AU"/>
        </w:rPr>
        <w:t xml:space="preserve">and ensure that </w:t>
      </w:r>
      <w:r>
        <w:rPr>
          <w:lang w:eastAsia="en-AU"/>
        </w:rPr>
        <w:t xml:space="preserve">DFV </w:t>
      </w:r>
      <w:r w:rsidR="009B2F9F">
        <w:rPr>
          <w:lang w:eastAsia="en-AU"/>
        </w:rPr>
        <w:t xml:space="preserve">reforms are implemented with an appropriate degree of inter-agency collaboration as part of an integrated system. </w:t>
      </w:r>
    </w:p>
    <w:p w14:paraId="20C2B0D7" w14:textId="4A52B5A0" w:rsidR="00CA101A" w:rsidRDefault="0019481A" w:rsidP="00BB7526">
      <w:pPr>
        <w:rPr>
          <w:lang w:eastAsia="en-AU"/>
        </w:rPr>
      </w:pPr>
      <w:r>
        <w:rPr>
          <w:lang w:eastAsia="en-AU"/>
        </w:rPr>
        <w:t xml:space="preserve">It is proposed that the </w:t>
      </w:r>
      <w:r w:rsidR="00B86EE9">
        <w:rPr>
          <w:lang w:eastAsia="en-AU"/>
        </w:rPr>
        <w:t>systems</w:t>
      </w:r>
      <w:r>
        <w:rPr>
          <w:lang w:eastAsia="en-AU"/>
        </w:rPr>
        <w:t xml:space="preserve"> reforms identified in this review (s</w:t>
      </w:r>
      <w:r w:rsidR="00A41C91">
        <w:rPr>
          <w:lang w:eastAsia="en-AU"/>
        </w:rPr>
        <w:t>ee part 5</w:t>
      </w:r>
      <w:r>
        <w:rPr>
          <w:lang w:eastAsia="en-AU"/>
        </w:rPr>
        <w:t xml:space="preserve">) </w:t>
      </w:r>
      <w:r w:rsidR="00661077">
        <w:rPr>
          <w:lang w:eastAsia="en-AU"/>
        </w:rPr>
        <w:t>be integr</w:t>
      </w:r>
      <w:r>
        <w:rPr>
          <w:lang w:eastAsia="en-AU"/>
        </w:rPr>
        <w:t xml:space="preserve">ated into </w:t>
      </w:r>
      <w:r w:rsidR="00E37E7C">
        <w:rPr>
          <w:lang w:eastAsia="en-AU"/>
        </w:rPr>
        <w:t>DFSV-ICRO</w:t>
      </w:r>
      <w:r>
        <w:rPr>
          <w:lang w:eastAsia="en-AU"/>
        </w:rPr>
        <w:t>s reform agenda for the purpose of ensuring a co-ordinated inter-agency approach to DFV reform in the NT.</w:t>
      </w:r>
    </w:p>
    <w:p w14:paraId="583C3B72" w14:textId="1722E12F" w:rsidR="003201A0" w:rsidRDefault="00E36A8E" w:rsidP="009C5ED6">
      <w:pPr>
        <w:pStyle w:val="Heading2"/>
        <w:ind w:left="1134"/>
        <w:rPr>
          <w:lang w:eastAsia="en-AU"/>
        </w:rPr>
      </w:pPr>
      <w:bookmarkStart w:id="128" w:name="_Toc112051911"/>
      <w:r>
        <w:rPr>
          <w:lang w:eastAsia="en-AU"/>
        </w:rPr>
        <w:lastRenderedPageBreak/>
        <w:t>Questions to consider</w:t>
      </w:r>
      <w:r w:rsidR="004A4525">
        <w:rPr>
          <w:lang w:eastAsia="en-AU"/>
        </w:rPr>
        <w:t xml:space="preserve"> – Systemic reforms</w:t>
      </w:r>
      <w:bookmarkEnd w:id="128"/>
    </w:p>
    <w:p w14:paraId="1F45DB6A" w14:textId="6B7A6F9A" w:rsidR="005326D5" w:rsidRDefault="009B7DB6" w:rsidP="009C5ED6">
      <w:pPr>
        <w:rPr>
          <w:lang w:eastAsia="en-AU"/>
        </w:rPr>
      </w:pPr>
      <w:r>
        <w:rPr>
          <w:lang w:eastAsia="en-AU"/>
        </w:rPr>
        <w:t>The following questions are for consideration:</w:t>
      </w:r>
    </w:p>
    <w:p w14:paraId="7E4B877E" w14:textId="292B25AD" w:rsidR="007B0BFE" w:rsidRDefault="007B0BFE" w:rsidP="004C0CF3">
      <w:pPr>
        <w:pStyle w:val="ListParagraph"/>
        <w:numPr>
          <w:ilvl w:val="0"/>
          <w:numId w:val="166"/>
        </w:numPr>
        <w:spacing w:after="200"/>
        <w:ind w:left="567" w:hanging="567"/>
        <w:rPr>
          <w:lang w:eastAsia="en-AU"/>
        </w:rPr>
      </w:pPr>
      <w:r>
        <w:rPr>
          <w:lang w:eastAsia="en-AU"/>
        </w:rPr>
        <w:t xml:space="preserve">Which of the </w:t>
      </w:r>
      <w:r w:rsidR="000E0C8C">
        <w:rPr>
          <w:lang w:eastAsia="en-AU"/>
        </w:rPr>
        <w:t xml:space="preserve">proposed </w:t>
      </w:r>
      <w:r w:rsidR="00B86EE9">
        <w:rPr>
          <w:lang w:eastAsia="en-AU"/>
        </w:rPr>
        <w:t>system</w:t>
      </w:r>
      <w:r w:rsidR="00EB3AB9">
        <w:rPr>
          <w:lang w:eastAsia="en-AU"/>
        </w:rPr>
        <w:t>ic</w:t>
      </w:r>
      <w:r w:rsidR="00EE0672">
        <w:rPr>
          <w:lang w:eastAsia="en-AU"/>
        </w:rPr>
        <w:t xml:space="preserve"> reforms </w:t>
      </w:r>
      <w:r>
        <w:rPr>
          <w:lang w:eastAsia="en-AU"/>
        </w:rPr>
        <w:t>do you support?</w:t>
      </w:r>
      <w:r w:rsidR="00EB3AB9">
        <w:rPr>
          <w:lang w:eastAsia="en-AU"/>
        </w:rPr>
        <w:t xml:space="preserve"> </w:t>
      </w:r>
      <w:r w:rsidR="009C5ED6">
        <w:rPr>
          <w:lang w:eastAsia="en-AU"/>
        </w:rPr>
        <w:t xml:space="preserve"> </w:t>
      </w:r>
      <w:r w:rsidR="00EB3AB9">
        <w:rPr>
          <w:lang w:eastAsia="en-AU"/>
        </w:rPr>
        <w:t>Which do you consider to be a priority?</w:t>
      </w:r>
    </w:p>
    <w:p w14:paraId="2DDA25D9" w14:textId="7BA41951" w:rsidR="002177F3" w:rsidRDefault="007B0BFE" w:rsidP="004C0CF3">
      <w:pPr>
        <w:pStyle w:val="ListParagraph"/>
        <w:numPr>
          <w:ilvl w:val="0"/>
          <w:numId w:val="166"/>
        </w:numPr>
        <w:spacing w:after="200"/>
        <w:ind w:left="567" w:hanging="567"/>
        <w:rPr>
          <w:lang w:eastAsia="en-AU"/>
        </w:rPr>
      </w:pPr>
      <w:r>
        <w:rPr>
          <w:lang w:eastAsia="en-AU"/>
        </w:rPr>
        <w:t xml:space="preserve">Which of the </w:t>
      </w:r>
      <w:r w:rsidR="00EE0672">
        <w:rPr>
          <w:lang w:eastAsia="en-AU"/>
        </w:rPr>
        <w:t xml:space="preserve">proposed </w:t>
      </w:r>
      <w:r w:rsidR="00EB3AB9">
        <w:rPr>
          <w:lang w:eastAsia="en-AU"/>
        </w:rPr>
        <w:t>systemic</w:t>
      </w:r>
      <w:r>
        <w:rPr>
          <w:lang w:eastAsia="en-AU"/>
        </w:rPr>
        <w:t xml:space="preserve"> reforms do you not support?</w:t>
      </w:r>
    </w:p>
    <w:p w14:paraId="4A1C0ABA" w14:textId="7555C941" w:rsidR="004A4525" w:rsidRDefault="004A4525" w:rsidP="004C0CF3">
      <w:pPr>
        <w:pStyle w:val="ListParagraph"/>
        <w:numPr>
          <w:ilvl w:val="0"/>
          <w:numId w:val="166"/>
        </w:numPr>
        <w:spacing w:after="200"/>
        <w:ind w:left="567" w:hanging="567"/>
        <w:rPr>
          <w:lang w:eastAsia="en-AU"/>
        </w:rPr>
      </w:pPr>
      <w:r>
        <w:rPr>
          <w:lang w:eastAsia="en-AU"/>
        </w:rPr>
        <w:t>Do you have suggestions to strengthen any of the proposals</w:t>
      </w:r>
      <w:r w:rsidR="006238E4">
        <w:rPr>
          <w:lang w:eastAsia="en-AU"/>
        </w:rPr>
        <w:t xml:space="preserve"> or the approach to DFV overall</w:t>
      </w:r>
      <w:r>
        <w:rPr>
          <w:lang w:eastAsia="en-AU"/>
        </w:rPr>
        <w:t>?</w:t>
      </w:r>
    </w:p>
    <w:p w14:paraId="03A5D08F" w14:textId="2747DC09" w:rsidR="004A4525" w:rsidRDefault="009C5ED6" w:rsidP="002177F3">
      <w:pPr>
        <w:rPr>
          <w:lang w:eastAsia="en-AU"/>
        </w:rPr>
      </w:pPr>
      <w:r>
        <w:rPr>
          <w:lang w:eastAsia="en-AU"/>
        </w:rPr>
        <w:t>AGD</w:t>
      </w:r>
      <w:r w:rsidR="00EE0672">
        <w:rPr>
          <w:lang w:eastAsia="en-AU"/>
        </w:rPr>
        <w:t xml:space="preserve"> provides these questions for guidance only. </w:t>
      </w:r>
      <w:r>
        <w:rPr>
          <w:lang w:eastAsia="en-AU"/>
        </w:rPr>
        <w:t xml:space="preserve"> </w:t>
      </w:r>
      <w:r w:rsidR="00EE0672">
        <w:rPr>
          <w:lang w:eastAsia="en-AU"/>
        </w:rPr>
        <w:t xml:space="preserve">Submissions are not required to address all, or any, of these questions.  Stakeholders are welcome to provide any views </w:t>
      </w:r>
      <w:r w:rsidR="000E0C8C">
        <w:rPr>
          <w:lang w:eastAsia="en-AU"/>
        </w:rPr>
        <w:t>relevant to improving legislation and the justice response to DFV in the NT.</w:t>
      </w:r>
    </w:p>
    <w:p w14:paraId="31E25BFF" w14:textId="77777777" w:rsidR="004A4525" w:rsidRDefault="004A4525">
      <w:pPr>
        <w:rPr>
          <w:lang w:eastAsia="en-AU"/>
        </w:rPr>
      </w:pPr>
      <w:r>
        <w:rPr>
          <w:lang w:eastAsia="en-AU"/>
        </w:rPr>
        <w:br w:type="page"/>
      </w:r>
    </w:p>
    <w:p w14:paraId="2B085A87" w14:textId="77777777" w:rsidR="00DF7AA5" w:rsidRDefault="00FF43FA" w:rsidP="00FF43FA">
      <w:pPr>
        <w:pStyle w:val="Heading1"/>
        <w:rPr>
          <w:lang w:eastAsia="en-AU"/>
        </w:rPr>
      </w:pPr>
      <w:bookmarkStart w:id="129" w:name="_Toc112051912"/>
      <w:r>
        <w:rPr>
          <w:lang w:eastAsia="en-AU"/>
        </w:rPr>
        <w:lastRenderedPageBreak/>
        <w:t>References</w:t>
      </w:r>
      <w:bookmarkEnd w:id="129"/>
    </w:p>
    <w:p w14:paraId="7A85C322" w14:textId="77777777" w:rsidR="006519E7" w:rsidRPr="00D957C4" w:rsidRDefault="006519E7" w:rsidP="009C5ED6">
      <w:pPr>
        <w:rPr>
          <w:rFonts w:asciiTheme="minorHAnsi" w:hAnsiTheme="minorHAnsi"/>
          <w:sz w:val="20"/>
          <w:szCs w:val="20"/>
        </w:rPr>
      </w:pPr>
      <w:r w:rsidRPr="00D957C4">
        <w:rPr>
          <w:rFonts w:asciiTheme="minorHAnsi" w:hAnsiTheme="minorHAnsi"/>
          <w:sz w:val="20"/>
          <w:szCs w:val="20"/>
        </w:rPr>
        <w:t>Australian Bureau of Statistics (ABS) (2020), Recorded Crime, Victimisation, Australia (Released 45100DO 005_2019, Released date 9 July 2020).</w:t>
      </w:r>
    </w:p>
    <w:p w14:paraId="789BE43D" w14:textId="32CECBF0" w:rsidR="00DF7AA5" w:rsidRPr="00D957C4" w:rsidRDefault="00DF7AA5" w:rsidP="009C5ED6">
      <w:pPr>
        <w:rPr>
          <w:rFonts w:asciiTheme="minorHAnsi" w:hAnsiTheme="minorHAnsi"/>
          <w:i/>
          <w:sz w:val="20"/>
          <w:szCs w:val="20"/>
        </w:rPr>
      </w:pPr>
      <w:r w:rsidRPr="00D957C4">
        <w:rPr>
          <w:rFonts w:asciiTheme="minorHAnsi" w:hAnsiTheme="minorHAnsi"/>
          <w:sz w:val="20"/>
          <w:szCs w:val="20"/>
        </w:rPr>
        <w:t xml:space="preserve">Australian Law Reform Commission and New South Wales Law Reform Commission (2010) </w:t>
      </w:r>
      <w:r w:rsidRPr="00D957C4">
        <w:rPr>
          <w:rFonts w:asciiTheme="minorHAnsi" w:hAnsiTheme="minorHAnsi"/>
          <w:i/>
          <w:sz w:val="20"/>
          <w:szCs w:val="20"/>
        </w:rPr>
        <w:t>Family Violence: A National Legal Response, Final Report.</w:t>
      </w:r>
    </w:p>
    <w:p w14:paraId="0EB8F23E" w14:textId="3406F889" w:rsidR="00481319" w:rsidRPr="00481319" w:rsidRDefault="00710AD3" w:rsidP="009C5ED6">
      <w:pPr>
        <w:rPr>
          <w:rFonts w:asciiTheme="minorHAnsi" w:hAnsiTheme="minorHAnsi"/>
          <w:i/>
          <w:sz w:val="20"/>
          <w:szCs w:val="20"/>
        </w:rPr>
      </w:pPr>
      <w:r w:rsidRPr="00D957C4">
        <w:rPr>
          <w:rFonts w:asciiTheme="minorHAnsi" w:hAnsiTheme="minorHAnsi"/>
          <w:sz w:val="20"/>
          <w:szCs w:val="20"/>
        </w:rPr>
        <w:t xml:space="preserve">Australian National Research Organisation on Women’s Safety (ANROWS) (2022) </w:t>
      </w:r>
      <w:r w:rsidRPr="00D957C4">
        <w:rPr>
          <w:rFonts w:asciiTheme="minorHAnsi" w:hAnsiTheme="minorHAnsi"/>
          <w:i/>
          <w:sz w:val="20"/>
          <w:szCs w:val="20"/>
        </w:rPr>
        <w:t>Domestic and family violence lethality: Updated facts about intimate partner homicide</w:t>
      </w:r>
      <w:r w:rsidRPr="00D957C4">
        <w:rPr>
          <w:rFonts w:asciiTheme="minorHAnsi" w:hAnsiTheme="minorHAnsi"/>
          <w:sz w:val="20"/>
          <w:szCs w:val="20"/>
        </w:rPr>
        <w:t xml:space="preserve"> [Fact Sheet] ANROWS.</w:t>
      </w:r>
    </w:p>
    <w:p w14:paraId="0F8FDFCA" w14:textId="3781EEF5" w:rsidR="006519E7" w:rsidRPr="00481319" w:rsidRDefault="006519E7" w:rsidP="009C5ED6">
      <w:pPr>
        <w:pStyle w:val="FootnoteText"/>
        <w:spacing w:after="200"/>
      </w:pPr>
      <w:r w:rsidRPr="00D957C4">
        <w:rPr>
          <w:rFonts w:asciiTheme="minorHAnsi" w:hAnsiTheme="minorHAnsi"/>
        </w:rPr>
        <w:t>Australian National Research Organisation on Women’s Safety (ANROWS) (202</w:t>
      </w:r>
      <w:r w:rsidR="00FB5F65" w:rsidRPr="00D957C4">
        <w:rPr>
          <w:rFonts w:asciiTheme="minorHAnsi" w:hAnsiTheme="minorHAnsi"/>
        </w:rPr>
        <w:t>1</w:t>
      </w:r>
      <w:r w:rsidRPr="00D957C4">
        <w:rPr>
          <w:rFonts w:asciiTheme="minorHAnsi" w:hAnsiTheme="minorHAnsi"/>
        </w:rPr>
        <w:t xml:space="preserve">), </w:t>
      </w:r>
      <w:r w:rsidRPr="00D957C4">
        <w:rPr>
          <w:rFonts w:asciiTheme="minorHAnsi" w:hAnsiTheme="minorHAnsi"/>
          <w:i/>
        </w:rPr>
        <w:t>Policy Brief: Defining and Responding to Coercive Control.</w:t>
      </w:r>
    </w:p>
    <w:p w14:paraId="3F453745" w14:textId="6831E1B4" w:rsidR="009F0BE5" w:rsidRPr="00D957C4" w:rsidRDefault="009F0BE5" w:rsidP="009C5ED6">
      <w:pPr>
        <w:pStyle w:val="FootnoteText"/>
        <w:spacing w:after="200"/>
        <w:rPr>
          <w:rFonts w:asciiTheme="minorHAnsi" w:hAnsiTheme="minorHAnsi"/>
        </w:rPr>
      </w:pPr>
      <w:r w:rsidRPr="00D957C4">
        <w:rPr>
          <w:rFonts w:asciiTheme="minorHAnsi" w:hAnsiTheme="minorHAnsi"/>
        </w:rPr>
        <w:t xml:space="preserve">Australia’s National Research Organisation for Women’s Safety (2021) </w:t>
      </w:r>
      <w:r w:rsidRPr="00D957C4">
        <w:rPr>
          <w:rFonts w:asciiTheme="minorHAnsi" w:hAnsiTheme="minorHAnsi"/>
          <w:i/>
        </w:rPr>
        <w:t>Interventions for perpetrators of domestic, family and sexual violence in Australia</w:t>
      </w:r>
      <w:r w:rsidRPr="00D957C4">
        <w:rPr>
          <w:rFonts w:asciiTheme="minorHAnsi" w:hAnsiTheme="minorHAnsi"/>
        </w:rPr>
        <w:t xml:space="preserve"> (ANROWS Insights, 02/2021). ANROWS.</w:t>
      </w:r>
    </w:p>
    <w:p w14:paraId="1D8903F4" w14:textId="26DB2617" w:rsidR="00AC1E89" w:rsidRPr="00D957C4" w:rsidRDefault="00AC1E89" w:rsidP="009C5ED6">
      <w:pPr>
        <w:pStyle w:val="FootnoteText"/>
        <w:spacing w:after="200"/>
        <w:rPr>
          <w:rFonts w:asciiTheme="minorHAnsi" w:hAnsiTheme="minorHAnsi"/>
          <w:i/>
        </w:rPr>
      </w:pPr>
      <w:r w:rsidRPr="00D957C4">
        <w:rPr>
          <w:rFonts w:asciiTheme="minorHAnsi" w:hAnsiTheme="minorHAnsi"/>
        </w:rPr>
        <w:t xml:space="preserve">Australian National Research Organisation on Women’s Safety (ANROWS) (2018), </w:t>
      </w:r>
      <w:r w:rsidRPr="00D957C4">
        <w:rPr>
          <w:rFonts w:asciiTheme="minorHAnsi" w:hAnsiTheme="minorHAnsi"/>
          <w:i/>
        </w:rPr>
        <w:t xml:space="preserve">National Risk Assessment Principles for Family and Domestic Violence: Quick Reference Guide for Practitioners. </w:t>
      </w:r>
    </w:p>
    <w:p w14:paraId="0A796947" w14:textId="77777777" w:rsidR="00481319" w:rsidRDefault="00481319" w:rsidP="009C5ED6">
      <w:pPr>
        <w:pStyle w:val="FootnoteText"/>
        <w:spacing w:after="200"/>
      </w:pPr>
      <w:r w:rsidRPr="00D957C4">
        <w:rPr>
          <w:rFonts w:asciiTheme="minorHAnsi" w:hAnsiTheme="minorHAnsi"/>
        </w:rPr>
        <w:t xml:space="preserve">Australian National Research Organisation on Women’s Safety </w:t>
      </w:r>
      <w:r>
        <w:rPr>
          <w:rFonts w:asciiTheme="minorHAnsi" w:hAnsiTheme="minorHAnsi"/>
        </w:rPr>
        <w:t>(</w:t>
      </w:r>
      <w:r>
        <w:t xml:space="preserve">ANROWS) (2020) Improving family violence legal and support services for Aboriginal and Torres Strait Islander peoples: Key findings and future directions (Research to policy and practice, 25-26/2020. </w:t>
      </w:r>
    </w:p>
    <w:p w14:paraId="55C048A5" w14:textId="11129130" w:rsidR="004A638B" w:rsidRPr="00D957C4" w:rsidRDefault="004A638B" w:rsidP="009C5ED6">
      <w:pPr>
        <w:pStyle w:val="FootnoteText"/>
        <w:spacing w:after="200"/>
        <w:rPr>
          <w:rFonts w:asciiTheme="minorHAnsi" w:hAnsiTheme="minorHAnsi"/>
        </w:rPr>
      </w:pPr>
      <w:r w:rsidRPr="00D957C4">
        <w:rPr>
          <w:rFonts w:asciiTheme="minorHAnsi" w:hAnsiTheme="minorHAnsi"/>
        </w:rPr>
        <w:t>Australian National Research Organisation on Women’s Safety (ANROWS) and the Australian Domestic and Family Violence Death Review Network (2022</w:t>
      </w:r>
      <w:r w:rsidR="00481319">
        <w:rPr>
          <w:rFonts w:asciiTheme="minorHAnsi" w:hAnsiTheme="minorHAnsi"/>
        </w:rPr>
        <w:t>) (2</w:t>
      </w:r>
      <w:r w:rsidR="00481319" w:rsidRPr="00481319">
        <w:rPr>
          <w:rFonts w:asciiTheme="minorHAnsi" w:hAnsiTheme="minorHAnsi"/>
          <w:vertAlign w:val="superscript"/>
        </w:rPr>
        <w:t>nd</w:t>
      </w:r>
      <w:r w:rsidR="00481319">
        <w:rPr>
          <w:rFonts w:asciiTheme="minorHAnsi" w:hAnsiTheme="minorHAnsi"/>
        </w:rPr>
        <w:t xml:space="preserve"> Ed)</w:t>
      </w:r>
      <w:r w:rsidRPr="00D957C4">
        <w:rPr>
          <w:rFonts w:asciiTheme="minorHAnsi" w:hAnsiTheme="minorHAnsi"/>
        </w:rPr>
        <w:t xml:space="preserve">, </w:t>
      </w:r>
      <w:r w:rsidRPr="00D957C4">
        <w:rPr>
          <w:rFonts w:asciiTheme="minorHAnsi" w:hAnsiTheme="minorHAnsi"/>
          <w:i/>
        </w:rPr>
        <w:t>Intimate Partner Violence Homicides 2010-2018</w:t>
      </w:r>
      <w:r w:rsidRPr="00D957C4">
        <w:rPr>
          <w:rFonts w:asciiTheme="minorHAnsi" w:hAnsiTheme="minorHAnsi"/>
        </w:rPr>
        <w:t xml:space="preserve"> (Australian Domestic and Family Violence Death Review Network Data Report).</w:t>
      </w:r>
    </w:p>
    <w:p w14:paraId="17AFD770" w14:textId="231BA90B" w:rsidR="001E0F87" w:rsidRPr="00D957C4" w:rsidRDefault="001E0F87" w:rsidP="009C5ED6">
      <w:pPr>
        <w:pStyle w:val="FootnoteText"/>
        <w:spacing w:after="200"/>
        <w:rPr>
          <w:rFonts w:asciiTheme="minorHAnsi" w:hAnsiTheme="minorHAnsi"/>
        </w:rPr>
      </w:pPr>
      <w:r w:rsidRPr="00D957C4">
        <w:rPr>
          <w:rFonts w:asciiTheme="minorHAnsi" w:hAnsiTheme="minorHAnsi"/>
        </w:rPr>
        <w:t xml:space="preserve">Australian and New Zealand School of Government (ANZSOG) (2009) </w:t>
      </w:r>
      <w:r w:rsidRPr="00D957C4">
        <w:rPr>
          <w:rFonts w:asciiTheme="minorHAnsi" w:hAnsiTheme="minorHAnsi"/>
          <w:i/>
        </w:rPr>
        <w:t>ANZSOG Case Study Program - Victoria Police and Family Violence</w:t>
      </w:r>
      <w:r w:rsidRPr="00D957C4">
        <w:rPr>
          <w:rFonts w:asciiTheme="minorHAnsi" w:hAnsiTheme="minorHAnsi"/>
        </w:rPr>
        <w:t xml:space="preserve"> (Case Study 2009-94.1) – Written by Marinella Padula, with input from Christine Nixon, Leigh Gassner, Rhonda Cumberland and Wendy Steendam.</w:t>
      </w:r>
    </w:p>
    <w:p w14:paraId="73598F9B" w14:textId="3410A26C" w:rsidR="001E0F87" w:rsidRDefault="001E0F87" w:rsidP="009C5ED6">
      <w:pPr>
        <w:rPr>
          <w:rFonts w:asciiTheme="minorHAnsi" w:hAnsiTheme="minorHAnsi"/>
          <w:sz w:val="20"/>
          <w:szCs w:val="20"/>
        </w:rPr>
      </w:pPr>
      <w:r w:rsidRPr="00D957C4">
        <w:rPr>
          <w:rFonts w:asciiTheme="minorHAnsi" w:hAnsiTheme="minorHAnsi"/>
          <w:sz w:val="20"/>
          <w:szCs w:val="20"/>
        </w:rPr>
        <w:t xml:space="preserve">Australian and New Zealand School of Government (ANZSOG) (2015) </w:t>
      </w:r>
      <w:r w:rsidRPr="00D957C4">
        <w:rPr>
          <w:rFonts w:asciiTheme="minorHAnsi" w:hAnsiTheme="minorHAnsi"/>
          <w:i/>
          <w:sz w:val="20"/>
          <w:szCs w:val="20"/>
        </w:rPr>
        <w:t>ANSZOG Case Study Program - Victoria’s Integrated Family Violence System: From Stalling to Renewal</w:t>
      </w:r>
      <w:r w:rsidRPr="00D957C4">
        <w:rPr>
          <w:rFonts w:asciiTheme="minorHAnsi" w:hAnsiTheme="minorHAnsi"/>
          <w:sz w:val="20"/>
          <w:szCs w:val="20"/>
        </w:rPr>
        <w:t xml:space="preserve"> (Case Study 2015-168.1) – Written by Sophie Yates for Professor Paul ‘t Hart with input from Anne Goldsbrough, Rachael Green, Fiona McCormack, Rodney Vlais, and members of Victoria Police’s Sexual and Family violence Team.</w:t>
      </w:r>
    </w:p>
    <w:p w14:paraId="7D33E71E" w14:textId="6511AE4C" w:rsidR="00A36FC1" w:rsidRPr="00A36FC1" w:rsidRDefault="00A36FC1" w:rsidP="009C5ED6">
      <w:pPr>
        <w:rPr>
          <w:rFonts w:asciiTheme="minorHAnsi" w:hAnsiTheme="minorHAnsi"/>
          <w:sz w:val="20"/>
          <w:szCs w:val="20"/>
        </w:rPr>
      </w:pPr>
      <w:r w:rsidRPr="00A36FC1">
        <w:rPr>
          <w:sz w:val="20"/>
          <w:szCs w:val="20"/>
        </w:rPr>
        <w:t xml:space="preserve">Blagg, H, Tulich, T, Hovane, V, Raye, D, Worrigal, T, and May, S (2020) </w:t>
      </w:r>
      <w:r w:rsidRPr="00A36FC1">
        <w:rPr>
          <w:i/>
          <w:sz w:val="20"/>
          <w:szCs w:val="20"/>
        </w:rPr>
        <w:t>Understanding the role of Law and Culture in Aboriginal and Torres Strait Islander communities in responding to and preventing family violence</w:t>
      </w:r>
      <w:r w:rsidRPr="00A36FC1">
        <w:rPr>
          <w:sz w:val="20"/>
          <w:szCs w:val="20"/>
        </w:rPr>
        <w:t>, Ngarluma/Jaru/Gooniyandi (Hovane), Kimberly and Pilbara region, WA, Jabirr Jabirr/Bardi (Raye), Dampier Peninsula and Kimberl</w:t>
      </w:r>
      <w:r>
        <w:rPr>
          <w:sz w:val="20"/>
          <w:szCs w:val="20"/>
        </w:rPr>
        <w:t>y Region, WA, Gooniyandi/Gija (W</w:t>
      </w:r>
      <w:r w:rsidRPr="00A36FC1">
        <w:rPr>
          <w:sz w:val="20"/>
          <w:szCs w:val="20"/>
        </w:rPr>
        <w:t>orrigal), Kimberly region, WA (Research Report, 19/2020. Sydney: ANROWS.</w:t>
      </w:r>
    </w:p>
    <w:p w14:paraId="2C696AA1" w14:textId="002C9B84" w:rsidR="003C6C88" w:rsidRPr="00D957C4" w:rsidRDefault="003C6C88" w:rsidP="009C5ED6">
      <w:pPr>
        <w:rPr>
          <w:rFonts w:asciiTheme="minorHAnsi" w:hAnsiTheme="minorHAnsi"/>
          <w:sz w:val="20"/>
          <w:szCs w:val="20"/>
        </w:rPr>
      </w:pPr>
      <w:r w:rsidRPr="00D957C4">
        <w:rPr>
          <w:rFonts w:asciiTheme="minorHAnsi" w:hAnsiTheme="minorHAnsi"/>
          <w:sz w:val="20"/>
          <w:szCs w:val="20"/>
        </w:rPr>
        <w:t>Boxall</w:t>
      </w:r>
      <w:r w:rsidR="00CE40B5" w:rsidRPr="00D957C4">
        <w:rPr>
          <w:rFonts w:asciiTheme="minorHAnsi" w:hAnsiTheme="minorHAnsi"/>
          <w:sz w:val="20"/>
          <w:szCs w:val="20"/>
        </w:rPr>
        <w:t>,</w:t>
      </w:r>
      <w:r w:rsidRPr="00D957C4">
        <w:rPr>
          <w:rFonts w:asciiTheme="minorHAnsi" w:hAnsiTheme="minorHAnsi"/>
          <w:sz w:val="20"/>
          <w:szCs w:val="20"/>
        </w:rPr>
        <w:t xml:space="preserve"> H</w:t>
      </w:r>
      <w:r w:rsidR="00CE40B5" w:rsidRPr="00D957C4">
        <w:rPr>
          <w:rFonts w:asciiTheme="minorHAnsi" w:hAnsiTheme="minorHAnsi"/>
          <w:sz w:val="20"/>
          <w:szCs w:val="20"/>
        </w:rPr>
        <w:t>.</w:t>
      </w:r>
      <w:r w:rsidRPr="00D957C4">
        <w:rPr>
          <w:rFonts w:asciiTheme="minorHAnsi" w:hAnsiTheme="minorHAnsi"/>
          <w:sz w:val="20"/>
          <w:szCs w:val="20"/>
        </w:rPr>
        <w:t xml:space="preserve"> &amp; Morgan</w:t>
      </w:r>
      <w:r w:rsidR="00CE40B5" w:rsidRPr="00D957C4">
        <w:rPr>
          <w:rFonts w:asciiTheme="minorHAnsi" w:hAnsiTheme="minorHAnsi"/>
          <w:sz w:val="20"/>
          <w:szCs w:val="20"/>
        </w:rPr>
        <w:t>,</w:t>
      </w:r>
      <w:r w:rsidRPr="00D957C4">
        <w:rPr>
          <w:rFonts w:asciiTheme="minorHAnsi" w:hAnsiTheme="minorHAnsi"/>
          <w:sz w:val="20"/>
          <w:szCs w:val="20"/>
        </w:rPr>
        <w:t xml:space="preserve"> A</w:t>
      </w:r>
      <w:r w:rsidR="00CE40B5" w:rsidRPr="00D957C4">
        <w:rPr>
          <w:rFonts w:asciiTheme="minorHAnsi" w:hAnsiTheme="minorHAnsi"/>
          <w:sz w:val="20"/>
          <w:szCs w:val="20"/>
        </w:rPr>
        <w:t>.</w:t>
      </w:r>
      <w:r w:rsidRPr="00D957C4">
        <w:rPr>
          <w:rFonts w:asciiTheme="minorHAnsi" w:hAnsiTheme="minorHAnsi"/>
          <w:sz w:val="20"/>
          <w:szCs w:val="20"/>
        </w:rPr>
        <w:t xml:space="preserve"> (2021) Experiences of coercive control among Australian women. Statistical Bulletin no. 30. Canberra: Australian Institute of Criminology. </w:t>
      </w:r>
      <w:hyperlink r:id="rId22" w:history="1">
        <w:r w:rsidRPr="00D957C4">
          <w:rPr>
            <w:rStyle w:val="Hyperlink"/>
            <w:rFonts w:asciiTheme="minorHAnsi" w:hAnsiTheme="minorHAnsi"/>
            <w:sz w:val="20"/>
            <w:szCs w:val="20"/>
          </w:rPr>
          <w:t>https://doi.org/10.52922/sb78108</w:t>
        </w:r>
      </w:hyperlink>
    </w:p>
    <w:p w14:paraId="231985CD" w14:textId="5AE73EB2" w:rsidR="00CE40B5" w:rsidRPr="00D957C4" w:rsidRDefault="00CE40B5" w:rsidP="009C5ED6">
      <w:pPr>
        <w:pStyle w:val="FootnoteText"/>
        <w:spacing w:after="200"/>
        <w:rPr>
          <w:rFonts w:asciiTheme="minorHAnsi" w:hAnsiTheme="minorHAnsi"/>
        </w:rPr>
      </w:pPr>
      <w:r w:rsidRPr="00D957C4">
        <w:rPr>
          <w:rFonts w:asciiTheme="minorHAnsi" w:hAnsiTheme="minorHAnsi"/>
        </w:rPr>
        <w:t xml:space="preserve">Brown, C. and Corbo, M. (2020), </w:t>
      </w:r>
      <w:r w:rsidRPr="00D957C4">
        <w:rPr>
          <w:rFonts w:asciiTheme="minorHAnsi" w:hAnsiTheme="minorHAnsi"/>
          <w:i/>
        </w:rPr>
        <w:t>Central Australian Minimum Standards for Men’s Behaviour Change Programs,</w:t>
      </w:r>
      <w:r w:rsidRPr="00D957C4">
        <w:rPr>
          <w:rFonts w:asciiTheme="minorHAnsi" w:hAnsiTheme="minorHAnsi"/>
        </w:rPr>
        <w:t xml:space="preserve"> Tangentyere Council, August 2020.</w:t>
      </w:r>
    </w:p>
    <w:p w14:paraId="6145B568" w14:textId="694DE896" w:rsidR="00C909FC" w:rsidRPr="00D957C4" w:rsidRDefault="00C909FC" w:rsidP="009C5ED6">
      <w:pPr>
        <w:pStyle w:val="FootnoteText"/>
        <w:spacing w:after="200"/>
        <w:rPr>
          <w:rFonts w:asciiTheme="minorHAnsi" w:hAnsiTheme="minorHAnsi"/>
        </w:rPr>
      </w:pPr>
      <w:r w:rsidRPr="00D957C4">
        <w:rPr>
          <w:rFonts w:asciiTheme="minorHAnsi" w:hAnsiTheme="minorHAnsi"/>
        </w:rPr>
        <w:t xml:space="preserve">Department of Territory Families, Housing and Communities (2018), </w:t>
      </w:r>
      <w:r w:rsidRPr="00D957C4">
        <w:rPr>
          <w:rFonts w:asciiTheme="minorHAnsi" w:hAnsiTheme="minorHAnsi"/>
          <w:i/>
          <w:lang w:eastAsia="en-AU"/>
        </w:rPr>
        <w:t>Northern Territory’s Domestic, Family and Sexual Violence Reduction Framework 2018-2028 ‘Safe, Respected and Free from Violence’</w:t>
      </w:r>
      <w:r w:rsidRPr="00D957C4">
        <w:rPr>
          <w:rFonts w:asciiTheme="minorHAnsi" w:hAnsiTheme="minorHAnsi"/>
          <w:lang w:eastAsia="en-AU"/>
        </w:rPr>
        <w:t xml:space="preserve">.  </w:t>
      </w:r>
    </w:p>
    <w:p w14:paraId="55ADB82A" w14:textId="76BDEFDA" w:rsidR="006726B8" w:rsidRPr="00D957C4" w:rsidRDefault="006726B8" w:rsidP="009C5ED6">
      <w:pPr>
        <w:pStyle w:val="FootnoteText"/>
        <w:spacing w:after="200"/>
        <w:rPr>
          <w:rFonts w:asciiTheme="minorHAnsi" w:hAnsiTheme="minorHAnsi"/>
        </w:rPr>
      </w:pPr>
      <w:r w:rsidRPr="00D957C4">
        <w:rPr>
          <w:rFonts w:asciiTheme="minorHAnsi" w:hAnsiTheme="minorHAnsi"/>
        </w:rPr>
        <w:t xml:space="preserve">Department of Territory Families, Housing and Communities (2020), </w:t>
      </w:r>
      <w:r w:rsidRPr="00D957C4">
        <w:rPr>
          <w:rFonts w:asciiTheme="minorHAnsi" w:hAnsiTheme="minorHAnsi"/>
          <w:i/>
        </w:rPr>
        <w:t>Northern Territory Domestic and Family Violence Risk Assessment and Management Framewor</w:t>
      </w:r>
      <w:r w:rsidRPr="00D957C4">
        <w:rPr>
          <w:rFonts w:asciiTheme="minorHAnsi" w:hAnsiTheme="minorHAnsi"/>
        </w:rPr>
        <w:t>k.</w:t>
      </w:r>
    </w:p>
    <w:p w14:paraId="632C64CC" w14:textId="60CDE3EC" w:rsidR="00DF7AA5" w:rsidRPr="00D957C4" w:rsidRDefault="00DF7AA5" w:rsidP="009C5ED6">
      <w:pPr>
        <w:rPr>
          <w:rFonts w:asciiTheme="minorHAnsi" w:hAnsiTheme="minorHAnsi"/>
          <w:sz w:val="20"/>
          <w:szCs w:val="20"/>
        </w:rPr>
      </w:pPr>
      <w:r w:rsidRPr="00D957C4">
        <w:rPr>
          <w:rFonts w:asciiTheme="minorHAnsi" w:hAnsiTheme="minorHAnsi"/>
          <w:sz w:val="20"/>
          <w:szCs w:val="20"/>
        </w:rPr>
        <w:t>Douglas, H</w:t>
      </w:r>
      <w:r w:rsidR="009406FD" w:rsidRPr="00D957C4">
        <w:rPr>
          <w:rFonts w:asciiTheme="minorHAnsi" w:hAnsiTheme="minorHAnsi"/>
          <w:sz w:val="20"/>
          <w:szCs w:val="20"/>
        </w:rPr>
        <w:t>.</w:t>
      </w:r>
      <w:r w:rsidRPr="00D957C4">
        <w:rPr>
          <w:rFonts w:asciiTheme="minorHAnsi" w:hAnsiTheme="minorHAnsi"/>
          <w:sz w:val="20"/>
          <w:szCs w:val="20"/>
        </w:rPr>
        <w:t xml:space="preserve"> (2021), </w:t>
      </w:r>
      <w:r w:rsidRPr="00D957C4">
        <w:rPr>
          <w:rFonts w:asciiTheme="minorHAnsi" w:hAnsiTheme="minorHAnsi"/>
          <w:i/>
          <w:sz w:val="20"/>
          <w:szCs w:val="20"/>
        </w:rPr>
        <w:t>Women, Intimate Partner Violence, and the Law</w:t>
      </w:r>
      <w:r w:rsidRPr="00D957C4">
        <w:rPr>
          <w:rFonts w:asciiTheme="minorHAnsi" w:hAnsiTheme="minorHAnsi"/>
          <w:sz w:val="20"/>
          <w:szCs w:val="20"/>
        </w:rPr>
        <w:t>, Oxford University Press.</w:t>
      </w:r>
    </w:p>
    <w:p w14:paraId="1D365F0E" w14:textId="638C21ED" w:rsidR="007C423D" w:rsidRPr="00D957C4" w:rsidRDefault="007C423D" w:rsidP="009C5ED6">
      <w:pPr>
        <w:rPr>
          <w:rFonts w:asciiTheme="minorHAnsi" w:hAnsiTheme="minorHAnsi"/>
          <w:sz w:val="20"/>
          <w:szCs w:val="20"/>
        </w:rPr>
      </w:pPr>
      <w:r w:rsidRPr="00D957C4">
        <w:rPr>
          <w:rFonts w:asciiTheme="minorHAnsi" w:hAnsiTheme="minorHAnsi"/>
          <w:sz w:val="20"/>
          <w:szCs w:val="20"/>
        </w:rPr>
        <w:t>Douglas, H (2019) ‘Policing Domestic and Family Violence’, in International Journal for Crime, Justice and Social Democracy, 8 (2), at p. 31-49.</w:t>
      </w:r>
    </w:p>
    <w:p w14:paraId="3923DCCC" w14:textId="1A96909C" w:rsidR="006D0758" w:rsidRPr="00D957C4" w:rsidRDefault="006D0758" w:rsidP="009C5ED6">
      <w:pPr>
        <w:rPr>
          <w:rFonts w:asciiTheme="minorHAnsi" w:hAnsiTheme="minorHAnsi"/>
          <w:sz w:val="20"/>
          <w:szCs w:val="20"/>
        </w:rPr>
      </w:pPr>
      <w:r w:rsidRPr="00D957C4">
        <w:rPr>
          <w:rFonts w:asciiTheme="minorHAnsi" w:hAnsiTheme="minorHAnsi"/>
          <w:sz w:val="20"/>
          <w:szCs w:val="20"/>
        </w:rPr>
        <w:lastRenderedPageBreak/>
        <w:t xml:space="preserve">Government of South Australia, Attorney-General’s Department (2022), </w:t>
      </w:r>
      <w:r w:rsidRPr="00D957C4">
        <w:rPr>
          <w:rFonts w:asciiTheme="minorHAnsi" w:hAnsiTheme="minorHAnsi"/>
          <w:i/>
          <w:sz w:val="20"/>
          <w:szCs w:val="20"/>
        </w:rPr>
        <w:t>Discussion Paper: Implementation considerations should coercive control be criminalised in South Australia</w:t>
      </w:r>
      <w:r w:rsidRPr="00D957C4">
        <w:rPr>
          <w:rFonts w:asciiTheme="minorHAnsi" w:hAnsiTheme="minorHAnsi"/>
          <w:sz w:val="20"/>
          <w:szCs w:val="20"/>
        </w:rPr>
        <w:t>.</w:t>
      </w:r>
    </w:p>
    <w:p w14:paraId="2FDA4D29" w14:textId="77777777" w:rsidR="009F27FB" w:rsidRPr="00D957C4" w:rsidRDefault="009F27FB" w:rsidP="009C5ED6">
      <w:pPr>
        <w:rPr>
          <w:rFonts w:asciiTheme="minorHAnsi" w:hAnsiTheme="minorHAnsi"/>
          <w:sz w:val="20"/>
          <w:szCs w:val="20"/>
        </w:rPr>
      </w:pPr>
      <w:r w:rsidRPr="00D957C4">
        <w:rPr>
          <w:rFonts w:asciiTheme="minorHAnsi" w:hAnsiTheme="minorHAnsi"/>
          <w:sz w:val="20"/>
          <w:szCs w:val="20"/>
        </w:rPr>
        <w:t xml:space="preserve">Government of Western Australia, Office of the Commissioner for Victims of Crime (2022), </w:t>
      </w:r>
      <w:r w:rsidRPr="00D957C4">
        <w:rPr>
          <w:rFonts w:asciiTheme="minorHAnsi" w:hAnsiTheme="minorHAnsi"/>
          <w:i/>
          <w:iCs/>
          <w:sz w:val="20"/>
          <w:szCs w:val="20"/>
          <w:lang w:eastAsia="en-AU"/>
        </w:rPr>
        <w:t>Legislative Responses to Coercive Control in Western Australia: Discussion Paper.</w:t>
      </w:r>
    </w:p>
    <w:p w14:paraId="7AF53C2C" w14:textId="2D124DC9" w:rsidR="00365B47" w:rsidRPr="00365B47" w:rsidRDefault="00365B47" w:rsidP="009C5ED6">
      <w:pPr>
        <w:rPr>
          <w:rFonts w:asciiTheme="minorHAnsi" w:hAnsiTheme="minorHAnsi"/>
          <w:sz w:val="20"/>
          <w:szCs w:val="20"/>
        </w:rPr>
      </w:pPr>
      <w:r w:rsidRPr="00365B47">
        <w:rPr>
          <w:sz w:val="20"/>
          <w:szCs w:val="20"/>
        </w:rPr>
        <w:t xml:space="preserve">Han, E.L. (2003) ‘Mandatory Arrest and No-Drop Policies: Victim Empowerment in Domestic Violence Cases’, </w:t>
      </w:r>
      <w:r w:rsidRPr="00365B47">
        <w:rPr>
          <w:i/>
          <w:iCs/>
          <w:sz w:val="20"/>
          <w:szCs w:val="20"/>
        </w:rPr>
        <w:t>Boston College Third World Law Journal, 23 (1),</w:t>
      </w:r>
      <w:r w:rsidRPr="00365B47">
        <w:rPr>
          <w:sz w:val="20"/>
          <w:szCs w:val="20"/>
        </w:rPr>
        <w:t xml:space="preserve"> Article 5.</w:t>
      </w:r>
    </w:p>
    <w:p w14:paraId="64CEE992" w14:textId="1CBF88F1" w:rsidR="00DF7AA5" w:rsidRPr="00D957C4" w:rsidRDefault="009406FD" w:rsidP="009C5ED6">
      <w:pPr>
        <w:rPr>
          <w:rFonts w:asciiTheme="minorHAnsi" w:hAnsiTheme="minorHAnsi"/>
          <w:sz w:val="20"/>
          <w:szCs w:val="20"/>
        </w:rPr>
      </w:pPr>
      <w:r w:rsidRPr="00D957C4">
        <w:rPr>
          <w:rFonts w:asciiTheme="minorHAnsi" w:hAnsiTheme="minorHAnsi"/>
          <w:sz w:val="20"/>
          <w:szCs w:val="20"/>
        </w:rPr>
        <w:t xml:space="preserve">Hill, J. (2019), </w:t>
      </w:r>
      <w:r w:rsidRPr="00D957C4">
        <w:rPr>
          <w:rFonts w:asciiTheme="minorHAnsi" w:hAnsiTheme="minorHAnsi"/>
          <w:i/>
          <w:sz w:val="20"/>
          <w:szCs w:val="20"/>
        </w:rPr>
        <w:t>See What You Made Me Do: Power Control and Domestic Abuse</w:t>
      </w:r>
      <w:r w:rsidRPr="00D957C4">
        <w:rPr>
          <w:rFonts w:asciiTheme="minorHAnsi" w:hAnsiTheme="minorHAnsi"/>
          <w:sz w:val="20"/>
          <w:szCs w:val="20"/>
        </w:rPr>
        <w:t xml:space="preserve">, Black Inc. </w:t>
      </w:r>
    </w:p>
    <w:p w14:paraId="43EF0EAF" w14:textId="1F5AE2E4" w:rsidR="0095642C" w:rsidRPr="00D957C4" w:rsidRDefault="0095642C" w:rsidP="009C5ED6">
      <w:pPr>
        <w:rPr>
          <w:rFonts w:asciiTheme="minorHAnsi" w:hAnsiTheme="minorHAnsi"/>
          <w:sz w:val="20"/>
          <w:szCs w:val="20"/>
        </w:rPr>
      </w:pPr>
      <w:r w:rsidRPr="00D957C4">
        <w:rPr>
          <w:rFonts w:asciiTheme="minorHAnsi" w:hAnsiTheme="minorHAnsi"/>
          <w:sz w:val="20"/>
          <w:szCs w:val="20"/>
        </w:rPr>
        <w:t xml:space="preserve">Hill, J. (2020), ‘Is Domestic-Abuse Policing Fit For Purpose?’, </w:t>
      </w:r>
      <w:r w:rsidRPr="00D957C4">
        <w:rPr>
          <w:rFonts w:asciiTheme="minorHAnsi" w:hAnsiTheme="minorHAnsi"/>
          <w:i/>
          <w:sz w:val="20"/>
          <w:szCs w:val="20"/>
        </w:rPr>
        <w:t>Meanjin,</w:t>
      </w:r>
      <w:r w:rsidRPr="00D957C4">
        <w:rPr>
          <w:rFonts w:asciiTheme="minorHAnsi" w:hAnsiTheme="minorHAnsi"/>
          <w:sz w:val="20"/>
          <w:szCs w:val="20"/>
        </w:rPr>
        <w:t xml:space="preserve"> Summer 2020</w:t>
      </w:r>
    </w:p>
    <w:p w14:paraId="3A396E41" w14:textId="4D16B803" w:rsidR="00D83215" w:rsidRPr="00D957C4" w:rsidRDefault="00D83215" w:rsidP="009C5ED6">
      <w:pPr>
        <w:rPr>
          <w:rFonts w:asciiTheme="minorHAnsi" w:hAnsiTheme="minorHAnsi"/>
          <w:i/>
          <w:sz w:val="20"/>
          <w:szCs w:val="20"/>
        </w:rPr>
      </w:pPr>
      <w:r w:rsidRPr="00D957C4">
        <w:rPr>
          <w:rFonts w:asciiTheme="minorHAnsi" w:hAnsiTheme="minorHAnsi"/>
          <w:i/>
          <w:sz w:val="20"/>
          <w:szCs w:val="20"/>
        </w:rPr>
        <w:t>Inquest into the deaths of Fionica Yarranganlagi James, Keturah Cheralyn Mamarika and Layla Leering</w:t>
      </w:r>
      <w:r w:rsidRPr="00D957C4">
        <w:rPr>
          <w:rFonts w:asciiTheme="minorHAnsi" w:hAnsiTheme="minorHAnsi"/>
          <w:sz w:val="20"/>
          <w:szCs w:val="20"/>
        </w:rPr>
        <w:t xml:space="preserve"> [2020] NTLC 022.</w:t>
      </w:r>
    </w:p>
    <w:p w14:paraId="2F6557A1" w14:textId="1B1C06A7" w:rsidR="001A6A46" w:rsidRPr="00D957C4" w:rsidRDefault="000A25E8" w:rsidP="009C5ED6">
      <w:pPr>
        <w:rPr>
          <w:rFonts w:asciiTheme="minorHAnsi" w:hAnsiTheme="minorHAnsi"/>
          <w:iCs/>
          <w:sz w:val="20"/>
          <w:szCs w:val="20"/>
        </w:rPr>
      </w:pPr>
      <w:r w:rsidRPr="00D957C4">
        <w:rPr>
          <w:rFonts w:asciiTheme="minorHAnsi" w:hAnsiTheme="minorHAnsi"/>
          <w:i/>
          <w:sz w:val="20"/>
          <w:szCs w:val="20"/>
        </w:rPr>
        <w:t xml:space="preserve">Inquest into the deaths of Wendy Murphy and Natalie McCormack </w:t>
      </w:r>
      <w:r w:rsidRPr="00D957C4">
        <w:rPr>
          <w:rFonts w:asciiTheme="minorHAnsi" w:hAnsiTheme="minorHAnsi"/>
          <w:iCs/>
          <w:sz w:val="20"/>
          <w:szCs w:val="20"/>
        </w:rPr>
        <w:t>[2016</w:t>
      </w:r>
      <w:r w:rsidR="001D5DFB" w:rsidRPr="00D957C4">
        <w:rPr>
          <w:rFonts w:asciiTheme="minorHAnsi" w:hAnsiTheme="minorHAnsi"/>
          <w:iCs/>
          <w:sz w:val="20"/>
          <w:szCs w:val="20"/>
        </w:rPr>
        <w:t>] NTLC 024.</w:t>
      </w:r>
    </w:p>
    <w:p w14:paraId="1D37ED64" w14:textId="6E9C461B" w:rsidR="001D5DFB" w:rsidRPr="00D957C4" w:rsidRDefault="001D5DFB" w:rsidP="009C5ED6">
      <w:pPr>
        <w:rPr>
          <w:rFonts w:asciiTheme="minorHAnsi" w:hAnsiTheme="minorHAnsi"/>
          <w:i/>
          <w:sz w:val="20"/>
          <w:szCs w:val="20"/>
        </w:rPr>
      </w:pPr>
      <w:r w:rsidRPr="00D957C4">
        <w:rPr>
          <w:rFonts w:asciiTheme="minorHAnsi" w:hAnsiTheme="minorHAnsi"/>
          <w:i/>
          <w:sz w:val="20"/>
          <w:szCs w:val="20"/>
        </w:rPr>
        <w:t>Inquest into the deaths of Fionica Yarranganlagi James, Keturah Cheralyn Mamarika and Layla Leering</w:t>
      </w:r>
      <w:r w:rsidRPr="00D957C4">
        <w:rPr>
          <w:rFonts w:asciiTheme="minorHAnsi" w:hAnsiTheme="minorHAnsi"/>
          <w:iCs/>
          <w:sz w:val="20"/>
          <w:szCs w:val="20"/>
        </w:rPr>
        <w:t xml:space="preserve"> [2020] NTLC 022.</w:t>
      </w:r>
    </w:p>
    <w:p w14:paraId="70E37169" w14:textId="374A1070" w:rsidR="001268CB" w:rsidRPr="00D957C4" w:rsidRDefault="001268CB" w:rsidP="009C5ED6">
      <w:pPr>
        <w:rPr>
          <w:rFonts w:asciiTheme="minorHAnsi" w:hAnsiTheme="minorHAnsi"/>
          <w:sz w:val="20"/>
          <w:szCs w:val="20"/>
        </w:rPr>
      </w:pPr>
      <w:r w:rsidRPr="00D957C4">
        <w:rPr>
          <w:rFonts w:asciiTheme="minorHAnsi" w:hAnsiTheme="minorHAnsi"/>
          <w:i/>
          <w:sz w:val="20"/>
          <w:szCs w:val="20"/>
        </w:rPr>
        <w:t xml:space="preserve">Inquest into the death of HD (name suppressed) </w:t>
      </w:r>
      <w:r w:rsidRPr="00D957C4">
        <w:rPr>
          <w:rFonts w:asciiTheme="minorHAnsi" w:hAnsiTheme="minorHAnsi"/>
          <w:iCs/>
          <w:sz w:val="20"/>
          <w:szCs w:val="20"/>
        </w:rPr>
        <w:t>[2021]</w:t>
      </w:r>
      <w:r w:rsidRPr="00D957C4">
        <w:rPr>
          <w:rFonts w:asciiTheme="minorHAnsi" w:hAnsiTheme="minorHAnsi"/>
          <w:i/>
          <w:sz w:val="20"/>
          <w:szCs w:val="20"/>
        </w:rPr>
        <w:t xml:space="preserve"> </w:t>
      </w:r>
      <w:r w:rsidRPr="00D957C4">
        <w:rPr>
          <w:rFonts w:asciiTheme="minorHAnsi" w:hAnsiTheme="minorHAnsi"/>
          <w:sz w:val="20"/>
          <w:szCs w:val="20"/>
        </w:rPr>
        <w:t>NTLC 029.</w:t>
      </w:r>
    </w:p>
    <w:p w14:paraId="6C273E39" w14:textId="74B8A4EE" w:rsidR="001A6A46" w:rsidRPr="00D957C4" w:rsidRDefault="001A6A46" w:rsidP="009C5ED6">
      <w:pPr>
        <w:rPr>
          <w:rFonts w:asciiTheme="minorHAnsi" w:hAnsiTheme="minorHAnsi"/>
          <w:sz w:val="20"/>
          <w:szCs w:val="20"/>
        </w:rPr>
      </w:pPr>
      <w:r w:rsidRPr="00D957C4">
        <w:rPr>
          <w:rFonts w:asciiTheme="minorHAnsi" w:hAnsiTheme="minorHAnsi"/>
          <w:i/>
          <w:iCs/>
          <w:sz w:val="20"/>
          <w:szCs w:val="20"/>
        </w:rPr>
        <w:t>Inquest into the death of Roberta Judy Curry</w:t>
      </w:r>
      <w:r w:rsidRPr="00D957C4">
        <w:rPr>
          <w:rFonts w:asciiTheme="minorHAnsi" w:hAnsiTheme="minorHAnsi"/>
          <w:sz w:val="20"/>
          <w:szCs w:val="20"/>
        </w:rPr>
        <w:t xml:space="preserve"> [2022] NTLC 101.</w:t>
      </w:r>
    </w:p>
    <w:p w14:paraId="6A9C33B9" w14:textId="252753F6" w:rsidR="005820DE" w:rsidRPr="00D957C4" w:rsidRDefault="005820DE" w:rsidP="009C5ED6">
      <w:pPr>
        <w:pStyle w:val="FootnoteText"/>
        <w:spacing w:after="200"/>
        <w:rPr>
          <w:rFonts w:asciiTheme="minorHAnsi" w:hAnsiTheme="minorHAnsi"/>
        </w:rPr>
      </w:pPr>
      <w:r w:rsidRPr="00D957C4">
        <w:rPr>
          <w:rFonts w:asciiTheme="minorHAnsi" w:hAnsiTheme="minorHAnsi"/>
        </w:rPr>
        <w:t xml:space="preserve">Langton, M, Smith, K., Eastman, T., O’Neill, L., Cheesman, E. and Rose, M. (2020) </w:t>
      </w:r>
      <w:r w:rsidRPr="00D957C4">
        <w:rPr>
          <w:rFonts w:asciiTheme="minorHAnsi" w:hAnsiTheme="minorHAnsi"/>
          <w:i/>
          <w:iCs/>
        </w:rPr>
        <w:t>Improving family violence legal and support services for Aboriginal and Torres Strait Islander Women</w:t>
      </w:r>
      <w:r w:rsidRPr="00D957C4">
        <w:rPr>
          <w:rFonts w:asciiTheme="minorHAnsi" w:hAnsiTheme="minorHAnsi"/>
        </w:rPr>
        <w:t xml:space="preserve"> (Research report, 25/2020), Sydney: ANROS.</w:t>
      </w:r>
    </w:p>
    <w:p w14:paraId="6082AE25" w14:textId="77777777" w:rsidR="00894AB2" w:rsidRPr="00D957C4" w:rsidRDefault="00894AB2" w:rsidP="009C5ED6">
      <w:pPr>
        <w:rPr>
          <w:rFonts w:asciiTheme="minorHAnsi" w:hAnsiTheme="minorHAnsi"/>
          <w:sz w:val="20"/>
          <w:szCs w:val="20"/>
        </w:rPr>
      </w:pPr>
      <w:r w:rsidRPr="00D957C4">
        <w:rPr>
          <w:rFonts w:asciiTheme="minorHAnsi" w:hAnsiTheme="minorHAnsi"/>
          <w:sz w:val="20"/>
          <w:szCs w:val="20"/>
        </w:rPr>
        <w:t xml:space="preserve">Law Council of Australia (2021), </w:t>
      </w:r>
      <w:r w:rsidRPr="00D957C4">
        <w:rPr>
          <w:rFonts w:asciiTheme="minorHAnsi" w:hAnsiTheme="minorHAnsi"/>
          <w:i/>
          <w:sz w:val="20"/>
          <w:szCs w:val="20"/>
        </w:rPr>
        <w:t>Model definition of family violence</w:t>
      </w:r>
      <w:r w:rsidRPr="00D957C4">
        <w:rPr>
          <w:rFonts w:asciiTheme="minorHAnsi" w:hAnsiTheme="minorHAnsi"/>
          <w:sz w:val="20"/>
          <w:szCs w:val="20"/>
        </w:rPr>
        <w:t>, adopted by Directors, 27 November 2021.</w:t>
      </w:r>
    </w:p>
    <w:p w14:paraId="105FBBF4" w14:textId="77777777" w:rsidR="009406FD" w:rsidRPr="00D957C4" w:rsidRDefault="009406FD" w:rsidP="009C5ED6">
      <w:pPr>
        <w:rPr>
          <w:rFonts w:asciiTheme="minorHAnsi" w:hAnsiTheme="minorHAnsi"/>
          <w:sz w:val="20"/>
          <w:szCs w:val="20"/>
        </w:rPr>
      </w:pPr>
      <w:r w:rsidRPr="00D957C4">
        <w:rPr>
          <w:rFonts w:asciiTheme="minorHAnsi" w:hAnsiTheme="minorHAnsi"/>
          <w:sz w:val="20"/>
          <w:szCs w:val="20"/>
        </w:rPr>
        <w:t xml:space="preserve">McMahon, M. and McGorrery, P. (Eds) (2020), </w:t>
      </w:r>
      <w:r w:rsidRPr="00D957C4">
        <w:rPr>
          <w:rFonts w:asciiTheme="minorHAnsi" w:hAnsiTheme="minorHAnsi"/>
          <w:i/>
          <w:sz w:val="20"/>
          <w:szCs w:val="20"/>
        </w:rPr>
        <w:t>Criminalising Coercive Control:</w:t>
      </w:r>
      <w:r w:rsidRPr="00D957C4">
        <w:rPr>
          <w:rFonts w:asciiTheme="minorHAnsi" w:hAnsiTheme="minorHAnsi"/>
          <w:sz w:val="20"/>
          <w:szCs w:val="20"/>
        </w:rPr>
        <w:t xml:space="preserve"> </w:t>
      </w:r>
      <w:r w:rsidRPr="00D957C4">
        <w:rPr>
          <w:rFonts w:asciiTheme="minorHAnsi" w:hAnsiTheme="minorHAnsi"/>
          <w:i/>
          <w:sz w:val="20"/>
          <w:szCs w:val="20"/>
        </w:rPr>
        <w:t>Family Violence and the Criminal Law</w:t>
      </w:r>
      <w:r w:rsidRPr="00D957C4">
        <w:rPr>
          <w:rFonts w:asciiTheme="minorHAnsi" w:hAnsiTheme="minorHAnsi"/>
          <w:sz w:val="20"/>
          <w:szCs w:val="20"/>
        </w:rPr>
        <w:t xml:space="preserve">, Springer. </w:t>
      </w:r>
    </w:p>
    <w:p w14:paraId="43BA3271" w14:textId="779B2C5B" w:rsidR="00D64124" w:rsidRPr="00D957C4" w:rsidRDefault="00D64124" w:rsidP="009C5ED6">
      <w:pPr>
        <w:rPr>
          <w:rFonts w:asciiTheme="minorHAnsi" w:hAnsiTheme="minorHAnsi"/>
          <w:sz w:val="20"/>
          <w:szCs w:val="20"/>
        </w:rPr>
      </w:pPr>
      <w:r w:rsidRPr="00D957C4">
        <w:rPr>
          <w:rFonts w:asciiTheme="minorHAnsi" w:hAnsiTheme="minorHAnsi"/>
          <w:sz w:val="20"/>
          <w:szCs w:val="20"/>
        </w:rPr>
        <w:t xml:space="preserve">Nancarrow, H, Thomas, K., Ringland, V. and Modini, T. (2020), </w:t>
      </w:r>
      <w:r w:rsidRPr="00D957C4">
        <w:rPr>
          <w:rFonts w:asciiTheme="minorHAnsi" w:hAnsiTheme="minorHAnsi"/>
          <w:i/>
          <w:sz w:val="20"/>
          <w:szCs w:val="20"/>
        </w:rPr>
        <w:t xml:space="preserve">Accurately identifying the “person most in need of protection” in domestic and family violence law. </w:t>
      </w:r>
      <w:r w:rsidRPr="00D957C4">
        <w:rPr>
          <w:rFonts w:asciiTheme="minorHAnsi" w:hAnsiTheme="minorHAnsi"/>
          <w:sz w:val="20"/>
          <w:szCs w:val="20"/>
        </w:rPr>
        <w:t>Australian National Research Organisation on Women’s Safety (ANROWS) (Research Report 23/2020).</w:t>
      </w:r>
    </w:p>
    <w:p w14:paraId="1701A76E" w14:textId="62D0257B" w:rsidR="00D467F5" w:rsidRPr="00D957C4" w:rsidRDefault="00D467F5" w:rsidP="009C5ED6">
      <w:pPr>
        <w:rPr>
          <w:rFonts w:asciiTheme="minorHAnsi" w:hAnsiTheme="minorHAnsi"/>
          <w:sz w:val="20"/>
          <w:szCs w:val="20"/>
        </w:rPr>
      </w:pPr>
      <w:r w:rsidRPr="00D957C4">
        <w:rPr>
          <w:rFonts w:asciiTheme="minorHAnsi" w:hAnsiTheme="minorHAnsi"/>
          <w:sz w:val="20"/>
          <w:szCs w:val="20"/>
        </w:rPr>
        <w:t>New South Wales Audit Office (2022) Police Responses to domestic and family violence:  NSW Auditor-General’s Report, 4 April 2022.</w:t>
      </w:r>
    </w:p>
    <w:p w14:paraId="592DF8BC" w14:textId="77777777" w:rsidR="00F179CF" w:rsidRPr="00D957C4" w:rsidRDefault="00F179CF" w:rsidP="009C5ED6">
      <w:pPr>
        <w:rPr>
          <w:rFonts w:asciiTheme="minorHAnsi" w:hAnsiTheme="minorHAnsi"/>
          <w:sz w:val="20"/>
          <w:szCs w:val="20"/>
        </w:rPr>
      </w:pPr>
      <w:r w:rsidRPr="00D957C4">
        <w:rPr>
          <w:rFonts w:asciiTheme="minorHAnsi" w:hAnsiTheme="minorHAnsi"/>
          <w:sz w:val="20"/>
          <w:szCs w:val="20"/>
        </w:rPr>
        <w:t xml:space="preserve">New South Wales Government (2020) </w:t>
      </w:r>
      <w:r w:rsidRPr="00D957C4">
        <w:rPr>
          <w:rFonts w:asciiTheme="minorHAnsi" w:hAnsiTheme="minorHAnsi"/>
          <w:i/>
          <w:iCs/>
          <w:sz w:val="20"/>
          <w:szCs w:val="20"/>
        </w:rPr>
        <w:t>Coercive control – discussion paper.</w:t>
      </w:r>
    </w:p>
    <w:p w14:paraId="53AC1C69" w14:textId="1F910329" w:rsidR="00D64124" w:rsidRPr="00D957C4" w:rsidRDefault="00D64124" w:rsidP="009C5ED6">
      <w:pPr>
        <w:rPr>
          <w:rFonts w:asciiTheme="minorHAnsi" w:hAnsiTheme="minorHAnsi"/>
          <w:sz w:val="20"/>
          <w:szCs w:val="20"/>
        </w:rPr>
      </w:pPr>
      <w:r w:rsidRPr="00D957C4">
        <w:rPr>
          <w:rFonts w:asciiTheme="minorHAnsi" w:hAnsiTheme="minorHAnsi"/>
          <w:sz w:val="20"/>
          <w:szCs w:val="20"/>
        </w:rPr>
        <w:t xml:space="preserve">Northern Territory Government, Department of the Attorney-General and Justice (2016) </w:t>
      </w:r>
      <w:r w:rsidRPr="00D957C4">
        <w:rPr>
          <w:rFonts w:asciiTheme="minorHAnsi" w:hAnsiTheme="minorHAnsi"/>
          <w:i/>
          <w:sz w:val="20"/>
          <w:szCs w:val="20"/>
        </w:rPr>
        <w:t>Report on Consultation:  Review of the Domestic and Family Violence Act</w:t>
      </w:r>
      <w:r w:rsidR="008729EE" w:rsidRPr="00D957C4">
        <w:rPr>
          <w:rFonts w:asciiTheme="minorHAnsi" w:hAnsiTheme="minorHAnsi"/>
          <w:sz w:val="20"/>
          <w:szCs w:val="20"/>
        </w:rPr>
        <w:t xml:space="preserve"> (2016 Consultation Report)</w:t>
      </w:r>
      <w:r w:rsidRPr="00D957C4">
        <w:rPr>
          <w:rFonts w:asciiTheme="minorHAnsi" w:hAnsiTheme="minorHAnsi"/>
          <w:sz w:val="20"/>
          <w:szCs w:val="20"/>
        </w:rPr>
        <w:t>.</w:t>
      </w:r>
    </w:p>
    <w:p w14:paraId="1932FE22" w14:textId="11266B17" w:rsidR="001546F6" w:rsidRPr="00D957C4" w:rsidRDefault="001546F6" w:rsidP="009C5ED6">
      <w:pPr>
        <w:rPr>
          <w:rFonts w:asciiTheme="minorHAnsi" w:hAnsiTheme="minorHAnsi"/>
          <w:i/>
          <w:sz w:val="20"/>
          <w:szCs w:val="20"/>
        </w:rPr>
      </w:pPr>
      <w:r w:rsidRPr="00D957C4">
        <w:rPr>
          <w:rFonts w:asciiTheme="minorHAnsi" w:hAnsiTheme="minorHAnsi"/>
          <w:sz w:val="20"/>
          <w:szCs w:val="20"/>
        </w:rPr>
        <w:t>Northern Territory Government, Department of the Attorney-General and Justice (2019) NT Charter of Victims’ Rights August 2019.</w:t>
      </w:r>
      <w:r w:rsidRPr="00D957C4">
        <w:rPr>
          <w:rFonts w:asciiTheme="minorHAnsi" w:hAnsiTheme="minorHAnsi"/>
          <w:sz w:val="20"/>
          <w:szCs w:val="20"/>
        </w:rPr>
        <w:br/>
      </w:r>
      <w:hyperlink r:id="rId23" w:history="1">
        <w:r w:rsidRPr="00D957C4">
          <w:rPr>
            <w:rStyle w:val="Hyperlink"/>
            <w:rFonts w:asciiTheme="minorHAnsi" w:hAnsiTheme="minorHAnsi"/>
            <w:i/>
            <w:sz w:val="20"/>
            <w:szCs w:val="20"/>
          </w:rPr>
          <w:t>https://justice.nt.gov.au/__data/assets/pdf_file/0010/718147/Charter-of-Victims-Rights-August-2019.pdf</w:t>
        </w:r>
      </w:hyperlink>
    </w:p>
    <w:p w14:paraId="0CCAD95D" w14:textId="18DCFC19" w:rsidR="007F4EF5" w:rsidRPr="00D957C4" w:rsidRDefault="007F4EF5" w:rsidP="009C5ED6">
      <w:pPr>
        <w:rPr>
          <w:rFonts w:asciiTheme="minorHAnsi" w:hAnsiTheme="minorHAnsi"/>
          <w:i/>
          <w:sz w:val="20"/>
          <w:szCs w:val="20"/>
        </w:rPr>
      </w:pPr>
      <w:r w:rsidRPr="00D957C4">
        <w:rPr>
          <w:rFonts w:asciiTheme="minorHAnsi" w:hAnsiTheme="minorHAnsi"/>
          <w:sz w:val="20"/>
          <w:szCs w:val="20"/>
        </w:rPr>
        <w:t xml:space="preserve">Northern Territory Government, Department of Territory Families, Housing and Communities (2020), </w:t>
      </w:r>
      <w:r w:rsidRPr="00D957C4">
        <w:rPr>
          <w:rFonts w:asciiTheme="minorHAnsi" w:hAnsiTheme="minorHAnsi"/>
          <w:i/>
          <w:sz w:val="20"/>
          <w:szCs w:val="20"/>
        </w:rPr>
        <w:t>Northern Territory Domestic and Family Violence Risk Assessment and Management Framework.</w:t>
      </w:r>
    </w:p>
    <w:p w14:paraId="6E3C4C66" w14:textId="57017A95" w:rsidR="00C909FC" w:rsidRPr="00D957C4" w:rsidRDefault="00C909FC" w:rsidP="009C5ED6">
      <w:pPr>
        <w:pStyle w:val="FootnoteText"/>
        <w:spacing w:after="200"/>
        <w:rPr>
          <w:rFonts w:asciiTheme="minorHAnsi" w:hAnsiTheme="minorHAnsi"/>
        </w:rPr>
      </w:pPr>
      <w:r w:rsidRPr="00D957C4">
        <w:rPr>
          <w:rFonts w:asciiTheme="minorHAnsi" w:hAnsiTheme="minorHAnsi"/>
        </w:rPr>
        <w:t xml:space="preserve">Northern Territory Local Court (2022), </w:t>
      </w:r>
      <w:r w:rsidRPr="00D957C4">
        <w:rPr>
          <w:rFonts w:asciiTheme="minorHAnsi" w:hAnsiTheme="minorHAnsi"/>
          <w:i/>
        </w:rPr>
        <w:t>Internal Evaluation Report: Specialist Approach to Domestic and Family Violence at the Local Court in Alice Springs,</w:t>
      </w:r>
      <w:r w:rsidRPr="00D957C4">
        <w:rPr>
          <w:rFonts w:asciiTheme="minorHAnsi" w:hAnsiTheme="minorHAnsi"/>
        </w:rPr>
        <w:t xml:space="preserve"> 12 April 2022.</w:t>
      </w:r>
    </w:p>
    <w:p w14:paraId="5D0189DE" w14:textId="3F9879FE" w:rsidR="00894AB2" w:rsidRPr="00D957C4" w:rsidRDefault="006519E7" w:rsidP="009C5ED6">
      <w:pPr>
        <w:rPr>
          <w:rFonts w:asciiTheme="minorHAnsi" w:hAnsiTheme="minorHAnsi"/>
          <w:sz w:val="20"/>
          <w:szCs w:val="20"/>
        </w:rPr>
      </w:pPr>
      <w:r w:rsidRPr="00D957C4">
        <w:rPr>
          <w:rFonts w:asciiTheme="minorHAnsi" w:hAnsiTheme="minorHAnsi"/>
          <w:sz w:val="20"/>
          <w:szCs w:val="20"/>
        </w:rPr>
        <w:t xml:space="preserve">Parliament of New South Wales, Joint Select Committee on Coercive Control (2021), </w:t>
      </w:r>
      <w:r w:rsidRPr="00D957C4">
        <w:rPr>
          <w:rFonts w:asciiTheme="minorHAnsi" w:hAnsiTheme="minorHAnsi"/>
          <w:i/>
          <w:sz w:val="20"/>
          <w:szCs w:val="20"/>
        </w:rPr>
        <w:t xml:space="preserve">Coercive control in domestic relationships, </w:t>
      </w:r>
      <w:r w:rsidRPr="00D957C4">
        <w:rPr>
          <w:rFonts w:asciiTheme="minorHAnsi" w:hAnsiTheme="minorHAnsi"/>
          <w:sz w:val="20"/>
          <w:szCs w:val="20"/>
        </w:rPr>
        <w:t>Report 1/57 – June 2021.</w:t>
      </w:r>
    </w:p>
    <w:p w14:paraId="394B6975" w14:textId="1D198339" w:rsidR="00871F83" w:rsidRPr="00D957C4" w:rsidRDefault="00871F83" w:rsidP="009C5ED6">
      <w:pPr>
        <w:rPr>
          <w:rFonts w:asciiTheme="minorHAnsi" w:hAnsiTheme="minorHAnsi"/>
          <w:sz w:val="20"/>
          <w:szCs w:val="20"/>
        </w:rPr>
      </w:pPr>
      <w:r w:rsidRPr="00D957C4">
        <w:rPr>
          <w:rFonts w:asciiTheme="minorHAnsi" w:hAnsiTheme="minorHAnsi"/>
          <w:sz w:val="20"/>
          <w:szCs w:val="20"/>
        </w:rPr>
        <w:t xml:space="preserve">Parliament of Victoria (2022) </w:t>
      </w:r>
      <w:r w:rsidRPr="00D957C4">
        <w:rPr>
          <w:rFonts w:asciiTheme="minorHAnsi" w:hAnsiTheme="minorHAnsi"/>
          <w:i/>
          <w:iCs/>
          <w:sz w:val="20"/>
          <w:szCs w:val="20"/>
        </w:rPr>
        <w:t>Research Paper: What is coercive control?</w:t>
      </w:r>
      <w:r w:rsidRPr="00D957C4">
        <w:rPr>
          <w:rFonts w:asciiTheme="minorHAnsi" w:hAnsiTheme="minorHAnsi"/>
          <w:sz w:val="20"/>
          <w:szCs w:val="20"/>
        </w:rPr>
        <w:t>, March 2022.</w:t>
      </w:r>
    </w:p>
    <w:p w14:paraId="68C2D483" w14:textId="5291AA9F" w:rsidR="00945D6F" w:rsidRPr="00D957C4" w:rsidRDefault="00945D6F" w:rsidP="009C5ED6">
      <w:pPr>
        <w:rPr>
          <w:rFonts w:asciiTheme="minorHAnsi" w:hAnsiTheme="minorHAnsi"/>
          <w:sz w:val="20"/>
          <w:szCs w:val="20"/>
        </w:rPr>
      </w:pPr>
      <w:r w:rsidRPr="00D957C4">
        <w:rPr>
          <w:rFonts w:asciiTheme="minorHAnsi" w:hAnsiTheme="minorHAnsi"/>
          <w:sz w:val="20"/>
          <w:szCs w:val="20"/>
        </w:rPr>
        <w:t>Queensland Women’s Safety and Justice Taskforce (2021), Discussion Paper 1 – Options for Legislating against coercive control and the creation of a standalone domestic violence offence, 27 May 2021.</w:t>
      </w:r>
    </w:p>
    <w:p w14:paraId="5D8604B6" w14:textId="4151E065" w:rsidR="00945D6F" w:rsidRPr="00D957C4" w:rsidRDefault="00945D6F" w:rsidP="009C5ED6">
      <w:pPr>
        <w:rPr>
          <w:rFonts w:asciiTheme="minorHAnsi" w:hAnsiTheme="minorHAnsi"/>
          <w:sz w:val="20"/>
          <w:szCs w:val="20"/>
        </w:rPr>
      </w:pPr>
      <w:r w:rsidRPr="00D957C4">
        <w:rPr>
          <w:rFonts w:asciiTheme="minorHAnsi" w:hAnsiTheme="minorHAnsi"/>
          <w:sz w:val="20"/>
          <w:szCs w:val="20"/>
        </w:rPr>
        <w:lastRenderedPageBreak/>
        <w:t xml:space="preserve">Queensland Women’s Safety and Justice Taskforce (2021), </w:t>
      </w:r>
      <w:r w:rsidRPr="00D957C4">
        <w:rPr>
          <w:rFonts w:asciiTheme="minorHAnsi" w:hAnsiTheme="minorHAnsi"/>
          <w:i/>
          <w:sz w:val="20"/>
          <w:szCs w:val="20"/>
        </w:rPr>
        <w:t>Hear her voice: Addressing coercive control and domestic violence in Queensland</w:t>
      </w:r>
      <w:r w:rsidRPr="00D957C4">
        <w:rPr>
          <w:rFonts w:asciiTheme="minorHAnsi" w:hAnsiTheme="minorHAnsi"/>
          <w:sz w:val="20"/>
          <w:szCs w:val="20"/>
        </w:rPr>
        <w:t xml:space="preserve"> (Volume 1, 2 and 3).</w:t>
      </w:r>
    </w:p>
    <w:p w14:paraId="1F12F59F" w14:textId="77777777" w:rsidR="00DF7AA5" w:rsidRPr="00D957C4" w:rsidRDefault="00DF7AA5" w:rsidP="009C5ED6">
      <w:pPr>
        <w:rPr>
          <w:rFonts w:asciiTheme="minorHAnsi" w:hAnsiTheme="minorHAnsi"/>
          <w:sz w:val="20"/>
          <w:szCs w:val="20"/>
        </w:rPr>
      </w:pPr>
      <w:r w:rsidRPr="00D957C4">
        <w:rPr>
          <w:rFonts w:asciiTheme="minorHAnsi" w:hAnsiTheme="minorHAnsi"/>
          <w:sz w:val="20"/>
          <w:szCs w:val="20"/>
        </w:rPr>
        <w:t>Richmond, A</w:t>
      </w:r>
      <w:r w:rsidR="009406FD" w:rsidRPr="00D957C4">
        <w:rPr>
          <w:rFonts w:asciiTheme="minorHAnsi" w:hAnsiTheme="minorHAnsi"/>
          <w:sz w:val="20"/>
          <w:szCs w:val="20"/>
        </w:rPr>
        <w:t>.</w:t>
      </w:r>
      <w:r w:rsidRPr="00D957C4">
        <w:rPr>
          <w:rFonts w:asciiTheme="minorHAnsi" w:hAnsiTheme="minorHAnsi"/>
          <w:sz w:val="20"/>
          <w:szCs w:val="20"/>
        </w:rPr>
        <w:t xml:space="preserve"> (2019), </w:t>
      </w:r>
      <w:r w:rsidRPr="00D957C4">
        <w:rPr>
          <w:rFonts w:asciiTheme="minorHAnsi" w:hAnsiTheme="minorHAnsi"/>
          <w:i/>
          <w:iCs/>
          <w:sz w:val="20"/>
          <w:szCs w:val="20"/>
        </w:rPr>
        <w:t>Journey Mapping Workshop Report: Exploring the Voices and Experiences of Victim-Survivors of Domestic and Family Violence in NT Justice System</w:t>
      </w:r>
      <w:r w:rsidRPr="00D957C4">
        <w:rPr>
          <w:rFonts w:asciiTheme="minorHAnsi" w:hAnsiTheme="minorHAnsi"/>
          <w:sz w:val="20"/>
          <w:szCs w:val="20"/>
        </w:rPr>
        <w:t>, Prepared for the Domestic Violence Justice Reform Network and published by Dawn House, February 2019.</w:t>
      </w:r>
    </w:p>
    <w:p w14:paraId="3565A4C9" w14:textId="2669CB9D" w:rsidR="007807FD" w:rsidRPr="00D957C4" w:rsidRDefault="007807FD" w:rsidP="009C5ED6">
      <w:pPr>
        <w:rPr>
          <w:rFonts w:asciiTheme="minorHAnsi" w:hAnsiTheme="minorHAnsi"/>
          <w:sz w:val="20"/>
          <w:szCs w:val="20"/>
        </w:rPr>
      </w:pPr>
      <w:r w:rsidRPr="00D957C4">
        <w:rPr>
          <w:rFonts w:asciiTheme="minorHAnsi" w:hAnsiTheme="minorHAnsi"/>
          <w:sz w:val="20"/>
          <w:szCs w:val="20"/>
        </w:rPr>
        <w:t xml:space="preserve">State of Victoria, </w:t>
      </w:r>
      <w:r w:rsidRPr="00D957C4">
        <w:rPr>
          <w:rFonts w:asciiTheme="minorHAnsi" w:hAnsiTheme="minorHAnsi"/>
          <w:i/>
          <w:sz w:val="20"/>
          <w:szCs w:val="20"/>
        </w:rPr>
        <w:t>Royal Commission into Family Violence</w:t>
      </w:r>
      <w:r w:rsidRPr="00D957C4">
        <w:rPr>
          <w:rFonts w:asciiTheme="minorHAnsi" w:hAnsiTheme="minorHAnsi"/>
          <w:sz w:val="20"/>
          <w:szCs w:val="20"/>
        </w:rPr>
        <w:t xml:space="preserve"> (2016). </w:t>
      </w:r>
    </w:p>
    <w:p w14:paraId="43B50F18" w14:textId="55C6D2AA" w:rsidR="00D31531" w:rsidRPr="00D957C4" w:rsidRDefault="00D31531" w:rsidP="009C5ED6">
      <w:pPr>
        <w:rPr>
          <w:rFonts w:asciiTheme="minorHAnsi" w:hAnsiTheme="minorHAnsi"/>
          <w:sz w:val="20"/>
          <w:szCs w:val="20"/>
        </w:rPr>
      </w:pPr>
      <w:r w:rsidRPr="00D957C4">
        <w:rPr>
          <w:rFonts w:asciiTheme="minorHAnsi" w:hAnsiTheme="minorHAnsi"/>
          <w:sz w:val="20"/>
          <w:szCs w:val="20"/>
        </w:rPr>
        <w:t xml:space="preserve">Tolmie, J., Smith, R., Short, J, Wilson, D., and Sachl, J. (2018) ‘Social entrapment: A realistic understanding of the criminal offending of primary victims of intimate partner violence’, in </w:t>
      </w:r>
      <w:r w:rsidRPr="00D957C4">
        <w:rPr>
          <w:rFonts w:asciiTheme="minorHAnsi" w:hAnsiTheme="minorHAnsi"/>
          <w:i/>
          <w:sz w:val="20"/>
          <w:szCs w:val="20"/>
        </w:rPr>
        <w:t>New Zealand Law Review</w:t>
      </w:r>
      <w:r w:rsidRPr="00D957C4">
        <w:rPr>
          <w:rFonts w:asciiTheme="minorHAnsi" w:hAnsiTheme="minorHAnsi"/>
          <w:sz w:val="20"/>
          <w:szCs w:val="20"/>
        </w:rPr>
        <w:t xml:space="preserve"> 2018, pp 181-217.</w:t>
      </w:r>
    </w:p>
    <w:p w14:paraId="2A896ED6" w14:textId="17B54538" w:rsidR="007671BF" w:rsidRPr="00D957C4" w:rsidRDefault="007671BF" w:rsidP="009C5ED6">
      <w:pPr>
        <w:rPr>
          <w:rFonts w:asciiTheme="minorHAnsi" w:hAnsiTheme="minorHAnsi"/>
          <w:sz w:val="20"/>
          <w:szCs w:val="20"/>
        </w:rPr>
      </w:pPr>
      <w:r w:rsidRPr="00D957C4">
        <w:rPr>
          <w:rFonts w:asciiTheme="minorHAnsi" w:hAnsiTheme="minorHAnsi"/>
          <w:sz w:val="20"/>
          <w:szCs w:val="20"/>
        </w:rPr>
        <w:t>United Kingdom Home Office (2021), Review of Controlling or Coercive Behaviour Offence, Research Report 122,</w:t>
      </w:r>
      <w:r w:rsidR="003C48CC" w:rsidRPr="00D957C4">
        <w:rPr>
          <w:rFonts w:asciiTheme="minorHAnsi" w:hAnsiTheme="minorHAnsi"/>
          <w:sz w:val="20"/>
          <w:szCs w:val="20"/>
        </w:rPr>
        <w:t xml:space="preserve"> </w:t>
      </w:r>
      <w:hyperlink r:id="rId24" w:history="1">
        <w:r w:rsidR="003C48CC" w:rsidRPr="00D957C4">
          <w:rPr>
            <w:rStyle w:val="Hyperlink"/>
            <w:rFonts w:asciiTheme="minorHAnsi" w:hAnsiTheme="minorHAnsi"/>
            <w:sz w:val="20"/>
            <w:szCs w:val="20"/>
          </w:rPr>
          <w:t>https://www.gov.uk/government/publications/review-of-the-controlling-or-coercive-behaviour-offence</w:t>
        </w:r>
      </w:hyperlink>
    </w:p>
    <w:p w14:paraId="06C02AF7" w14:textId="2FF36285" w:rsidR="002004A8" w:rsidRPr="00D957C4" w:rsidRDefault="002004A8" w:rsidP="009C5ED6">
      <w:pPr>
        <w:rPr>
          <w:rFonts w:asciiTheme="minorHAnsi" w:hAnsiTheme="minorHAnsi"/>
          <w:i/>
          <w:sz w:val="20"/>
          <w:szCs w:val="20"/>
        </w:rPr>
      </w:pPr>
      <w:r w:rsidRPr="00D957C4">
        <w:rPr>
          <w:rFonts w:asciiTheme="minorHAnsi" w:hAnsiTheme="minorHAnsi"/>
          <w:sz w:val="20"/>
          <w:szCs w:val="20"/>
        </w:rPr>
        <w:t xml:space="preserve">United Kingdom Home Office (2015), </w:t>
      </w:r>
      <w:r w:rsidRPr="00D957C4">
        <w:rPr>
          <w:rFonts w:asciiTheme="minorHAnsi" w:hAnsiTheme="minorHAnsi"/>
          <w:i/>
          <w:sz w:val="20"/>
          <w:szCs w:val="20"/>
        </w:rPr>
        <w:t xml:space="preserve">Controlling or Coercive Behaviour in an Intimate or Family Relationship: Statutory Guidance Framework. </w:t>
      </w:r>
      <w:hyperlink r:id="rId25" w:history="1">
        <w:r w:rsidRPr="00D957C4">
          <w:rPr>
            <w:rStyle w:val="Hyperlink"/>
            <w:rFonts w:asciiTheme="minorHAnsi" w:hAnsiTheme="minorHAnsi"/>
            <w:i/>
            <w:sz w:val="20"/>
            <w:szCs w:val="20"/>
          </w:rPr>
          <w:t>https://assets.publishing.service.gov.uk/government/uploads/system/uploads/attachment_data/file/482528/Controlling_or_coercive_behaviour_-_statutory_guidance.pdf</w:t>
        </w:r>
      </w:hyperlink>
    </w:p>
    <w:p w14:paraId="176F8C90" w14:textId="5B2CF6B8" w:rsidR="00D64124" w:rsidRPr="00D957C4" w:rsidRDefault="00D64124" w:rsidP="009C5ED6">
      <w:pPr>
        <w:rPr>
          <w:rFonts w:asciiTheme="minorHAnsi" w:hAnsiTheme="minorHAnsi"/>
          <w:sz w:val="20"/>
          <w:szCs w:val="20"/>
        </w:rPr>
      </w:pPr>
      <w:r w:rsidRPr="00D957C4">
        <w:rPr>
          <w:rFonts w:asciiTheme="minorHAnsi" w:hAnsiTheme="minorHAnsi"/>
          <w:sz w:val="20"/>
          <w:szCs w:val="20"/>
        </w:rPr>
        <w:t xml:space="preserve">Victorian Aboriginal Legal Service (2021), </w:t>
      </w:r>
      <w:r w:rsidRPr="00D957C4">
        <w:rPr>
          <w:rFonts w:asciiTheme="minorHAnsi" w:hAnsiTheme="minorHAnsi"/>
          <w:i/>
          <w:sz w:val="20"/>
          <w:szCs w:val="20"/>
        </w:rPr>
        <w:t>Addressing Coercive Control Without Criminalisation: Avoiding Blunt Tools that Fail Victim-Survivors,</w:t>
      </w:r>
      <w:r w:rsidRPr="00D957C4">
        <w:rPr>
          <w:rFonts w:asciiTheme="minorHAnsi" w:hAnsiTheme="minorHAnsi"/>
          <w:sz w:val="20"/>
          <w:szCs w:val="20"/>
        </w:rPr>
        <w:t xml:space="preserve"> VALS Policy Paper.</w:t>
      </w:r>
    </w:p>
    <w:p w14:paraId="2D70261D" w14:textId="77777777" w:rsidR="003238AD" w:rsidRPr="00D957C4" w:rsidRDefault="003238AD" w:rsidP="009C5ED6">
      <w:pPr>
        <w:rPr>
          <w:rFonts w:asciiTheme="minorHAnsi" w:hAnsiTheme="minorHAnsi"/>
          <w:sz w:val="20"/>
          <w:szCs w:val="20"/>
        </w:rPr>
      </w:pPr>
      <w:r w:rsidRPr="00D957C4">
        <w:rPr>
          <w:rFonts w:asciiTheme="minorHAnsi" w:hAnsiTheme="minorHAnsi"/>
          <w:sz w:val="20"/>
          <w:szCs w:val="20"/>
        </w:rPr>
        <w:t xml:space="preserve">Victoria Police (2019) </w:t>
      </w:r>
      <w:r w:rsidRPr="00D957C4">
        <w:rPr>
          <w:rFonts w:asciiTheme="minorHAnsi" w:hAnsiTheme="minorHAnsi"/>
          <w:i/>
          <w:sz w:val="20"/>
          <w:szCs w:val="20"/>
        </w:rPr>
        <w:t>Code of Practice for the Investigation of Family Violence.</w:t>
      </w:r>
    </w:p>
    <w:p w14:paraId="4272EA0C" w14:textId="77777777" w:rsidR="00D64124" w:rsidRPr="00D957C4" w:rsidRDefault="00D64124" w:rsidP="009C5ED6">
      <w:pPr>
        <w:rPr>
          <w:rFonts w:asciiTheme="minorHAnsi" w:hAnsiTheme="minorHAnsi"/>
          <w:i/>
          <w:sz w:val="20"/>
          <w:szCs w:val="20"/>
        </w:rPr>
      </w:pPr>
      <w:r w:rsidRPr="00D957C4">
        <w:rPr>
          <w:rFonts w:asciiTheme="minorHAnsi" w:hAnsiTheme="minorHAnsi"/>
          <w:sz w:val="20"/>
          <w:szCs w:val="20"/>
        </w:rPr>
        <w:t xml:space="preserve">Women’s Legal Service Victoria (2018), </w:t>
      </w:r>
      <w:r w:rsidRPr="00D957C4">
        <w:rPr>
          <w:rFonts w:asciiTheme="minorHAnsi" w:hAnsiTheme="minorHAnsi"/>
          <w:i/>
          <w:sz w:val="20"/>
          <w:szCs w:val="20"/>
        </w:rPr>
        <w:t>“Officer she’s psychotic and I need protection”: Police misidentification of the ‘primary aggressor’ in family violence incidents in Victoria.</w:t>
      </w:r>
    </w:p>
    <w:p w14:paraId="7301E10C" w14:textId="77777777" w:rsidR="006D0758" w:rsidRDefault="006D0758" w:rsidP="00DF7AA5"/>
    <w:p w14:paraId="304FEBD6" w14:textId="68BE26DA" w:rsidR="0032483C" w:rsidRDefault="0032483C">
      <w:pPr>
        <w:rPr>
          <w:lang w:eastAsia="en-AU"/>
        </w:rPr>
      </w:pPr>
      <w:r>
        <w:rPr>
          <w:lang w:eastAsia="en-AU"/>
        </w:rPr>
        <w:br w:type="page"/>
      </w:r>
    </w:p>
    <w:p w14:paraId="61E569F6" w14:textId="77777777" w:rsidR="00753E0F" w:rsidRDefault="00753E0F" w:rsidP="0032483C">
      <w:pPr>
        <w:rPr>
          <w:lang w:eastAsia="en-AU"/>
        </w:rPr>
      </w:pPr>
    </w:p>
    <w:p w14:paraId="05174378" w14:textId="77777777" w:rsidR="00805360" w:rsidRDefault="00805360" w:rsidP="00C4200E">
      <w:pPr>
        <w:pStyle w:val="Heading1"/>
        <w:rPr>
          <w:lang w:eastAsia="en-AU"/>
        </w:rPr>
      </w:pPr>
      <w:bookmarkStart w:id="130" w:name="_Toc112051913"/>
      <w:bookmarkStart w:id="131" w:name="_GoBack"/>
      <w:r>
        <w:t>A</w:t>
      </w:r>
      <w:r w:rsidR="00D9179C">
        <w:t>ttachment</w:t>
      </w:r>
      <w:bookmarkEnd w:id="131"/>
      <w:r w:rsidR="00D9179C">
        <w:t>s</w:t>
      </w:r>
      <w:bookmarkEnd w:id="130"/>
    </w:p>
    <w:p w14:paraId="46CA394A" w14:textId="55347DE4" w:rsidR="00805360" w:rsidRDefault="00D559B3" w:rsidP="009C5ED6">
      <w:pPr>
        <w:pStyle w:val="Heading2"/>
        <w:ind w:left="1134"/>
        <w:rPr>
          <w:lang w:eastAsia="en-AU"/>
        </w:rPr>
      </w:pPr>
      <w:bookmarkStart w:id="132" w:name="_Toc112051914"/>
      <w:r>
        <w:rPr>
          <w:lang w:eastAsia="en-AU"/>
        </w:rPr>
        <w:t xml:space="preserve">Recent </w:t>
      </w:r>
      <w:r w:rsidR="00BC0822">
        <w:rPr>
          <w:lang w:eastAsia="en-AU"/>
        </w:rPr>
        <w:t>DFV</w:t>
      </w:r>
      <w:r w:rsidR="001F3E55">
        <w:rPr>
          <w:lang w:eastAsia="en-AU"/>
        </w:rPr>
        <w:t xml:space="preserve"> </w:t>
      </w:r>
      <w:r w:rsidR="00805360">
        <w:rPr>
          <w:lang w:eastAsia="en-AU"/>
        </w:rPr>
        <w:t>related legislative reforms in th</w:t>
      </w:r>
      <w:r>
        <w:rPr>
          <w:lang w:eastAsia="en-AU"/>
        </w:rPr>
        <w:t>e NT</w:t>
      </w:r>
      <w:bookmarkEnd w:id="132"/>
    </w:p>
    <w:p w14:paraId="570498D5" w14:textId="77777777" w:rsidR="00805360" w:rsidRDefault="00805360" w:rsidP="00805360">
      <w:pPr>
        <w:rPr>
          <w:lang w:eastAsia="en-AU"/>
        </w:rPr>
      </w:pPr>
      <w:r>
        <w:rPr>
          <w:lang w:eastAsia="en-AU"/>
        </w:rPr>
        <w:t xml:space="preserve">There have been a number of DFV-related legislative reforms in the NT in the past five years.  </w:t>
      </w:r>
    </w:p>
    <w:p w14:paraId="6668121F" w14:textId="77777777" w:rsidR="00805360" w:rsidRDefault="00805360" w:rsidP="009C5ED6">
      <w:pPr>
        <w:ind w:left="567" w:hanging="567"/>
      </w:pPr>
      <w:r>
        <w:rPr>
          <w:lang w:eastAsia="en-AU"/>
        </w:rPr>
        <w:t>•</w:t>
      </w:r>
      <w:r>
        <w:rPr>
          <w:lang w:eastAsia="en-AU"/>
        </w:rPr>
        <w:tab/>
      </w:r>
      <w:r w:rsidRPr="00FE4BE5">
        <w:rPr>
          <w:b/>
          <w:i/>
          <w:lang w:eastAsia="en-AU"/>
        </w:rPr>
        <w:t>Justice Legislation Amendment (Domestic and Family Violence) Act 2020</w:t>
      </w:r>
      <w:r>
        <w:rPr>
          <w:lang w:eastAsia="en-AU"/>
        </w:rPr>
        <w:t xml:space="preserve"> </w:t>
      </w:r>
      <w:r>
        <w:t>commenced on 29 July 2020.  The Act made amendments in three distinct areas to improve responses to domestic and family violence.</w:t>
      </w:r>
    </w:p>
    <w:p w14:paraId="418C1AEF" w14:textId="77777777" w:rsidR="00805360" w:rsidRDefault="00805360" w:rsidP="009C5ED6">
      <w:pPr>
        <w:pStyle w:val="ListParagraph"/>
        <w:numPr>
          <w:ilvl w:val="0"/>
          <w:numId w:val="18"/>
        </w:numPr>
        <w:spacing w:after="240"/>
        <w:ind w:left="1134" w:hanging="567"/>
      </w:pPr>
      <w:r>
        <w:t>The Act created a new Criminal Code offence of choking, suffocation and strangulation in a domestic relationship in recognition that if choking occurs as part of domestic violence it is a high risk factor for future harm and lethal outcomes.</w:t>
      </w:r>
    </w:p>
    <w:p w14:paraId="36F21D57" w14:textId="77777777" w:rsidR="00805360" w:rsidRDefault="00805360" w:rsidP="009C5ED6">
      <w:pPr>
        <w:pStyle w:val="ListParagraph"/>
        <w:numPr>
          <w:ilvl w:val="0"/>
          <w:numId w:val="18"/>
        </w:numPr>
        <w:spacing w:after="240"/>
        <w:ind w:left="1134" w:hanging="567"/>
      </w:pPr>
      <w:r>
        <w:t xml:space="preserve">The Act amended the </w:t>
      </w:r>
      <w:r w:rsidRPr="00FE4BE5">
        <w:rPr>
          <w:i/>
        </w:rPr>
        <w:t>Domestic and Family Violence 2007</w:t>
      </w:r>
      <w:r>
        <w:t xml:space="preserve"> to clarify that, as part of a </w:t>
      </w:r>
      <w:r w:rsidRPr="00A01D6B">
        <w:t>Domestic Violence Order</w:t>
      </w:r>
      <w:r w:rsidRPr="00FE4BE5">
        <w:rPr>
          <w:b/>
        </w:rPr>
        <w:t xml:space="preserve"> (</w:t>
      </w:r>
      <w:r>
        <w:t>DVO), the Local Court may order a tenancy agreement to be terminated even if a replacement agreement is not made.  The Act also removes the requirement that a relationship must be permanently broken down in order for a tenancy agreement to be terminated or replaced.</w:t>
      </w:r>
    </w:p>
    <w:p w14:paraId="015C5645" w14:textId="77777777" w:rsidR="00805360" w:rsidRDefault="00805360" w:rsidP="009C5ED6">
      <w:pPr>
        <w:pStyle w:val="ListParagraph"/>
        <w:numPr>
          <w:ilvl w:val="0"/>
          <w:numId w:val="18"/>
        </w:numPr>
        <w:spacing w:after="240"/>
        <w:ind w:left="1134" w:hanging="567"/>
      </w:pPr>
      <w:r>
        <w:t xml:space="preserve">The Act amended the </w:t>
      </w:r>
      <w:r w:rsidRPr="00FE4BE5">
        <w:rPr>
          <w:i/>
        </w:rPr>
        <w:t>Domestic and Family Violence 2007</w:t>
      </w:r>
      <w:r>
        <w:t xml:space="preserve"> to better regulate orders to attend rehabilitation programs made as part of a DVO.  The Act amends section 24 of the </w:t>
      </w:r>
      <w:r w:rsidRPr="00FE4BE5">
        <w:rPr>
          <w:i/>
        </w:rPr>
        <w:t>Domestic and Family Violence Act 2007</w:t>
      </w:r>
      <w:r>
        <w:t xml:space="preserve"> so that the safety and protection of the protected person is the paramount consideration for the Court in determining whether to make an order to attend a rehabilitation program.  </w:t>
      </w:r>
    </w:p>
    <w:p w14:paraId="4E66495E" w14:textId="77777777" w:rsidR="00805360" w:rsidRDefault="00805360" w:rsidP="009C5ED6">
      <w:pPr>
        <w:pStyle w:val="ListParagraph"/>
        <w:spacing w:after="240"/>
        <w:ind w:left="1134"/>
      </w:pPr>
      <w:r>
        <w:t xml:space="preserve">The Act created a new Part 2.11A of the </w:t>
      </w:r>
      <w:r w:rsidRPr="00846424">
        <w:rPr>
          <w:i/>
        </w:rPr>
        <w:t>Domestic and Family Violence Act 2007</w:t>
      </w:r>
      <w:r>
        <w:t xml:space="preserve"> to provide for rehabilitation programs. </w:t>
      </w:r>
      <w:r w:rsidRPr="00A04431">
        <w:t xml:space="preserve">This includes provisions for the Minister to declare programs to be rehabilitation programs for the purposes of the Act if their primary objective is to help a person who commits domestic violence to change their behaviour. </w:t>
      </w:r>
      <w:r>
        <w:t xml:space="preserve"> Part 2.11A also provided</w:t>
      </w:r>
      <w:r w:rsidRPr="00A04431">
        <w:t xml:space="preserve"> for the Court to conduct reviews to monitor the defendant’s progress.  </w:t>
      </w:r>
    </w:p>
    <w:p w14:paraId="45196CBF" w14:textId="77777777" w:rsidR="00805360" w:rsidRDefault="00805360" w:rsidP="009C5ED6">
      <w:pPr>
        <w:spacing w:after="240"/>
        <w:ind w:left="1134"/>
      </w:pPr>
      <w:r>
        <w:t xml:space="preserve">The Act amended section 78DI of the </w:t>
      </w:r>
      <w:r w:rsidRPr="00EC0155">
        <w:rPr>
          <w:i/>
        </w:rPr>
        <w:t>Sentencing Act 1995</w:t>
      </w:r>
      <w:r>
        <w:t xml:space="preserve"> to make clear that, if a defendant has satisfactorily completed a rehabilitation program ordered by the Court as part of a DVO, a Court may find that it constitutes exceptional circumstances for the purpose of mandatory sentencing.  This is intended to create greater incentive for defendants to agree to attend programs to help them stop using domestic and family violence.</w:t>
      </w:r>
    </w:p>
    <w:p w14:paraId="7B6DB945" w14:textId="77777777" w:rsidR="00805360" w:rsidRDefault="00805360" w:rsidP="009C5ED6">
      <w:pPr>
        <w:pStyle w:val="ListParagraph"/>
        <w:numPr>
          <w:ilvl w:val="0"/>
          <w:numId w:val="11"/>
        </w:numPr>
        <w:ind w:left="567" w:hanging="567"/>
        <w:rPr>
          <w:lang w:eastAsia="en-AU"/>
        </w:rPr>
      </w:pPr>
      <w:r w:rsidRPr="00FE4BE5">
        <w:rPr>
          <w:b/>
          <w:i/>
          <w:lang w:eastAsia="en-AU"/>
        </w:rPr>
        <w:t>Evidence and Other Legislation Amendment Act 2020</w:t>
      </w:r>
      <w:r>
        <w:rPr>
          <w:lang w:eastAsia="en-AU"/>
        </w:rPr>
        <w:t xml:space="preserve"> commenced on </w:t>
      </w:r>
      <w:r w:rsidRPr="004311FB">
        <w:rPr>
          <w:lang w:eastAsia="en-AU"/>
        </w:rPr>
        <w:t>29 July 2020</w:t>
      </w:r>
      <w:r>
        <w:rPr>
          <w:lang w:eastAsia="en-AU"/>
        </w:rPr>
        <w:t xml:space="preserve">. The Act expanded the use of video conferencing and enhanced the protections for vulnerable witnesses in sexual and domestic violence proceedings.  </w:t>
      </w:r>
    </w:p>
    <w:p w14:paraId="3B697CC2" w14:textId="77777777" w:rsidR="00805360" w:rsidRDefault="00805360" w:rsidP="009C5ED6">
      <w:pPr>
        <w:pStyle w:val="ListParagraph"/>
        <w:numPr>
          <w:ilvl w:val="0"/>
          <w:numId w:val="11"/>
        </w:numPr>
        <w:ind w:left="567" w:hanging="567"/>
        <w:rPr>
          <w:lang w:eastAsia="en-AU"/>
        </w:rPr>
      </w:pPr>
      <w:r w:rsidRPr="00FE4BE5">
        <w:rPr>
          <w:b/>
          <w:i/>
          <w:lang w:eastAsia="en-AU"/>
        </w:rPr>
        <w:t>Domestic and Family Violence (Information Sharing) Act 2018</w:t>
      </w:r>
      <w:r>
        <w:rPr>
          <w:lang w:eastAsia="en-AU"/>
        </w:rPr>
        <w:t xml:space="preserve"> commenced on 30 August 2019. The Act introduced a new Chapter 5A in the DFVA which provides for the sharing of information to assess, lessen and prevent serious threats due to domestic violence. </w:t>
      </w:r>
    </w:p>
    <w:p w14:paraId="58E3FF82" w14:textId="77777777" w:rsidR="00805360" w:rsidRDefault="00805360" w:rsidP="009C5ED6">
      <w:pPr>
        <w:pStyle w:val="ListParagraph"/>
        <w:numPr>
          <w:ilvl w:val="0"/>
          <w:numId w:val="11"/>
        </w:numPr>
        <w:ind w:left="567" w:hanging="567"/>
        <w:rPr>
          <w:lang w:eastAsia="en-AU"/>
        </w:rPr>
      </w:pPr>
      <w:r w:rsidRPr="00846424">
        <w:rPr>
          <w:b/>
          <w:i/>
          <w:lang w:eastAsia="en-AU"/>
        </w:rPr>
        <w:t xml:space="preserve">Justice Legislation Amendment (Body Worn Video </w:t>
      </w:r>
      <w:r>
        <w:rPr>
          <w:b/>
          <w:i/>
          <w:lang w:eastAsia="en-AU"/>
        </w:rPr>
        <w:t xml:space="preserve">and </w:t>
      </w:r>
      <w:r w:rsidRPr="00846424">
        <w:rPr>
          <w:b/>
          <w:i/>
          <w:lang w:eastAsia="en-AU"/>
        </w:rPr>
        <w:t>Domestic Violence Evidence) Act 201</w:t>
      </w:r>
      <w:r w:rsidRPr="00846424">
        <w:rPr>
          <w:b/>
          <w:lang w:eastAsia="en-AU"/>
        </w:rPr>
        <w:t>7</w:t>
      </w:r>
      <w:r>
        <w:rPr>
          <w:lang w:eastAsia="en-AU"/>
        </w:rPr>
        <w:t xml:space="preserve"> commenced on 25 November 2017.  The Act amended legislation to allow born worn camera recordings to be used as evidence for complainants of DFV related offences in criminal court proceedings.  </w:t>
      </w:r>
    </w:p>
    <w:p w14:paraId="3DCE00AF" w14:textId="77777777" w:rsidR="00805360" w:rsidRDefault="00805360" w:rsidP="009C5ED6">
      <w:pPr>
        <w:pStyle w:val="ListParagraph"/>
        <w:numPr>
          <w:ilvl w:val="0"/>
          <w:numId w:val="11"/>
        </w:numPr>
        <w:ind w:left="567" w:hanging="567"/>
        <w:rPr>
          <w:lang w:eastAsia="en-AU"/>
        </w:rPr>
      </w:pPr>
      <w:r w:rsidRPr="00846424">
        <w:rPr>
          <w:b/>
          <w:i/>
          <w:lang w:eastAsia="en-AU"/>
        </w:rPr>
        <w:lastRenderedPageBreak/>
        <w:t>Domestic and Family Violence (Recognition of Domestic Violence Orders) (National Uniform Law) Amendment Act 2017</w:t>
      </w:r>
      <w:r>
        <w:rPr>
          <w:lang w:eastAsia="en-AU"/>
        </w:rPr>
        <w:t xml:space="preserve"> commenced on 25 November 2017 and provided for the national recognition of DVOs. </w:t>
      </w:r>
    </w:p>
    <w:p w14:paraId="22E1C75D" w14:textId="7718094E" w:rsidR="00957E70" w:rsidRDefault="00C12349">
      <w:pPr>
        <w:rPr>
          <w:lang w:eastAsia="en-AU"/>
        </w:rPr>
      </w:pPr>
      <w:r>
        <w:rPr>
          <w:lang w:eastAsia="en-AU"/>
        </w:rPr>
        <w:br w:type="page"/>
      </w:r>
    </w:p>
    <w:p w14:paraId="778D9E0E" w14:textId="3991B3D9" w:rsidR="00B209F3" w:rsidRPr="00B209F3" w:rsidRDefault="00B209F3" w:rsidP="00B209F3">
      <w:pPr>
        <w:pStyle w:val="Heading2"/>
        <w:rPr>
          <w:lang w:eastAsia="en-AU"/>
        </w:rPr>
      </w:pPr>
      <w:bookmarkStart w:id="133" w:name="_Toc112051915"/>
      <w:r w:rsidRPr="00B209F3">
        <w:rPr>
          <w:i/>
          <w:lang w:eastAsia="en-AU"/>
        </w:rPr>
        <w:lastRenderedPageBreak/>
        <w:t xml:space="preserve">Domestic Abuse </w:t>
      </w:r>
      <w:r w:rsidR="001803CD" w:rsidRPr="00B209F3">
        <w:rPr>
          <w:lang w:eastAsia="en-AU"/>
        </w:rPr>
        <w:t>(Scotland)</w:t>
      </w:r>
      <w:r w:rsidR="001803CD">
        <w:rPr>
          <w:lang w:eastAsia="en-AU"/>
        </w:rPr>
        <w:t xml:space="preserve"> </w:t>
      </w:r>
      <w:r w:rsidRPr="00B209F3">
        <w:rPr>
          <w:i/>
          <w:lang w:eastAsia="en-AU"/>
        </w:rPr>
        <w:t>Act 2018</w:t>
      </w:r>
      <w:r w:rsidRPr="00B209F3">
        <w:rPr>
          <w:lang w:eastAsia="en-AU"/>
        </w:rPr>
        <w:t xml:space="preserve"> </w:t>
      </w:r>
      <w:r w:rsidR="00A81837">
        <w:rPr>
          <w:lang w:eastAsia="en-AU"/>
        </w:rPr>
        <w:t>- Excerpts</w:t>
      </w:r>
      <w:bookmarkEnd w:id="133"/>
    </w:p>
    <w:p w14:paraId="1F4C1B0D" w14:textId="050B328B" w:rsidR="00B209F3" w:rsidRPr="00173C5D" w:rsidRDefault="00B209F3" w:rsidP="00A60F47">
      <w:pPr>
        <w:spacing w:after="120"/>
        <w:rPr>
          <w:rStyle w:val="legpblocktitle"/>
          <w:rFonts w:asciiTheme="minorHAnsi" w:hAnsiTheme="minorHAnsi" w:cs="Arial"/>
          <w:bCs/>
          <w:color w:val="000000"/>
        </w:rPr>
      </w:pPr>
      <w:r w:rsidRPr="00173C5D">
        <w:rPr>
          <w:rStyle w:val="legpartno"/>
          <w:rFonts w:asciiTheme="minorHAnsi" w:hAnsiTheme="minorHAnsi" w:cs="Arial"/>
          <w:smallCaps/>
          <w:color w:val="000000"/>
        </w:rPr>
        <w:t>Part 1</w:t>
      </w:r>
      <w:r w:rsidRPr="00173C5D">
        <w:rPr>
          <w:rStyle w:val="legpartno"/>
          <w:rFonts w:asciiTheme="minorHAnsi" w:hAnsiTheme="minorHAnsi" w:cs="Arial"/>
          <w:smallCaps/>
          <w:color w:val="000000"/>
        </w:rPr>
        <w:tab/>
      </w:r>
      <w:r w:rsidRPr="00173C5D">
        <w:rPr>
          <w:rStyle w:val="legpartno"/>
          <w:rFonts w:asciiTheme="minorHAnsi" w:hAnsiTheme="minorHAnsi" w:cs="Arial"/>
          <w:smallCaps/>
          <w:color w:val="000000"/>
        </w:rPr>
        <w:tab/>
      </w:r>
      <w:r w:rsidRPr="00173C5D">
        <w:rPr>
          <w:rStyle w:val="legparttitle"/>
          <w:rFonts w:asciiTheme="minorHAnsi" w:hAnsiTheme="minorHAnsi" w:cs="Arial"/>
          <w:b/>
          <w:bCs/>
          <w:smallCaps/>
          <w:color w:val="000000"/>
        </w:rPr>
        <w:t>Offence as to domestic abuse</w:t>
      </w:r>
    </w:p>
    <w:p w14:paraId="6173594E" w14:textId="2D3682FE" w:rsidR="00B209F3" w:rsidRPr="00173C5D" w:rsidRDefault="00B209F3" w:rsidP="00A60F47">
      <w:pPr>
        <w:spacing w:after="120"/>
        <w:rPr>
          <w:rFonts w:asciiTheme="minorHAnsi" w:hAnsiTheme="minorHAnsi"/>
        </w:rPr>
      </w:pPr>
      <w:r w:rsidRPr="00173C5D">
        <w:rPr>
          <w:rStyle w:val="legpblocktitle"/>
          <w:rFonts w:asciiTheme="minorHAnsi" w:hAnsiTheme="minorHAnsi"/>
          <w:b/>
          <w:bCs/>
          <w:i/>
          <w:iCs/>
          <w:color w:val="000000"/>
        </w:rPr>
        <w:t>Engaging in course of abusive behaviour</w:t>
      </w:r>
    </w:p>
    <w:p w14:paraId="2135E1BA" w14:textId="4964E6D1" w:rsidR="00B209F3" w:rsidRPr="00173C5D" w:rsidRDefault="00B209F3" w:rsidP="00A60F47">
      <w:pPr>
        <w:spacing w:after="120"/>
        <w:rPr>
          <w:rFonts w:asciiTheme="minorHAnsi" w:hAnsiTheme="minorHAnsi" w:cs="Arial"/>
        </w:rPr>
      </w:pPr>
      <w:r w:rsidRPr="00173C5D">
        <w:rPr>
          <w:rStyle w:val="legds"/>
          <w:rFonts w:asciiTheme="minorHAnsi" w:hAnsiTheme="minorHAnsi"/>
          <w:b/>
          <w:color w:val="000000"/>
        </w:rPr>
        <w:t>1  Abusive behaviour towards partner or ex-partner</w:t>
      </w:r>
    </w:p>
    <w:p w14:paraId="2B214EA0" w14:textId="23643CF0" w:rsidR="00B209F3" w:rsidRPr="00173C5D" w:rsidRDefault="00B209F3" w:rsidP="00A60F47">
      <w:pPr>
        <w:pStyle w:val="legclearfix"/>
        <w:shd w:val="clear" w:color="auto" w:fill="FFFFFF"/>
        <w:spacing w:before="0" w:beforeAutospacing="0" w:after="120" w:afterAutospacing="0"/>
        <w:rPr>
          <w:rFonts w:asciiTheme="minorHAnsi" w:hAnsiTheme="minorHAnsi" w:cs="Arial"/>
          <w:color w:val="000000"/>
          <w:sz w:val="22"/>
          <w:szCs w:val="22"/>
        </w:rPr>
      </w:pPr>
      <w:r w:rsidRPr="00173C5D">
        <w:rPr>
          <w:rStyle w:val="legds"/>
          <w:rFonts w:asciiTheme="minorHAnsi" w:hAnsiTheme="minorHAnsi"/>
          <w:color w:val="000000"/>
          <w:sz w:val="22"/>
          <w:szCs w:val="22"/>
        </w:rPr>
        <w:t>(1) A person commits an offence if—</w:t>
      </w:r>
    </w:p>
    <w:p w14:paraId="37D2107D" w14:textId="0644AA81" w:rsidR="00B209F3" w:rsidRPr="00173C5D" w:rsidRDefault="00B209F3" w:rsidP="00A60F47">
      <w:pPr>
        <w:pStyle w:val="legclearfix"/>
        <w:shd w:val="clear" w:color="auto" w:fill="FFFFFF"/>
        <w:spacing w:before="0" w:beforeAutospacing="0" w:after="120" w:afterAutospacing="0"/>
        <w:ind w:left="568"/>
        <w:rPr>
          <w:rFonts w:asciiTheme="minorHAnsi" w:hAnsiTheme="minorHAnsi" w:cs="Arial"/>
          <w:color w:val="000000"/>
          <w:sz w:val="22"/>
          <w:szCs w:val="22"/>
        </w:rPr>
      </w:pPr>
      <w:r w:rsidRPr="00173C5D">
        <w:rPr>
          <w:rStyle w:val="legds"/>
          <w:rFonts w:asciiTheme="minorHAnsi" w:hAnsiTheme="minorHAnsi"/>
          <w:color w:val="000000"/>
          <w:sz w:val="22"/>
          <w:szCs w:val="22"/>
        </w:rPr>
        <w:t>(a) the person (“A”) engages in a course of behaviour which is abusive of A’s partner or ex-partner (“B”), and</w:t>
      </w:r>
    </w:p>
    <w:p w14:paraId="10CF6660" w14:textId="6624B387" w:rsidR="00B209F3" w:rsidRPr="00173C5D" w:rsidRDefault="00B209F3" w:rsidP="00A60F47">
      <w:pPr>
        <w:pStyle w:val="legclearfix"/>
        <w:shd w:val="clear" w:color="auto" w:fill="FFFFFF"/>
        <w:spacing w:before="0" w:beforeAutospacing="0" w:after="120" w:afterAutospacing="0"/>
        <w:ind w:left="568"/>
        <w:rPr>
          <w:rFonts w:asciiTheme="minorHAnsi" w:hAnsiTheme="minorHAnsi" w:cs="Arial"/>
          <w:color w:val="000000"/>
          <w:sz w:val="22"/>
          <w:szCs w:val="22"/>
        </w:rPr>
      </w:pPr>
      <w:r w:rsidRPr="00173C5D">
        <w:rPr>
          <w:rStyle w:val="legds"/>
          <w:rFonts w:asciiTheme="minorHAnsi" w:hAnsiTheme="minorHAnsi"/>
          <w:color w:val="000000"/>
          <w:sz w:val="22"/>
          <w:szCs w:val="22"/>
        </w:rPr>
        <w:t>(b) both of the further conditions are met.</w:t>
      </w:r>
    </w:p>
    <w:p w14:paraId="7F9737FA" w14:textId="0A1DF24C" w:rsidR="00B209F3" w:rsidRPr="00173C5D" w:rsidRDefault="00B209F3" w:rsidP="00A60F47">
      <w:pPr>
        <w:pStyle w:val="legclearfix"/>
        <w:shd w:val="clear" w:color="auto" w:fill="FFFFFF"/>
        <w:spacing w:before="0" w:beforeAutospacing="0" w:after="120" w:afterAutospacing="0"/>
        <w:rPr>
          <w:rFonts w:asciiTheme="minorHAnsi" w:hAnsiTheme="minorHAnsi" w:cs="Arial"/>
          <w:color w:val="000000"/>
          <w:sz w:val="22"/>
          <w:szCs w:val="22"/>
        </w:rPr>
      </w:pPr>
      <w:r w:rsidRPr="00173C5D">
        <w:rPr>
          <w:rStyle w:val="legds"/>
          <w:rFonts w:asciiTheme="minorHAnsi" w:hAnsiTheme="minorHAnsi"/>
          <w:color w:val="000000"/>
          <w:sz w:val="22"/>
          <w:szCs w:val="22"/>
        </w:rPr>
        <w:t>(2)</w:t>
      </w:r>
      <w:r w:rsidR="00F53D74">
        <w:rPr>
          <w:rStyle w:val="legds"/>
          <w:rFonts w:asciiTheme="minorHAnsi" w:hAnsiTheme="minorHAnsi"/>
          <w:color w:val="000000"/>
          <w:sz w:val="22"/>
          <w:szCs w:val="22"/>
        </w:rPr>
        <w:t xml:space="preserve"> </w:t>
      </w:r>
      <w:r w:rsidRPr="00173C5D">
        <w:rPr>
          <w:rStyle w:val="legds"/>
          <w:rFonts w:asciiTheme="minorHAnsi" w:hAnsiTheme="minorHAnsi"/>
          <w:color w:val="000000"/>
          <w:sz w:val="22"/>
          <w:szCs w:val="22"/>
        </w:rPr>
        <w:t>The further conditions are—</w:t>
      </w:r>
    </w:p>
    <w:p w14:paraId="674B807B" w14:textId="78E13C8F" w:rsidR="00B209F3" w:rsidRPr="00173C5D" w:rsidRDefault="00B209F3" w:rsidP="00A60F47">
      <w:pPr>
        <w:pStyle w:val="legclearfix"/>
        <w:shd w:val="clear" w:color="auto" w:fill="FFFFFF"/>
        <w:spacing w:before="0" w:beforeAutospacing="0" w:after="120" w:afterAutospacing="0"/>
        <w:ind w:left="852" w:hanging="284"/>
        <w:rPr>
          <w:rFonts w:asciiTheme="minorHAnsi" w:hAnsiTheme="minorHAnsi" w:cs="Arial"/>
          <w:color w:val="000000"/>
          <w:sz w:val="22"/>
          <w:szCs w:val="22"/>
        </w:rPr>
      </w:pPr>
      <w:r w:rsidRPr="00173C5D">
        <w:rPr>
          <w:rStyle w:val="legds"/>
          <w:rFonts w:asciiTheme="minorHAnsi" w:hAnsiTheme="minorHAnsi"/>
          <w:color w:val="000000"/>
          <w:sz w:val="22"/>
          <w:szCs w:val="22"/>
        </w:rPr>
        <w:t>(a) that a reasonable person would consider the course of behaviour to be likely to cause B to suffer physical or psychological harm,</w:t>
      </w:r>
    </w:p>
    <w:p w14:paraId="568CE8E4" w14:textId="462188DB" w:rsidR="00B209F3" w:rsidRPr="00173C5D" w:rsidRDefault="00B209F3" w:rsidP="00A60F47">
      <w:pPr>
        <w:pStyle w:val="legclearfix"/>
        <w:shd w:val="clear" w:color="auto" w:fill="FFFFFF"/>
        <w:spacing w:before="0" w:beforeAutospacing="0" w:after="120" w:afterAutospacing="0"/>
        <w:ind w:left="852" w:hanging="284"/>
        <w:rPr>
          <w:rFonts w:asciiTheme="minorHAnsi" w:hAnsiTheme="minorHAnsi" w:cs="Arial"/>
          <w:color w:val="000000"/>
          <w:sz w:val="22"/>
          <w:szCs w:val="22"/>
        </w:rPr>
      </w:pPr>
      <w:r w:rsidRPr="00173C5D">
        <w:rPr>
          <w:rStyle w:val="legds"/>
          <w:rFonts w:asciiTheme="minorHAnsi" w:hAnsiTheme="minorHAnsi"/>
          <w:color w:val="000000"/>
          <w:sz w:val="22"/>
          <w:szCs w:val="22"/>
        </w:rPr>
        <w:t>(b) that either—</w:t>
      </w:r>
    </w:p>
    <w:p w14:paraId="76CF567B" w14:textId="554BFBFD" w:rsidR="00B209F3" w:rsidRPr="00173C5D" w:rsidRDefault="00B209F3" w:rsidP="00A60F47">
      <w:pPr>
        <w:pStyle w:val="legclearfix"/>
        <w:shd w:val="clear" w:color="auto" w:fill="FFFFFF"/>
        <w:spacing w:before="0" w:beforeAutospacing="0" w:after="120" w:afterAutospacing="0"/>
        <w:ind w:left="1136"/>
        <w:rPr>
          <w:rFonts w:asciiTheme="minorHAnsi" w:hAnsiTheme="minorHAnsi" w:cs="Arial"/>
          <w:color w:val="000000"/>
          <w:sz w:val="22"/>
          <w:szCs w:val="22"/>
        </w:rPr>
      </w:pPr>
      <w:r w:rsidRPr="00173C5D">
        <w:rPr>
          <w:rStyle w:val="legds"/>
          <w:rFonts w:asciiTheme="minorHAnsi" w:hAnsiTheme="minorHAnsi"/>
          <w:color w:val="000000"/>
          <w:sz w:val="22"/>
          <w:szCs w:val="22"/>
        </w:rPr>
        <w:t>(i) A intends by the course of behaviour to cause B to suffer physical or psychological harm, or</w:t>
      </w:r>
    </w:p>
    <w:p w14:paraId="0B359CDB" w14:textId="2A7D4746" w:rsidR="00B209F3" w:rsidRPr="00173C5D" w:rsidRDefault="00B209F3" w:rsidP="00A60F47">
      <w:pPr>
        <w:pStyle w:val="legclearfix"/>
        <w:shd w:val="clear" w:color="auto" w:fill="FFFFFF"/>
        <w:spacing w:before="0" w:beforeAutospacing="0" w:after="120" w:afterAutospacing="0"/>
        <w:ind w:left="1136"/>
        <w:rPr>
          <w:rFonts w:asciiTheme="minorHAnsi" w:hAnsiTheme="minorHAnsi" w:cs="Arial"/>
          <w:color w:val="000000"/>
          <w:sz w:val="22"/>
          <w:szCs w:val="22"/>
        </w:rPr>
      </w:pPr>
      <w:r w:rsidRPr="00173C5D">
        <w:rPr>
          <w:rStyle w:val="legds"/>
          <w:rFonts w:asciiTheme="minorHAnsi" w:hAnsiTheme="minorHAnsi"/>
          <w:color w:val="000000"/>
          <w:sz w:val="22"/>
          <w:szCs w:val="22"/>
        </w:rPr>
        <w:t>(ii) A is reckless as to whether the course of behaviour causes B to suffer physical or psychological harm.</w:t>
      </w:r>
    </w:p>
    <w:p w14:paraId="22CF2DE4" w14:textId="543974CD" w:rsidR="00B209F3" w:rsidRPr="00173C5D" w:rsidRDefault="00B209F3" w:rsidP="00A60F47">
      <w:pPr>
        <w:pStyle w:val="legclearfix"/>
        <w:shd w:val="clear" w:color="auto" w:fill="FFFFFF"/>
        <w:spacing w:before="0" w:beforeAutospacing="0" w:after="120" w:afterAutospacing="0"/>
        <w:rPr>
          <w:rFonts w:asciiTheme="minorHAnsi" w:hAnsiTheme="minorHAnsi" w:cs="Arial"/>
          <w:color w:val="000000"/>
          <w:sz w:val="22"/>
          <w:szCs w:val="22"/>
        </w:rPr>
      </w:pPr>
      <w:r w:rsidRPr="00173C5D">
        <w:rPr>
          <w:rStyle w:val="legds"/>
          <w:rFonts w:asciiTheme="minorHAnsi" w:hAnsiTheme="minorHAnsi"/>
          <w:color w:val="000000"/>
          <w:sz w:val="22"/>
          <w:szCs w:val="22"/>
        </w:rPr>
        <w:t>(3 )</w:t>
      </w:r>
      <w:r w:rsidR="00F53D74">
        <w:rPr>
          <w:rStyle w:val="legds"/>
          <w:rFonts w:asciiTheme="minorHAnsi" w:hAnsiTheme="minorHAnsi"/>
          <w:color w:val="000000"/>
          <w:sz w:val="22"/>
          <w:szCs w:val="22"/>
        </w:rPr>
        <w:t xml:space="preserve"> </w:t>
      </w:r>
      <w:r w:rsidRPr="00173C5D">
        <w:rPr>
          <w:rStyle w:val="legds"/>
          <w:rFonts w:asciiTheme="minorHAnsi" w:hAnsiTheme="minorHAnsi"/>
          <w:color w:val="000000"/>
          <w:sz w:val="22"/>
          <w:szCs w:val="22"/>
        </w:rPr>
        <w:t>In the further conditions, the references to psychological harm include fear, alarm and distress.</w:t>
      </w:r>
    </w:p>
    <w:p w14:paraId="01203D61" w14:textId="23928A2B" w:rsidR="00B209F3" w:rsidRPr="00173C5D" w:rsidRDefault="00B209F3" w:rsidP="00A60F47">
      <w:pPr>
        <w:spacing w:after="120"/>
        <w:rPr>
          <w:rFonts w:asciiTheme="minorHAnsi" w:hAnsiTheme="minorHAnsi" w:cs="Arial"/>
        </w:rPr>
      </w:pPr>
      <w:r w:rsidRPr="00173C5D">
        <w:rPr>
          <w:rStyle w:val="legds"/>
          <w:rFonts w:asciiTheme="minorHAnsi" w:hAnsiTheme="minorHAnsi"/>
          <w:b/>
          <w:color w:val="000000"/>
        </w:rPr>
        <w:t>2  What constitutes abusive behaviour</w:t>
      </w:r>
    </w:p>
    <w:p w14:paraId="4CDF5288" w14:textId="4C58D18D" w:rsidR="00B209F3" w:rsidRPr="00173C5D" w:rsidRDefault="00B209F3" w:rsidP="00A60F47">
      <w:pPr>
        <w:pStyle w:val="legclearfix"/>
        <w:shd w:val="clear" w:color="auto" w:fill="FFFFFF"/>
        <w:spacing w:before="0" w:beforeAutospacing="0" w:after="120" w:afterAutospacing="0"/>
        <w:rPr>
          <w:rFonts w:asciiTheme="minorHAnsi" w:hAnsiTheme="minorHAnsi" w:cs="Arial"/>
          <w:color w:val="000000"/>
          <w:sz w:val="22"/>
          <w:szCs w:val="22"/>
        </w:rPr>
      </w:pPr>
      <w:r w:rsidRPr="00173C5D">
        <w:rPr>
          <w:rStyle w:val="legds"/>
          <w:rFonts w:asciiTheme="minorHAnsi" w:hAnsiTheme="minorHAnsi"/>
          <w:color w:val="000000"/>
          <w:sz w:val="22"/>
          <w:szCs w:val="22"/>
        </w:rPr>
        <w:t>(1) Subsections (2) to (4) elaborate on section 1(1) as to A’s behaviour.</w:t>
      </w:r>
    </w:p>
    <w:p w14:paraId="2E6E1043" w14:textId="05D046F0" w:rsidR="00B209F3" w:rsidRPr="00173C5D" w:rsidRDefault="00B209F3" w:rsidP="00A60F47">
      <w:pPr>
        <w:pStyle w:val="legclearfix"/>
        <w:shd w:val="clear" w:color="auto" w:fill="FFFFFF"/>
        <w:spacing w:before="0" w:beforeAutospacing="0" w:after="120" w:afterAutospacing="0"/>
        <w:rPr>
          <w:rFonts w:asciiTheme="minorHAnsi" w:hAnsiTheme="minorHAnsi" w:cs="Arial"/>
          <w:color w:val="000000"/>
          <w:sz w:val="22"/>
          <w:szCs w:val="22"/>
        </w:rPr>
      </w:pPr>
      <w:r w:rsidRPr="00173C5D">
        <w:rPr>
          <w:rStyle w:val="legds"/>
          <w:rFonts w:asciiTheme="minorHAnsi" w:hAnsiTheme="minorHAnsi"/>
          <w:color w:val="000000"/>
          <w:sz w:val="22"/>
          <w:szCs w:val="22"/>
        </w:rPr>
        <w:t>(2) Behaviour which is abusive of B includes (in particular)—</w:t>
      </w:r>
    </w:p>
    <w:p w14:paraId="4F72AC03" w14:textId="6767BA65" w:rsidR="00B209F3" w:rsidRPr="00173C5D" w:rsidRDefault="00B209F3" w:rsidP="00A60F47">
      <w:pPr>
        <w:pStyle w:val="legclearfix"/>
        <w:shd w:val="clear" w:color="auto" w:fill="FFFFFF"/>
        <w:spacing w:before="0" w:beforeAutospacing="0" w:after="120" w:afterAutospacing="0"/>
        <w:ind w:left="568"/>
        <w:rPr>
          <w:rFonts w:asciiTheme="minorHAnsi" w:hAnsiTheme="minorHAnsi" w:cs="Arial"/>
          <w:color w:val="000000"/>
          <w:sz w:val="22"/>
          <w:szCs w:val="22"/>
        </w:rPr>
      </w:pPr>
      <w:r w:rsidRPr="00173C5D">
        <w:rPr>
          <w:rStyle w:val="legds"/>
          <w:rFonts w:asciiTheme="minorHAnsi" w:hAnsiTheme="minorHAnsi"/>
          <w:color w:val="000000"/>
          <w:sz w:val="22"/>
          <w:szCs w:val="22"/>
        </w:rPr>
        <w:t>(a) behaviour directed at B that is violent, threatening or intimidating,</w:t>
      </w:r>
    </w:p>
    <w:p w14:paraId="7D3DC87A" w14:textId="7C3E4932" w:rsidR="00B209F3" w:rsidRPr="00173C5D" w:rsidRDefault="00B209F3" w:rsidP="00A60F47">
      <w:pPr>
        <w:pStyle w:val="legclearfix"/>
        <w:shd w:val="clear" w:color="auto" w:fill="FFFFFF"/>
        <w:spacing w:before="0" w:beforeAutospacing="0" w:after="120" w:afterAutospacing="0"/>
        <w:ind w:left="568"/>
        <w:rPr>
          <w:rFonts w:asciiTheme="minorHAnsi" w:hAnsiTheme="minorHAnsi" w:cs="Arial"/>
          <w:color w:val="000000"/>
          <w:sz w:val="22"/>
          <w:szCs w:val="22"/>
        </w:rPr>
      </w:pPr>
      <w:r w:rsidRPr="00173C5D">
        <w:rPr>
          <w:rStyle w:val="legds"/>
          <w:rFonts w:asciiTheme="minorHAnsi" w:hAnsiTheme="minorHAnsi"/>
          <w:color w:val="000000"/>
          <w:sz w:val="22"/>
          <w:szCs w:val="22"/>
        </w:rPr>
        <w:t>(b) behaviour directed at B, at a child of B or at another person that either—</w:t>
      </w:r>
    </w:p>
    <w:p w14:paraId="4640E4E9" w14:textId="3624740F" w:rsidR="00B209F3" w:rsidRPr="00173C5D" w:rsidRDefault="00B209F3" w:rsidP="00A60F47">
      <w:pPr>
        <w:pStyle w:val="legclearfix"/>
        <w:shd w:val="clear" w:color="auto" w:fill="FFFFFF"/>
        <w:spacing w:before="0" w:beforeAutospacing="0" w:after="120" w:afterAutospacing="0"/>
        <w:ind w:left="1420" w:hanging="284"/>
        <w:rPr>
          <w:rFonts w:asciiTheme="minorHAnsi" w:hAnsiTheme="minorHAnsi" w:cs="Arial"/>
          <w:color w:val="000000"/>
          <w:sz w:val="22"/>
          <w:szCs w:val="22"/>
        </w:rPr>
      </w:pPr>
      <w:r w:rsidRPr="00173C5D">
        <w:rPr>
          <w:rStyle w:val="legds"/>
          <w:rFonts w:asciiTheme="minorHAnsi" w:hAnsiTheme="minorHAnsi"/>
          <w:color w:val="000000"/>
          <w:sz w:val="22"/>
          <w:szCs w:val="22"/>
        </w:rPr>
        <w:t>(i) has as its purpose (or among its purposes) one or more of the relevant effects set out in subsection (3), or</w:t>
      </w:r>
    </w:p>
    <w:p w14:paraId="429A8A66" w14:textId="7143BC16" w:rsidR="00B209F3" w:rsidRPr="00173C5D" w:rsidRDefault="00B209F3" w:rsidP="00A60F47">
      <w:pPr>
        <w:pStyle w:val="legclearfix"/>
        <w:shd w:val="clear" w:color="auto" w:fill="FFFFFF"/>
        <w:spacing w:before="0" w:beforeAutospacing="0" w:after="120" w:afterAutospacing="0"/>
        <w:ind w:left="1420" w:hanging="284"/>
        <w:rPr>
          <w:rFonts w:asciiTheme="minorHAnsi" w:hAnsiTheme="minorHAnsi" w:cs="Arial"/>
          <w:color w:val="000000"/>
          <w:sz w:val="22"/>
          <w:szCs w:val="22"/>
        </w:rPr>
      </w:pPr>
      <w:r w:rsidRPr="00173C5D">
        <w:rPr>
          <w:rStyle w:val="legds"/>
          <w:rFonts w:asciiTheme="minorHAnsi" w:hAnsiTheme="minorHAnsi"/>
          <w:color w:val="000000"/>
          <w:sz w:val="22"/>
          <w:szCs w:val="22"/>
        </w:rPr>
        <w:t>(ii) would be considered by a reasonable person to be likely to have one or more of the relevant effects set out in subsection (3).</w:t>
      </w:r>
    </w:p>
    <w:p w14:paraId="3DBC3708" w14:textId="5DAE9AB6" w:rsidR="00B209F3" w:rsidRPr="00173C5D" w:rsidRDefault="00B209F3" w:rsidP="00A60F47">
      <w:pPr>
        <w:pStyle w:val="legclearfix"/>
        <w:shd w:val="clear" w:color="auto" w:fill="FFFFFF"/>
        <w:spacing w:before="0" w:beforeAutospacing="0" w:after="120" w:afterAutospacing="0"/>
        <w:rPr>
          <w:rFonts w:asciiTheme="minorHAnsi" w:hAnsiTheme="minorHAnsi" w:cs="Arial"/>
          <w:color w:val="000000"/>
          <w:sz w:val="22"/>
          <w:szCs w:val="22"/>
        </w:rPr>
      </w:pPr>
      <w:r w:rsidRPr="00173C5D">
        <w:rPr>
          <w:rStyle w:val="legds"/>
          <w:rFonts w:asciiTheme="minorHAnsi" w:hAnsiTheme="minorHAnsi"/>
          <w:color w:val="000000"/>
          <w:sz w:val="22"/>
          <w:szCs w:val="22"/>
        </w:rPr>
        <w:t>(3) The relevant effects are of—</w:t>
      </w:r>
    </w:p>
    <w:p w14:paraId="78980EC9" w14:textId="4DEE137E" w:rsidR="00B209F3" w:rsidRPr="00173C5D" w:rsidRDefault="00B209F3" w:rsidP="00A60F47">
      <w:pPr>
        <w:pStyle w:val="legclearfix"/>
        <w:shd w:val="clear" w:color="auto" w:fill="FFFFFF"/>
        <w:spacing w:before="0" w:beforeAutospacing="0" w:after="120" w:afterAutospacing="0"/>
        <w:ind w:left="568"/>
        <w:rPr>
          <w:rFonts w:asciiTheme="minorHAnsi" w:hAnsiTheme="minorHAnsi" w:cs="Arial"/>
          <w:color w:val="000000"/>
          <w:sz w:val="22"/>
          <w:szCs w:val="22"/>
        </w:rPr>
      </w:pPr>
      <w:r w:rsidRPr="00173C5D">
        <w:rPr>
          <w:rStyle w:val="legds"/>
          <w:rFonts w:asciiTheme="minorHAnsi" w:hAnsiTheme="minorHAnsi"/>
          <w:color w:val="000000"/>
          <w:sz w:val="22"/>
          <w:szCs w:val="22"/>
        </w:rPr>
        <w:t>(a) making B dependent on, or subordinate to, A,</w:t>
      </w:r>
    </w:p>
    <w:p w14:paraId="7C7C2FE6" w14:textId="03E260F2" w:rsidR="00B209F3" w:rsidRPr="00173C5D" w:rsidRDefault="00B209F3" w:rsidP="00A60F47">
      <w:pPr>
        <w:pStyle w:val="legclearfix"/>
        <w:shd w:val="clear" w:color="auto" w:fill="FFFFFF"/>
        <w:spacing w:before="0" w:beforeAutospacing="0" w:after="120" w:afterAutospacing="0"/>
        <w:ind w:left="568"/>
        <w:rPr>
          <w:rFonts w:asciiTheme="minorHAnsi" w:hAnsiTheme="minorHAnsi" w:cs="Arial"/>
          <w:color w:val="000000"/>
          <w:sz w:val="22"/>
          <w:szCs w:val="22"/>
        </w:rPr>
      </w:pPr>
      <w:r w:rsidRPr="00173C5D">
        <w:rPr>
          <w:rStyle w:val="legds"/>
          <w:rFonts w:asciiTheme="minorHAnsi" w:hAnsiTheme="minorHAnsi"/>
          <w:color w:val="000000"/>
          <w:sz w:val="22"/>
          <w:szCs w:val="22"/>
        </w:rPr>
        <w:t>(b) isolating B from friends, relatives or other sources of support,</w:t>
      </w:r>
    </w:p>
    <w:p w14:paraId="43468690" w14:textId="3B4C2D08" w:rsidR="00B209F3" w:rsidRPr="00173C5D" w:rsidRDefault="00B209F3" w:rsidP="00A60F47">
      <w:pPr>
        <w:pStyle w:val="legclearfix"/>
        <w:shd w:val="clear" w:color="auto" w:fill="FFFFFF"/>
        <w:spacing w:before="0" w:beforeAutospacing="0" w:after="120" w:afterAutospacing="0"/>
        <w:ind w:left="568"/>
        <w:rPr>
          <w:rFonts w:asciiTheme="minorHAnsi" w:hAnsiTheme="minorHAnsi" w:cs="Arial"/>
          <w:color w:val="000000"/>
          <w:sz w:val="22"/>
          <w:szCs w:val="22"/>
        </w:rPr>
      </w:pPr>
      <w:r w:rsidRPr="00173C5D">
        <w:rPr>
          <w:rStyle w:val="legds"/>
          <w:rFonts w:asciiTheme="minorHAnsi" w:hAnsiTheme="minorHAnsi"/>
          <w:color w:val="000000"/>
          <w:sz w:val="22"/>
          <w:szCs w:val="22"/>
        </w:rPr>
        <w:t>(c) controlling, regulating or monitoring B’s day-to-day activities,</w:t>
      </w:r>
    </w:p>
    <w:p w14:paraId="03A50D78" w14:textId="310EE010" w:rsidR="00B209F3" w:rsidRPr="00173C5D" w:rsidRDefault="00B209F3" w:rsidP="00A60F47">
      <w:pPr>
        <w:pStyle w:val="legclearfix"/>
        <w:shd w:val="clear" w:color="auto" w:fill="FFFFFF"/>
        <w:spacing w:before="0" w:beforeAutospacing="0" w:after="120" w:afterAutospacing="0"/>
        <w:ind w:left="568"/>
        <w:rPr>
          <w:rFonts w:asciiTheme="minorHAnsi" w:hAnsiTheme="minorHAnsi" w:cs="Arial"/>
          <w:color w:val="000000"/>
          <w:sz w:val="22"/>
          <w:szCs w:val="22"/>
        </w:rPr>
      </w:pPr>
      <w:r w:rsidRPr="00173C5D">
        <w:rPr>
          <w:rStyle w:val="legds"/>
          <w:rFonts w:asciiTheme="minorHAnsi" w:hAnsiTheme="minorHAnsi"/>
          <w:color w:val="000000"/>
          <w:sz w:val="22"/>
          <w:szCs w:val="22"/>
        </w:rPr>
        <w:t>(d) depriving B of, or restricting B’s, freedom of action,</w:t>
      </w:r>
    </w:p>
    <w:p w14:paraId="6E026F2F" w14:textId="79A0B1F9" w:rsidR="00B209F3" w:rsidRPr="00173C5D" w:rsidRDefault="00B209F3" w:rsidP="00A60F47">
      <w:pPr>
        <w:pStyle w:val="legclearfix"/>
        <w:shd w:val="clear" w:color="auto" w:fill="FFFFFF"/>
        <w:spacing w:before="0" w:beforeAutospacing="0" w:after="120" w:afterAutospacing="0"/>
        <w:ind w:left="568"/>
        <w:rPr>
          <w:rFonts w:asciiTheme="minorHAnsi" w:hAnsiTheme="minorHAnsi" w:cs="Arial"/>
          <w:color w:val="000000"/>
          <w:sz w:val="22"/>
          <w:szCs w:val="22"/>
        </w:rPr>
      </w:pPr>
      <w:r w:rsidRPr="00173C5D">
        <w:rPr>
          <w:rStyle w:val="legds"/>
          <w:rFonts w:asciiTheme="minorHAnsi" w:hAnsiTheme="minorHAnsi"/>
          <w:color w:val="000000"/>
          <w:sz w:val="22"/>
          <w:szCs w:val="22"/>
        </w:rPr>
        <w:t>(e) frightening, humiliating, degrading or punishing B.</w:t>
      </w:r>
    </w:p>
    <w:p w14:paraId="6E705FEC" w14:textId="3503EE4B" w:rsidR="00B209F3" w:rsidRPr="00173C5D" w:rsidRDefault="00B209F3" w:rsidP="00A60F47">
      <w:pPr>
        <w:pStyle w:val="legclearfix"/>
        <w:shd w:val="clear" w:color="auto" w:fill="FFFFFF"/>
        <w:spacing w:before="0" w:beforeAutospacing="0" w:after="120" w:afterAutospacing="0"/>
        <w:rPr>
          <w:rFonts w:asciiTheme="minorHAnsi" w:hAnsiTheme="minorHAnsi" w:cs="Arial"/>
          <w:color w:val="000000"/>
          <w:sz w:val="22"/>
          <w:szCs w:val="22"/>
        </w:rPr>
      </w:pPr>
      <w:r w:rsidRPr="00173C5D">
        <w:rPr>
          <w:rStyle w:val="legds"/>
          <w:rFonts w:asciiTheme="minorHAnsi" w:hAnsiTheme="minorHAnsi"/>
          <w:color w:val="000000"/>
          <w:sz w:val="22"/>
          <w:szCs w:val="22"/>
        </w:rPr>
        <w:t>(4) In subsection (2)—</w:t>
      </w:r>
    </w:p>
    <w:p w14:paraId="6A47FAE9" w14:textId="77777777" w:rsidR="00B209F3" w:rsidRPr="00173C5D" w:rsidRDefault="00B209F3" w:rsidP="00A60F47">
      <w:pPr>
        <w:pStyle w:val="legclearfix"/>
        <w:shd w:val="clear" w:color="auto" w:fill="FFFFFF"/>
        <w:spacing w:before="0" w:beforeAutospacing="0" w:after="120" w:afterAutospacing="0"/>
        <w:ind w:left="568"/>
        <w:rPr>
          <w:rStyle w:val="legds"/>
          <w:rFonts w:asciiTheme="minorHAnsi" w:hAnsiTheme="minorHAnsi"/>
          <w:color w:val="000000"/>
          <w:sz w:val="22"/>
          <w:szCs w:val="22"/>
        </w:rPr>
      </w:pPr>
      <w:r w:rsidRPr="00173C5D">
        <w:rPr>
          <w:rStyle w:val="legds"/>
          <w:rFonts w:asciiTheme="minorHAnsi" w:hAnsiTheme="minorHAnsi"/>
          <w:color w:val="000000"/>
          <w:sz w:val="22"/>
          <w:szCs w:val="22"/>
        </w:rPr>
        <w:t>(a) in paragraph (a), the reference to violent behaviour includes sexual violence as well as physical violence</w:t>
      </w:r>
    </w:p>
    <w:p w14:paraId="35B1F729" w14:textId="193A28CC" w:rsidR="00B209F3" w:rsidRPr="00173C5D" w:rsidRDefault="00B209F3" w:rsidP="00A60F47">
      <w:pPr>
        <w:pStyle w:val="legclearfix"/>
        <w:shd w:val="clear" w:color="auto" w:fill="FFFFFF"/>
        <w:spacing w:before="0" w:beforeAutospacing="0" w:after="120" w:afterAutospacing="0"/>
        <w:ind w:left="568"/>
        <w:rPr>
          <w:rStyle w:val="legds"/>
          <w:rFonts w:asciiTheme="minorHAnsi" w:hAnsiTheme="minorHAnsi"/>
          <w:color w:val="000000"/>
          <w:sz w:val="22"/>
          <w:szCs w:val="22"/>
        </w:rPr>
      </w:pPr>
      <w:r w:rsidRPr="00173C5D">
        <w:rPr>
          <w:rStyle w:val="legds"/>
          <w:rFonts w:asciiTheme="minorHAnsi" w:hAnsiTheme="minorHAnsi"/>
          <w:color w:val="000000"/>
          <w:sz w:val="22"/>
          <w:szCs w:val="22"/>
        </w:rPr>
        <w:t>(b) in paragraph (b), the reference to a child is to a person who is under 18 years of age.</w:t>
      </w:r>
    </w:p>
    <w:p w14:paraId="673BE39D" w14:textId="06BDB51E" w:rsidR="00990D20" w:rsidRPr="00173C5D" w:rsidRDefault="00990D20">
      <w:pPr>
        <w:rPr>
          <w:rStyle w:val="legds"/>
          <w:rFonts w:asciiTheme="minorHAnsi" w:eastAsia="Times New Roman" w:hAnsiTheme="minorHAnsi"/>
          <w:color w:val="000000"/>
          <w:lang w:eastAsia="en-AU"/>
        </w:rPr>
      </w:pPr>
      <w:r w:rsidRPr="00173C5D">
        <w:rPr>
          <w:rStyle w:val="legds"/>
          <w:rFonts w:asciiTheme="minorHAnsi" w:hAnsiTheme="minorHAnsi"/>
          <w:color w:val="000000"/>
        </w:rPr>
        <w:br w:type="page"/>
      </w:r>
    </w:p>
    <w:p w14:paraId="7D694030" w14:textId="3473DA41" w:rsidR="00990D20" w:rsidRPr="00B209F3" w:rsidRDefault="00990D20" w:rsidP="00A60F47">
      <w:pPr>
        <w:pStyle w:val="Heading2"/>
        <w:ind w:left="1134"/>
        <w:rPr>
          <w:lang w:eastAsia="en-AU"/>
        </w:rPr>
      </w:pPr>
      <w:bookmarkStart w:id="134" w:name="_Toc112051916"/>
      <w:r>
        <w:rPr>
          <w:i/>
          <w:iCs w:val="0"/>
        </w:rPr>
        <w:lastRenderedPageBreak/>
        <w:t>Serious Crime</w:t>
      </w:r>
      <w:r w:rsidRPr="009A0F92">
        <w:rPr>
          <w:i/>
          <w:iCs w:val="0"/>
        </w:rPr>
        <w:t xml:space="preserve"> Act 2015</w:t>
      </w:r>
      <w:r w:rsidRPr="009A0F92">
        <w:t xml:space="preserve"> (England and Wales), section 76</w:t>
      </w:r>
      <w:bookmarkEnd w:id="134"/>
    </w:p>
    <w:p w14:paraId="4C67763C" w14:textId="0FBA80D2" w:rsidR="00990D20" w:rsidRPr="00173C5D" w:rsidRDefault="00990D20" w:rsidP="003160DD">
      <w:pPr>
        <w:rPr>
          <w:rFonts w:asciiTheme="minorHAnsi" w:hAnsiTheme="minorHAnsi"/>
        </w:rPr>
      </w:pPr>
      <w:r w:rsidRPr="00173C5D">
        <w:rPr>
          <w:rStyle w:val="legds"/>
          <w:rFonts w:asciiTheme="minorHAnsi" w:hAnsiTheme="minorHAnsi" w:cs="Arial"/>
          <w:b/>
          <w:color w:val="000000"/>
        </w:rPr>
        <w:t>Section 76 Controlling or coercive behaviour in an intimate or family relationship</w:t>
      </w:r>
    </w:p>
    <w:p w14:paraId="382FCA04" w14:textId="397B832E"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(1) A person (A) commits an offence if—</w:t>
      </w:r>
    </w:p>
    <w:p w14:paraId="1C65DCB6" w14:textId="20EAED8F"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(a) A repeatedly or continuously engages in behaviour towards another person (B) that is controlling or coercive,</w:t>
      </w:r>
    </w:p>
    <w:p w14:paraId="0AD1031E" w14:textId="32D64DD2"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(b) at the time of the behaviour, A and B are personally connected,</w:t>
      </w:r>
    </w:p>
    <w:p w14:paraId="0F7156F1" w14:textId="3E7609A2"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(c) the behaviour has a serious effect on B, and</w:t>
      </w:r>
    </w:p>
    <w:p w14:paraId="0A210224" w14:textId="61BBD76B" w:rsidR="00990D20" w:rsidRPr="00173C5D" w:rsidRDefault="00990D20" w:rsidP="00990D20">
      <w:pPr>
        <w:pStyle w:val="legclearfix"/>
        <w:shd w:val="clear" w:color="auto" w:fill="FFFFFF"/>
        <w:spacing w:before="0" w:beforeAutospacing="0" w:after="0" w:afterAutospacing="0" w:line="360" w:lineRule="atLeast"/>
        <w:ind w:left="568"/>
        <w:rPr>
          <w:rStyle w:val="legds"/>
          <w:rFonts w:asciiTheme="minorHAnsi" w:eastAsiaTheme="majorEastAsia" w:hAnsiTheme="minorHAnsi" w:cs="Arial"/>
          <w:color w:val="000000"/>
          <w:sz w:val="22"/>
          <w:szCs w:val="22"/>
        </w:rPr>
      </w:pPr>
      <w:r w:rsidRPr="00173C5D">
        <w:rPr>
          <w:rStyle w:val="legds"/>
          <w:rFonts w:asciiTheme="minorHAnsi" w:eastAsiaTheme="majorEastAsia" w:hAnsiTheme="minorHAnsi" w:cs="Arial"/>
          <w:color w:val="000000"/>
          <w:sz w:val="22"/>
          <w:szCs w:val="22"/>
        </w:rPr>
        <w:t>(d) A knows or ought to know that the behaviour will have a serious effect on B.</w:t>
      </w:r>
    </w:p>
    <w:p w14:paraId="7E44148B" w14:textId="77777777"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p>
    <w:p w14:paraId="2F5BE776" w14:textId="7A1B44C5"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(2) A and B are “personally connected” if—</w:t>
      </w:r>
      <w:r w:rsidR="003160DD" w:rsidRPr="00173C5D">
        <w:rPr>
          <w:rStyle w:val="legds"/>
          <w:rFonts w:asciiTheme="minorHAnsi" w:eastAsiaTheme="majorEastAsia" w:hAnsiTheme="minorHAnsi" w:cs="Arial"/>
          <w:color w:val="000000"/>
          <w:sz w:val="22"/>
          <w:szCs w:val="22"/>
        </w:rPr>
        <w:t xml:space="preserve"> </w:t>
      </w:r>
    </w:p>
    <w:p w14:paraId="73CB5F2C" w14:textId="055C32FB"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(a) A is in an intimate personal relationship with B, or</w:t>
      </w:r>
    </w:p>
    <w:p w14:paraId="5C0F1BDC" w14:textId="67BE0F36"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(b) A and B live together and—</w:t>
      </w:r>
    </w:p>
    <w:p w14:paraId="4AACB0F2" w14:textId="7B2B87CC" w:rsidR="00990D20" w:rsidRPr="00173C5D" w:rsidRDefault="00990D20" w:rsidP="00990D20">
      <w:pPr>
        <w:pStyle w:val="legclearfix"/>
        <w:shd w:val="clear" w:color="auto" w:fill="FFFFFF"/>
        <w:spacing w:before="0" w:beforeAutospacing="0" w:after="0" w:afterAutospacing="0" w:line="360" w:lineRule="atLeast"/>
        <w:ind w:left="1136"/>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(i) they are members of the same family, or</w:t>
      </w:r>
    </w:p>
    <w:p w14:paraId="5E0D0E93" w14:textId="165F87C6" w:rsidR="00990D20" w:rsidRPr="00173C5D" w:rsidRDefault="00990D20" w:rsidP="00990D20">
      <w:pPr>
        <w:pStyle w:val="legclearfix"/>
        <w:shd w:val="clear" w:color="auto" w:fill="FFFFFF"/>
        <w:spacing w:before="0" w:beforeAutospacing="0" w:after="0" w:afterAutospacing="0" w:line="360" w:lineRule="atLeast"/>
        <w:ind w:left="1136"/>
        <w:rPr>
          <w:rStyle w:val="legds"/>
          <w:rFonts w:asciiTheme="minorHAnsi" w:eastAsiaTheme="majorEastAsia" w:hAnsiTheme="minorHAnsi" w:cs="Arial"/>
          <w:color w:val="000000"/>
          <w:sz w:val="22"/>
          <w:szCs w:val="22"/>
        </w:rPr>
      </w:pPr>
      <w:r w:rsidRPr="00173C5D">
        <w:rPr>
          <w:rStyle w:val="legds"/>
          <w:rFonts w:asciiTheme="minorHAnsi" w:eastAsiaTheme="majorEastAsia" w:hAnsiTheme="minorHAnsi" w:cs="Arial"/>
          <w:color w:val="000000"/>
          <w:sz w:val="22"/>
          <w:szCs w:val="22"/>
        </w:rPr>
        <w:t>(ii) they have previously been in an intimate personal relationship with each other.</w:t>
      </w:r>
      <w:r w:rsidR="003160DD" w:rsidRPr="00173C5D">
        <w:rPr>
          <w:rStyle w:val="legds"/>
          <w:rFonts w:asciiTheme="minorHAnsi" w:eastAsiaTheme="majorEastAsia" w:hAnsiTheme="minorHAnsi" w:cs="Arial"/>
          <w:color w:val="000000"/>
          <w:sz w:val="22"/>
          <w:szCs w:val="22"/>
        </w:rPr>
        <w:t xml:space="preserve"> </w:t>
      </w:r>
      <w:r w:rsidR="003160DD" w:rsidRPr="00173C5D">
        <w:rPr>
          <w:rStyle w:val="FootnoteReference"/>
          <w:rFonts w:asciiTheme="minorHAnsi" w:eastAsiaTheme="majorEastAsia" w:hAnsiTheme="minorHAnsi" w:cs="Arial"/>
          <w:color w:val="000000"/>
          <w:sz w:val="22"/>
          <w:szCs w:val="22"/>
        </w:rPr>
        <w:footnoteReference w:id="234"/>
      </w:r>
    </w:p>
    <w:p w14:paraId="2C56C2A6" w14:textId="77777777"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p>
    <w:p w14:paraId="35F5155D" w14:textId="3B78F639"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(3) But A does not commit an offence under this section if at the time of the behaviour in question—</w:t>
      </w:r>
    </w:p>
    <w:p w14:paraId="16416336" w14:textId="65F7A2DF" w:rsidR="00990D20" w:rsidRPr="00173C5D" w:rsidRDefault="00990D20" w:rsidP="00990D20">
      <w:pPr>
        <w:pStyle w:val="legclearfix"/>
        <w:shd w:val="clear" w:color="auto" w:fill="FFFFFF"/>
        <w:spacing w:before="0" w:beforeAutospacing="0" w:after="0" w:afterAutospacing="0" w:line="360" w:lineRule="atLeast"/>
        <w:ind w:left="852" w:hanging="284"/>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(a) A has responsibility for B, for the purposes of Part 1 of the Children and Young Persons Act 1933 (see section 17 of that Act), and</w:t>
      </w:r>
    </w:p>
    <w:p w14:paraId="6587BA99" w14:textId="0C804FBC" w:rsidR="00990D20" w:rsidRPr="00173C5D" w:rsidRDefault="00990D20" w:rsidP="00990D20">
      <w:pPr>
        <w:pStyle w:val="legclearfix"/>
        <w:shd w:val="clear" w:color="auto" w:fill="FFFFFF"/>
        <w:spacing w:before="0" w:beforeAutospacing="0" w:after="0" w:afterAutospacing="0" w:line="360" w:lineRule="atLeast"/>
        <w:ind w:left="852" w:hanging="284"/>
        <w:rPr>
          <w:rStyle w:val="legds"/>
          <w:rFonts w:asciiTheme="minorHAnsi" w:eastAsiaTheme="majorEastAsia" w:hAnsiTheme="minorHAnsi" w:cs="Arial"/>
          <w:color w:val="000000"/>
          <w:sz w:val="22"/>
          <w:szCs w:val="22"/>
        </w:rPr>
      </w:pPr>
      <w:r w:rsidRPr="00173C5D">
        <w:rPr>
          <w:rStyle w:val="legds"/>
          <w:rFonts w:asciiTheme="minorHAnsi" w:eastAsiaTheme="majorEastAsia" w:hAnsiTheme="minorHAnsi" w:cs="Arial"/>
          <w:color w:val="000000"/>
          <w:sz w:val="22"/>
          <w:szCs w:val="22"/>
        </w:rPr>
        <w:t>(b) B is under 16.</w:t>
      </w:r>
    </w:p>
    <w:p w14:paraId="317F8B5B" w14:textId="77777777"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p>
    <w:p w14:paraId="230E7153" w14:textId="5AD6EF56"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(4) A’s behaviour has a “serious effect” on B if—</w:t>
      </w:r>
    </w:p>
    <w:p w14:paraId="7C1E4CA6" w14:textId="716F462F"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(a) it causes B to fear, on at least two occasions, that violence will be used against B, or</w:t>
      </w:r>
    </w:p>
    <w:p w14:paraId="316F71CB" w14:textId="709BE039"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(b) it causes B serious alarm or distress which has a substantial adverse effect on B’s usual day-to-day activities.</w:t>
      </w:r>
    </w:p>
    <w:p w14:paraId="03ABBDB9" w14:textId="77777777" w:rsidR="00990D20" w:rsidRPr="00173C5D" w:rsidRDefault="00990D20" w:rsidP="00990D20">
      <w:pPr>
        <w:pStyle w:val="legclearfix"/>
        <w:shd w:val="clear" w:color="auto" w:fill="FFFFFF"/>
        <w:spacing w:before="0" w:beforeAutospacing="0" w:after="0" w:afterAutospacing="0" w:line="360" w:lineRule="atLeast"/>
        <w:rPr>
          <w:rStyle w:val="legds"/>
          <w:rFonts w:asciiTheme="minorHAnsi" w:eastAsiaTheme="majorEastAsia" w:hAnsiTheme="minorHAnsi" w:cs="Arial"/>
          <w:color w:val="000000"/>
          <w:sz w:val="22"/>
          <w:szCs w:val="22"/>
        </w:rPr>
      </w:pPr>
    </w:p>
    <w:p w14:paraId="1B6D4B65" w14:textId="46C57D83" w:rsidR="00990D20" w:rsidRPr="00173C5D" w:rsidRDefault="00990D20" w:rsidP="00990D20">
      <w:pPr>
        <w:pStyle w:val="legclearfix"/>
        <w:shd w:val="clear" w:color="auto" w:fill="FFFFFF"/>
        <w:spacing w:before="0" w:beforeAutospacing="0" w:after="0" w:afterAutospacing="0" w:line="360" w:lineRule="atLeast"/>
        <w:ind w:left="284" w:hanging="284"/>
        <w:rPr>
          <w:rStyle w:val="legds"/>
          <w:rFonts w:asciiTheme="minorHAnsi" w:eastAsiaTheme="majorEastAsia" w:hAnsiTheme="minorHAnsi" w:cs="Arial"/>
          <w:color w:val="000000"/>
          <w:sz w:val="22"/>
          <w:szCs w:val="22"/>
        </w:rPr>
      </w:pPr>
      <w:r w:rsidRPr="00173C5D">
        <w:rPr>
          <w:rStyle w:val="legds"/>
          <w:rFonts w:asciiTheme="minorHAnsi" w:eastAsiaTheme="majorEastAsia" w:hAnsiTheme="minorHAnsi" w:cs="Arial"/>
          <w:color w:val="000000"/>
          <w:sz w:val="22"/>
          <w:szCs w:val="22"/>
        </w:rPr>
        <w:t>(5) For the purposes of subsection </w:t>
      </w:r>
      <w:hyperlink r:id="rId26" w:anchor="section-76-1-d" w:tooltip="Go to s. 76(1)(d)" w:history="1">
        <w:r w:rsidRPr="00173C5D">
          <w:rPr>
            <w:rStyle w:val="Hyperlink"/>
            <w:rFonts w:asciiTheme="minorHAnsi" w:hAnsiTheme="minorHAnsi" w:cs="Arial"/>
            <w:color w:val="006699"/>
            <w:sz w:val="22"/>
            <w:szCs w:val="22"/>
          </w:rPr>
          <w:t>(1)(d)</w:t>
        </w:r>
      </w:hyperlink>
      <w:r w:rsidRPr="00173C5D">
        <w:rPr>
          <w:rStyle w:val="legds"/>
          <w:rFonts w:asciiTheme="minorHAnsi" w:eastAsiaTheme="majorEastAsia" w:hAnsiTheme="minorHAnsi" w:cs="Arial"/>
          <w:color w:val="000000"/>
          <w:sz w:val="22"/>
          <w:szCs w:val="22"/>
        </w:rPr>
        <w:t> A “ought to know” that which a reasonable person in possession of the same information would know.</w:t>
      </w:r>
    </w:p>
    <w:p w14:paraId="216CEF98" w14:textId="77777777"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p>
    <w:p w14:paraId="4AF22294" w14:textId="5048EDAB"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(6) For the purposes of subsection </w:t>
      </w:r>
      <w:hyperlink r:id="rId27" w:anchor="section-76-2-b-i" w:tooltip="Go to s. 76(2)(b)(i)" w:history="1">
        <w:r w:rsidRPr="00173C5D">
          <w:rPr>
            <w:rStyle w:val="Hyperlink"/>
            <w:rFonts w:asciiTheme="minorHAnsi" w:hAnsiTheme="minorHAnsi" w:cs="Arial"/>
            <w:color w:val="006699"/>
            <w:sz w:val="22"/>
            <w:szCs w:val="22"/>
          </w:rPr>
          <w:t>(2)(b)(i)</w:t>
        </w:r>
      </w:hyperlink>
      <w:r w:rsidRPr="00173C5D">
        <w:rPr>
          <w:rStyle w:val="legds"/>
          <w:rFonts w:asciiTheme="minorHAnsi" w:eastAsiaTheme="majorEastAsia" w:hAnsiTheme="minorHAnsi" w:cs="Arial"/>
          <w:color w:val="000000"/>
          <w:sz w:val="22"/>
          <w:szCs w:val="22"/>
        </w:rPr>
        <w:t> A and B are members of the same family if—</w:t>
      </w:r>
    </w:p>
    <w:p w14:paraId="46256D25" w14:textId="7C5EAAB8"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(a) they are, or have been, married to each other;</w:t>
      </w:r>
    </w:p>
    <w:p w14:paraId="24D8F511" w14:textId="325C7694"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(b) they are, or have been, civil partners of each other;</w:t>
      </w:r>
    </w:p>
    <w:p w14:paraId="323E51BD" w14:textId="0F116F44"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(c) they are relatives;</w:t>
      </w:r>
    </w:p>
    <w:p w14:paraId="1BD27ADB" w14:textId="32145FE7"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lastRenderedPageBreak/>
        <w:t>(d) they have agreed to marry one another (whether or not the agreement has been terminated);</w:t>
      </w:r>
    </w:p>
    <w:p w14:paraId="74BFEA10" w14:textId="6313C4CF"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(e) they have entered into a civil partnership agreement (whether or not the agreement has been terminated);</w:t>
      </w:r>
    </w:p>
    <w:p w14:paraId="01836519" w14:textId="4FB8956A"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(f) they are both parents of the same child;</w:t>
      </w:r>
    </w:p>
    <w:p w14:paraId="28CA182C" w14:textId="3E80C825"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(g) they have, or have had, parental responsibility for the same child.</w:t>
      </w:r>
    </w:p>
    <w:p w14:paraId="6C0E0A47" w14:textId="08607DDB"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(7) In subsection </w:t>
      </w:r>
      <w:hyperlink r:id="rId28" w:anchor="section-76-6" w:tooltip="Go to s. 76(6)" w:history="1">
        <w:r w:rsidRPr="00173C5D">
          <w:rPr>
            <w:rStyle w:val="Hyperlink"/>
            <w:rFonts w:asciiTheme="minorHAnsi" w:hAnsiTheme="minorHAnsi" w:cs="Arial"/>
            <w:color w:val="006699"/>
            <w:sz w:val="22"/>
            <w:szCs w:val="22"/>
          </w:rPr>
          <w:t>(6)</w:t>
        </w:r>
      </w:hyperlink>
      <w:r w:rsidRPr="00173C5D">
        <w:rPr>
          <w:rStyle w:val="legds"/>
          <w:rFonts w:asciiTheme="minorHAnsi" w:eastAsiaTheme="majorEastAsia" w:hAnsiTheme="minorHAnsi" w:cs="Arial"/>
          <w:color w:val="000000"/>
          <w:sz w:val="22"/>
          <w:szCs w:val="22"/>
        </w:rPr>
        <w:t>—</w:t>
      </w:r>
    </w:p>
    <w:p w14:paraId="71AD3745" w14:textId="77777777" w:rsidR="00990D20" w:rsidRPr="00173C5D" w:rsidRDefault="00990D20" w:rsidP="00990D20">
      <w:pPr>
        <w:pStyle w:val="leglisttextstandard"/>
        <w:shd w:val="clear" w:color="auto" w:fill="FFFFFF"/>
        <w:spacing w:before="0" w:beforeAutospacing="0" w:after="0" w:afterAutospacing="0" w:line="360" w:lineRule="atLeast"/>
        <w:ind w:left="852"/>
        <w:jc w:val="both"/>
        <w:rPr>
          <w:rFonts w:asciiTheme="minorHAnsi" w:hAnsiTheme="minorHAnsi" w:cs="Arial"/>
          <w:color w:val="000000"/>
          <w:sz w:val="22"/>
          <w:szCs w:val="22"/>
        </w:rPr>
      </w:pPr>
      <w:r w:rsidRPr="00173C5D">
        <w:rPr>
          <w:rFonts w:asciiTheme="minorHAnsi" w:hAnsiTheme="minorHAnsi" w:cs="Arial"/>
          <w:color w:val="000000"/>
          <w:sz w:val="22"/>
          <w:szCs w:val="22"/>
        </w:rPr>
        <w:t>“civil partnership agreement” has the meaning given by section 73 of the Civil Partnership Act 2004;</w:t>
      </w:r>
    </w:p>
    <w:p w14:paraId="1D2E42D6" w14:textId="77777777" w:rsidR="00990D20" w:rsidRPr="00173C5D" w:rsidRDefault="00990D20" w:rsidP="00990D20">
      <w:pPr>
        <w:pStyle w:val="leglisttextstandard"/>
        <w:shd w:val="clear" w:color="auto" w:fill="FFFFFF"/>
        <w:spacing w:before="0" w:beforeAutospacing="0" w:after="0" w:afterAutospacing="0" w:line="360" w:lineRule="atLeast"/>
        <w:ind w:left="852"/>
        <w:jc w:val="both"/>
        <w:rPr>
          <w:rFonts w:asciiTheme="minorHAnsi" w:hAnsiTheme="minorHAnsi" w:cs="Arial"/>
          <w:color w:val="000000"/>
          <w:sz w:val="22"/>
          <w:szCs w:val="22"/>
        </w:rPr>
      </w:pPr>
      <w:r w:rsidRPr="00173C5D">
        <w:rPr>
          <w:rFonts w:asciiTheme="minorHAnsi" w:hAnsiTheme="minorHAnsi" w:cs="Arial"/>
          <w:color w:val="000000"/>
          <w:sz w:val="22"/>
          <w:szCs w:val="22"/>
        </w:rPr>
        <w:t>“child” means a person under the age of 18 years;</w:t>
      </w:r>
    </w:p>
    <w:p w14:paraId="12C6CD75" w14:textId="77777777" w:rsidR="00990D20" w:rsidRPr="00173C5D" w:rsidRDefault="00990D20" w:rsidP="00990D20">
      <w:pPr>
        <w:pStyle w:val="leglisttextstandard"/>
        <w:shd w:val="clear" w:color="auto" w:fill="FFFFFF"/>
        <w:spacing w:before="0" w:beforeAutospacing="0" w:after="0" w:afterAutospacing="0" w:line="360" w:lineRule="atLeast"/>
        <w:ind w:left="852"/>
        <w:jc w:val="both"/>
        <w:rPr>
          <w:rFonts w:asciiTheme="minorHAnsi" w:hAnsiTheme="minorHAnsi" w:cs="Arial"/>
          <w:color w:val="000000"/>
          <w:sz w:val="22"/>
          <w:szCs w:val="22"/>
        </w:rPr>
      </w:pPr>
      <w:r w:rsidRPr="00173C5D">
        <w:rPr>
          <w:rFonts w:asciiTheme="minorHAnsi" w:hAnsiTheme="minorHAnsi" w:cs="Arial"/>
          <w:color w:val="000000"/>
          <w:sz w:val="22"/>
          <w:szCs w:val="22"/>
        </w:rPr>
        <w:t>“parental responsibility” has the same meaning as in the Children Act 1989;</w:t>
      </w:r>
    </w:p>
    <w:p w14:paraId="6FC4C071" w14:textId="59B85505" w:rsidR="00990D20" w:rsidRPr="00173C5D" w:rsidRDefault="00990D20" w:rsidP="00990D20">
      <w:pPr>
        <w:pStyle w:val="leglisttextstandard"/>
        <w:shd w:val="clear" w:color="auto" w:fill="FFFFFF"/>
        <w:spacing w:before="0" w:beforeAutospacing="0" w:after="0" w:afterAutospacing="0" w:line="360" w:lineRule="atLeast"/>
        <w:ind w:left="852"/>
        <w:jc w:val="both"/>
        <w:rPr>
          <w:rFonts w:asciiTheme="minorHAnsi" w:hAnsiTheme="minorHAnsi" w:cs="Arial"/>
          <w:color w:val="000000"/>
          <w:sz w:val="22"/>
          <w:szCs w:val="22"/>
        </w:rPr>
      </w:pPr>
      <w:r w:rsidRPr="00173C5D">
        <w:rPr>
          <w:rFonts w:asciiTheme="minorHAnsi" w:hAnsiTheme="minorHAnsi" w:cs="Arial"/>
          <w:color w:val="000000"/>
          <w:sz w:val="22"/>
          <w:szCs w:val="22"/>
        </w:rPr>
        <w:t>“relative” has the meaning given by section 63(1) of the Family Law Act 1996.</w:t>
      </w:r>
    </w:p>
    <w:p w14:paraId="0FA290B0" w14:textId="77777777" w:rsidR="00990D20" w:rsidRPr="00173C5D" w:rsidRDefault="00990D20" w:rsidP="00990D20">
      <w:pPr>
        <w:pStyle w:val="leglisttextstandard"/>
        <w:shd w:val="clear" w:color="auto" w:fill="FFFFFF"/>
        <w:spacing w:before="0" w:beforeAutospacing="0" w:after="0" w:afterAutospacing="0" w:line="360" w:lineRule="atLeast"/>
        <w:ind w:left="852"/>
        <w:jc w:val="both"/>
        <w:rPr>
          <w:rFonts w:asciiTheme="minorHAnsi" w:hAnsiTheme="minorHAnsi" w:cs="Arial"/>
          <w:color w:val="000000"/>
          <w:sz w:val="22"/>
          <w:szCs w:val="22"/>
        </w:rPr>
      </w:pPr>
    </w:p>
    <w:p w14:paraId="6A179F11" w14:textId="4AC10A0D"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(8) In proceedings for an offence under this section it is a defence for A to show that—</w:t>
      </w:r>
    </w:p>
    <w:p w14:paraId="273E3E4C" w14:textId="5B10E57A"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(a) in engaging in the behaviour in question, A believed that he or she was acting in B’s best interests, and</w:t>
      </w:r>
    </w:p>
    <w:p w14:paraId="19E8AB66" w14:textId="15E1FE77"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(b) the behaviour was in all the circumstances reasonable.</w:t>
      </w:r>
    </w:p>
    <w:p w14:paraId="1F82327C" w14:textId="77777777" w:rsidR="00990D20" w:rsidRPr="00173C5D" w:rsidRDefault="00990D20" w:rsidP="00990D20">
      <w:pPr>
        <w:pStyle w:val="legclearfix"/>
        <w:shd w:val="clear" w:color="auto" w:fill="FFFFFF"/>
        <w:spacing w:before="0" w:beforeAutospacing="0" w:after="0" w:afterAutospacing="0" w:line="360" w:lineRule="atLeast"/>
        <w:rPr>
          <w:rStyle w:val="legds"/>
          <w:rFonts w:asciiTheme="minorHAnsi" w:eastAsiaTheme="majorEastAsia" w:hAnsiTheme="minorHAnsi" w:cs="Arial"/>
          <w:color w:val="000000"/>
          <w:sz w:val="22"/>
          <w:szCs w:val="22"/>
        </w:rPr>
      </w:pPr>
    </w:p>
    <w:p w14:paraId="0E042DF7" w14:textId="4B40E7E5"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(9) A is to be taken to have shown the facts mentioned in subsection </w:t>
      </w:r>
      <w:hyperlink r:id="rId29" w:anchor="section-76-8" w:tooltip="Go to s. 76(8)" w:history="1">
        <w:r w:rsidRPr="00173C5D">
          <w:rPr>
            <w:rStyle w:val="Hyperlink"/>
            <w:rFonts w:asciiTheme="minorHAnsi" w:hAnsiTheme="minorHAnsi" w:cs="Arial"/>
            <w:color w:val="006699"/>
            <w:sz w:val="22"/>
            <w:szCs w:val="22"/>
          </w:rPr>
          <w:t>(8)</w:t>
        </w:r>
      </w:hyperlink>
      <w:r w:rsidRPr="00173C5D">
        <w:rPr>
          <w:rStyle w:val="legds"/>
          <w:rFonts w:asciiTheme="minorHAnsi" w:eastAsiaTheme="majorEastAsia" w:hAnsiTheme="minorHAnsi" w:cs="Arial"/>
          <w:color w:val="000000"/>
          <w:sz w:val="22"/>
          <w:szCs w:val="22"/>
        </w:rPr>
        <w:t> if—</w:t>
      </w:r>
    </w:p>
    <w:p w14:paraId="51642243" w14:textId="2FCA1247"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(a) sufficient evidence of the facts is adduced to raise an issue with respect to them, and</w:t>
      </w:r>
    </w:p>
    <w:p w14:paraId="098353C3" w14:textId="3BDB50F1" w:rsidR="00990D20" w:rsidRPr="00173C5D" w:rsidRDefault="00990D20" w:rsidP="00990D20">
      <w:pPr>
        <w:pStyle w:val="legclearfix"/>
        <w:shd w:val="clear" w:color="auto" w:fill="FFFFFF"/>
        <w:spacing w:before="0" w:beforeAutospacing="0" w:after="0" w:afterAutospacing="0" w:line="360" w:lineRule="atLeast"/>
        <w:ind w:left="568"/>
        <w:rPr>
          <w:rStyle w:val="legds"/>
          <w:rFonts w:asciiTheme="minorHAnsi" w:eastAsiaTheme="majorEastAsia" w:hAnsiTheme="minorHAnsi" w:cs="Arial"/>
          <w:color w:val="000000"/>
          <w:sz w:val="22"/>
          <w:szCs w:val="22"/>
        </w:rPr>
      </w:pPr>
      <w:r w:rsidRPr="00173C5D">
        <w:rPr>
          <w:rStyle w:val="legds"/>
          <w:rFonts w:asciiTheme="minorHAnsi" w:eastAsiaTheme="majorEastAsia" w:hAnsiTheme="minorHAnsi" w:cs="Arial"/>
          <w:color w:val="000000"/>
          <w:sz w:val="22"/>
          <w:szCs w:val="22"/>
        </w:rPr>
        <w:t>(b) the contrary is not proved beyond reasonable doubt.</w:t>
      </w:r>
    </w:p>
    <w:p w14:paraId="6575B502" w14:textId="77777777"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p>
    <w:p w14:paraId="0E311724" w14:textId="2B402BC1" w:rsidR="00990D20" w:rsidRPr="00173C5D" w:rsidRDefault="00990D20" w:rsidP="00990D20">
      <w:pPr>
        <w:pStyle w:val="legclearfix"/>
        <w:shd w:val="clear" w:color="auto" w:fill="FFFFFF"/>
        <w:spacing w:before="0" w:beforeAutospacing="0" w:after="0" w:afterAutospacing="0" w:line="360" w:lineRule="atLeast"/>
        <w:ind w:left="284" w:hanging="284"/>
        <w:rPr>
          <w:rStyle w:val="legds"/>
          <w:rFonts w:asciiTheme="minorHAnsi" w:eastAsiaTheme="majorEastAsia" w:hAnsiTheme="minorHAnsi" w:cs="Arial"/>
          <w:color w:val="000000"/>
          <w:sz w:val="22"/>
          <w:szCs w:val="22"/>
        </w:rPr>
      </w:pPr>
      <w:r w:rsidRPr="00173C5D">
        <w:rPr>
          <w:rStyle w:val="legds"/>
          <w:rFonts w:asciiTheme="minorHAnsi" w:eastAsiaTheme="majorEastAsia" w:hAnsiTheme="minorHAnsi" w:cs="Arial"/>
          <w:color w:val="000000"/>
          <w:sz w:val="22"/>
          <w:szCs w:val="22"/>
        </w:rPr>
        <w:t>(10) The defence in subsection </w:t>
      </w:r>
      <w:hyperlink r:id="rId30" w:anchor="section-76-8" w:tooltip="Go to s. 76(8)" w:history="1">
        <w:r w:rsidRPr="00173C5D">
          <w:rPr>
            <w:rStyle w:val="Hyperlink"/>
            <w:rFonts w:asciiTheme="minorHAnsi" w:hAnsiTheme="minorHAnsi" w:cs="Arial"/>
            <w:color w:val="006699"/>
            <w:sz w:val="22"/>
            <w:szCs w:val="22"/>
          </w:rPr>
          <w:t>(8)</w:t>
        </w:r>
      </w:hyperlink>
      <w:r w:rsidRPr="00173C5D">
        <w:rPr>
          <w:rStyle w:val="legds"/>
          <w:rFonts w:asciiTheme="minorHAnsi" w:eastAsiaTheme="majorEastAsia" w:hAnsiTheme="minorHAnsi" w:cs="Arial"/>
          <w:color w:val="000000"/>
          <w:sz w:val="22"/>
          <w:szCs w:val="22"/>
        </w:rPr>
        <w:t> is not available to A in relation to behaviour that causes B to fear that violence will be used against B.</w:t>
      </w:r>
    </w:p>
    <w:p w14:paraId="57DB499B" w14:textId="77777777"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p>
    <w:p w14:paraId="0C517581" w14:textId="31A3676F" w:rsidR="00990D20" w:rsidRPr="00173C5D" w:rsidRDefault="00990D20" w:rsidP="00990D20">
      <w:pPr>
        <w:pStyle w:val="legclearfix"/>
        <w:shd w:val="clear" w:color="auto" w:fill="FFFFFF"/>
        <w:spacing w:before="0" w:beforeAutospacing="0" w:after="0" w:afterAutospacing="0" w:line="360" w:lineRule="atLeast"/>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(11) A person guilty of an offence under this section is liable—</w:t>
      </w:r>
    </w:p>
    <w:p w14:paraId="2C159CE6" w14:textId="68324AE1" w:rsidR="00990D20" w:rsidRPr="00173C5D" w:rsidRDefault="00990D20" w:rsidP="00990D20">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(a) on conviction on indictment, to imprisonment for a term not exceeding five years, or a fine, or both;</w:t>
      </w:r>
    </w:p>
    <w:p w14:paraId="74824DDF" w14:textId="31D9F040" w:rsidR="00C30418" w:rsidRPr="00173C5D" w:rsidRDefault="00990D20" w:rsidP="006B5232">
      <w:pPr>
        <w:pStyle w:val="legclearfix"/>
        <w:shd w:val="clear" w:color="auto" w:fill="FFFFFF"/>
        <w:spacing w:before="0" w:beforeAutospacing="0" w:after="0" w:afterAutospacing="0" w:line="360" w:lineRule="atLeast"/>
        <w:ind w:left="568"/>
        <w:rPr>
          <w:rFonts w:asciiTheme="minorHAnsi" w:hAnsiTheme="minorHAnsi" w:cs="Arial"/>
          <w:color w:val="000000"/>
          <w:sz w:val="22"/>
          <w:szCs w:val="22"/>
        </w:rPr>
      </w:pPr>
      <w:r w:rsidRPr="00173C5D">
        <w:rPr>
          <w:rStyle w:val="legds"/>
          <w:rFonts w:asciiTheme="minorHAnsi" w:eastAsiaTheme="majorEastAsia" w:hAnsiTheme="minorHAnsi" w:cs="Arial"/>
          <w:color w:val="000000"/>
          <w:sz w:val="22"/>
          <w:szCs w:val="22"/>
        </w:rPr>
        <w:t>(b) on summary conviction, to imprisonment for a term not exceeding 12 months, or a fine, or both.</w:t>
      </w:r>
    </w:p>
    <w:p w14:paraId="45F252FB" w14:textId="77777777" w:rsidR="003201A0" w:rsidRPr="00173C5D" w:rsidRDefault="003201A0" w:rsidP="00805360">
      <w:pPr>
        <w:ind w:firstLine="284"/>
        <w:rPr>
          <w:rFonts w:asciiTheme="minorHAnsi" w:hAnsiTheme="minorHAnsi"/>
          <w:lang w:eastAsia="en-AU"/>
        </w:rPr>
      </w:pPr>
    </w:p>
    <w:p w14:paraId="7C664178" w14:textId="77777777" w:rsidR="003201A0" w:rsidRPr="00173C5D" w:rsidRDefault="003201A0" w:rsidP="003201A0">
      <w:pPr>
        <w:rPr>
          <w:rFonts w:asciiTheme="minorHAnsi" w:hAnsiTheme="minorHAnsi"/>
          <w:lang w:eastAsia="en-AU"/>
        </w:rPr>
      </w:pPr>
    </w:p>
    <w:p w14:paraId="79EA9413" w14:textId="77777777" w:rsidR="003201A0" w:rsidRPr="00173C5D" w:rsidRDefault="003201A0" w:rsidP="003201A0">
      <w:pPr>
        <w:rPr>
          <w:rFonts w:asciiTheme="minorHAnsi" w:hAnsiTheme="minorHAnsi"/>
          <w:lang w:eastAsia="en-AU"/>
        </w:rPr>
      </w:pPr>
    </w:p>
    <w:p w14:paraId="373F83EE" w14:textId="77777777" w:rsidR="003201A0" w:rsidRDefault="003201A0">
      <w:pPr>
        <w:rPr>
          <w:lang w:eastAsia="en-AU"/>
        </w:rPr>
      </w:pPr>
      <w:r>
        <w:rPr>
          <w:lang w:eastAsia="en-AU"/>
        </w:rPr>
        <w:br w:type="page"/>
      </w:r>
    </w:p>
    <w:p w14:paraId="1AB51203" w14:textId="35DEA774" w:rsidR="00D9179C" w:rsidRPr="006B5232" w:rsidRDefault="006B5232" w:rsidP="00A60F47">
      <w:pPr>
        <w:pStyle w:val="Heading2"/>
        <w:ind w:left="1134"/>
        <w:rPr>
          <w:lang w:eastAsia="en-AU"/>
        </w:rPr>
      </w:pPr>
      <w:bookmarkStart w:id="135" w:name="_Toc112051917"/>
      <w:r w:rsidRPr="006B5232">
        <w:rPr>
          <w:lang w:eastAsia="en-AU"/>
        </w:rPr>
        <w:lastRenderedPageBreak/>
        <w:t>Model definition of family violence – Law Council of Australia</w:t>
      </w:r>
      <w:bookmarkEnd w:id="135"/>
    </w:p>
    <w:p w14:paraId="6D4C145F" w14:textId="2FCF48F7" w:rsidR="001803CD" w:rsidRDefault="001803CD" w:rsidP="001803CD">
      <w:r>
        <w:t xml:space="preserve">This definition was adopted as a model definition by the </w:t>
      </w:r>
      <w:r w:rsidR="00AE6D6C">
        <w:t xml:space="preserve">Directors of the </w:t>
      </w:r>
      <w:r>
        <w:t>Law Council of Australia on</w:t>
      </w:r>
      <w:r w:rsidR="00AE6D6C">
        <w:t xml:space="preserve"> 27 November 2021. </w:t>
      </w:r>
    </w:p>
    <w:p w14:paraId="5A98730B" w14:textId="58311053" w:rsidR="006B5232" w:rsidRPr="00173C5D" w:rsidRDefault="006B5232" w:rsidP="006B5232">
      <w:pPr>
        <w:pStyle w:val="Heading4"/>
        <w:numPr>
          <w:ilvl w:val="0"/>
          <w:numId w:val="0"/>
        </w:numPr>
        <w:ind w:left="864" w:hanging="864"/>
        <w:rPr>
          <w:rFonts w:asciiTheme="minorHAnsi" w:hAnsiTheme="minorHAnsi"/>
          <w:sz w:val="22"/>
        </w:rPr>
      </w:pPr>
      <w:r w:rsidRPr="00173C5D">
        <w:rPr>
          <w:rFonts w:asciiTheme="minorHAnsi" w:hAnsiTheme="minorHAnsi"/>
          <w:sz w:val="22"/>
        </w:rPr>
        <w:t>Meaning</w:t>
      </w:r>
      <w:r w:rsidRPr="00173C5D">
        <w:rPr>
          <w:rFonts w:asciiTheme="minorHAnsi" w:hAnsiTheme="minorHAnsi"/>
          <w:spacing w:val="-2"/>
          <w:sz w:val="22"/>
        </w:rPr>
        <w:t xml:space="preserve"> </w:t>
      </w:r>
      <w:r w:rsidRPr="00173C5D">
        <w:rPr>
          <w:rFonts w:asciiTheme="minorHAnsi" w:hAnsiTheme="minorHAnsi"/>
          <w:sz w:val="22"/>
        </w:rPr>
        <w:t>of</w:t>
      </w:r>
      <w:r w:rsidRPr="00173C5D">
        <w:rPr>
          <w:rFonts w:asciiTheme="minorHAnsi" w:hAnsiTheme="minorHAnsi"/>
          <w:spacing w:val="-2"/>
          <w:sz w:val="22"/>
        </w:rPr>
        <w:t xml:space="preserve"> </w:t>
      </w:r>
      <w:r w:rsidRPr="00173C5D">
        <w:rPr>
          <w:rFonts w:asciiTheme="minorHAnsi" w:hAnsiTheme="minorHAnsi"/>
          <w:sz w:val="22"/>
        </w:rPr>
        <w:t>family</w:t>
      </w:r>
      <w:r w:rsidRPr="00173C5D">
        <w:rPr>
          <w:rFonts w:asciiTheme="minorHAnsi" w:hAnsiTheme="minorHAnsi"/>
          <w:spacing w:val="-2"/>
          <w:sz w:val="22"/>
        </w:rPr>
        <w:t xml:space="preserve"> violence</w:t>
      </w:r>
    </w:p>
    <w:p w14:paraId="25826362" w14:textId="77777777" w:rsidR="006B5232" w:rsidRPr="00173C5D" w:rsidRDefault="006B5232" w:rsidP="00706CA6">
      <w:pPr>
        <w:pStyle w:val="ListParagraph"/>
        <w:widowControl w:val="0"/>
        <w:numPr>
          <w:ilvl w:val="0"/>
          <w:numId w:val="160"/>
        </w:numPr>
        <w:tabs>
          <w:tab w:val="left" w:pos="668"/>
          <w:tab w:val="left" w:pos="669"/>
        </w:tabs>
        <w:autoSpaceDE w:val="0"/>
        <w:autoSpaceDN w:val="0"/>
        <w:spacing w:after="0"/>
        <w:rPr>
          <w:rFonts w:asciiTheme="minorHAnsi" w:hAnsiTheme="minorHAnsi"/>
        </w:rPr>
      </w:pPr>
      <w:r w:rsidRPr="00173C5D">
        <w:rPr>
          <w:rFonts w:asciiTheme="minorHAnsi" w:hAnsiTheme="minorHAnsi"/>
        </w:rPr>
        <w:t>For</w:t>
      </w:r>
      <w:r w:rsidRPr="00173C5D">
        <w:rPr>
          <w:rFonts w:asciiTheme="minorHAnsi" w:hAnsiTheme="minorHAnsi"/>
          <w:spacing w:val="-5"/>
        </w:rPr>
        <w:t xml:space="preserve"> </w:t>
      </w:r>
      <w:r w:rsidRPr="00173C5D">
        <w:rPr>
          <w:rFonts w:asciiTheme="minorHAnsi" w:hAnsiTheme="minorHAnsi"/>
        </w:rPr>
        <w:t>the</w:t>
      </w:r>
      <w:r w:rsidRPr="00173C5D">
        <w:rPr>
          <w:rFonts w:asciiTheme="minorHAnsi" w:hAnsiTheme="minorHAnsi"/>
          <w:spacing w:val="-3"/>
        </w:rPr>
        <w:t xml:space="preserve"> </w:t>
      </w:r>
      <w:r w:rsidRPr="00173C5D">
        <w:rPr>
          <w:rFonts w:asciiTheme="minorHAnsi" w:hAnsiTheme="minorHAnsi"/>
        </w:rPr>
        <w:t>purposes</w:t>
      </w:r>
      <w:r w:rsidRPr="00173C5D">
        <w:rPr>
          <w:rFonts w:asciiTheme="minorHAnsi" w:hAnsiTheme="minorHAnsi"/>
          <w:spacing w:val="-6"/>
        </w:rPr>
        <w:t xml:space="preserve"> </w:t>
      </w:r>
      <w:r w:rsidRPr="00173C5D">
        <w:rPr>
          <w:rFonts w:asciiTheme="minorHAnsi" w:hAnsiTheme="minorHAnsi"/>
        </w:rPr>
        <w:t>of</w:t>
      </w:r>
      <w:r w:rsidRPr="00173C5D">
        <w:rPr>
          <w:rFonts w:asciiTheme="minorHAnsi" w:hAnsiTheme="minorHAnsi"/>
          <w:spacing w:val="-4"/>
        </w:rPr>
        <w:t xml:space="preserve"> </w:t>
      </w:r>
      <w:r w:rsidRPr="00173C5D">
        <w:rPr>
          <w:rFonts w:asciiTheme="minorHAnsi" w:hAnsiTheme="minorHAnsi"/>
        </w:rPr>
        <w:t>this</w:t>
      </w:r>
      <w:r w:rsidRPr="00173C5D">
        <w:rPr>
          <w:rFonts w:asciiTheme="minorHAnsi" w:hAnsiTheme="minorHAnsi"/>
          <w:spacing w:val="-6"/>
        </w:rPr>
        <w:t xml:space="preserve"> </w:t>
      </w:r>
      <w:r w:rsidRPr="00173C5D">
        <w:rPr>
          <w:rFonts w:asciiTheme="minorHAnsi" w:hAnsiTheme="minorHAnsi"/>
        </w:rPr>
        <w:t>Act,</w:t>
      </w:r>
      <w:r w:rsidRPr="00173C5D">
        <w:rPr>
          <w:rFonts w:asciiTheme="minorHAnsi" w:hAnsiTheme="minorHAnsi"/>
          <w:spacing w:val="-2"/>
        </w:rPr>
        <w:t xml:space="preserve"> </w:t>
      </w:r>
      <w:r w:rsidRPr="00173C5D">
        <w:rPr>
          <w:rFonts w:asciiTheme="minorHAnsi" w:hAnsiTheme="minorHAnsi"/>
        </w:rPr>
        <w:t>family</w:t>
      </w:r>
      <w:r w:rsidRPr="00173C5D">
        <w:rPr>
          <w:rFonts w:asciiTheme="minorHAnsi" w:hAnsiTheme="minorHAnsi"/>
          <w:spacing w:val="-3"/>
        </w:rPr>
        <w:t xml:space="preserve"> </w:t>
      </w:r>
      <w:r w:rsidRPr="00173C5D">
        <w:rPr>
          <w:rFonts w:asciiTheme="minorHAnsi" w:hAnsiTheme="minorHAnsi"/>
        </w:rPr>
        <w:t>violence</w:t>
      </w:r>
      <w:r w:rsidRPr="00173C5D">
        <w:rPr>
          <w:rFonts w:asciiTheme="minorHAnsi" w:hAnsiTheme="minorHAnsi"/>
          <w:spacing w:val="-2"/>
        </w:rPr>
        <w:t xml:space="preserve"> </w:t>
      </w:r>
      <w:r w:rsidRPr="00173C5D">
        <w:rPr>
          <w:rFonts w:asciiTheme="minorHAnsi" w:hAnsiTheme="minorHAnsi"/>
          <w:spacing w:val="-5"/>
        </w:rPr>
        <w:t>is—</w:t>
      </w:r>
    </w:p>
    <w:p w14:paraId="1DDFC13E" w14:textId="77777777" w:rsidR="006B5232" w:rsidRPr="00173C5D" w:rsidRDefault="006B5232" w:rsidP="00706CA6">
      <w:pPr>
        <w:pStyle w:val="ListParagraph"/>
        <w:widowControl w:val="0"/>
        <w:numPr>
          <w:ilvl w:val="1"/>
          <w:numId w:val="160"/>
        </w:numPr>
        <w:tabs>
          <w:tab w:val="left" w:pos="1234"/>
          <w:tab w:val="left" w:pos="1235"/>
        </w:tabs>
        <w:autoSpaceDE w:val="0"/>
        <w:autoSpaceDN w:val="0"/>
        <w:spacing w:before="1" w:after="0"/>
        <w:ind w:right="1070"/>
        <w:rPr>
          <w:rFonts w:asciiTheme="minorHAnsi" w:hAnsiTheme="minorHAnsi"/>
        </w:rPr>
      </w:pPr>
      <w:r w:rsidRPr="00173C5D">
        <w:rPr>
          <w:rFonts w:asciiTheme="minorHAnsi" w:hAnsiTheme="minorHAnsi"/>
        </w:rPr>
        <w:t>behaviour</w:t>
      </w:r>
      <w:r w:rsidRPr="00173C5D">
        <w:rPr>
          <w:rFonts w:asciiTheme="minorHAnsi" w:hAnsiTheme="minorHAnsi"/>
          <w:spacing w:val="-2"/>
        </w:rPr>
        <w:t xml:space="preserve"> </w:t>
      </w:r>
      <w:r w:rsidRPr="00173C5D">
        <w:rPr>
          <w:rFonts w:asciiTheme="minorHAnsi" w:hAnsiTheme="minorHAnsi"/>
        </w:rPr>
        <w:t>by</w:t>
      </w:r>
      <w:r w:rsidRPr="00173C5D">
        <w:rPr>
          <w:rFonts w:asciiTheme="minorHAnsi" w:hAnsiTheme="minorHAnsi"/>
          <w:spacing w:val="-4"/>
        </w:rPr>
        <w:t xml:space="preserve"> </w:t>
      </w:r>
      <w:r w:rsidRPr="00173C5D">
        <w:rPr>
          <w:rFonts w:asciiTheme="minorHAnsi" w:hAnsiTheme="minorHAnsi"/>
        </w:rPr>
        <w:t>a</w:t>
      </w:r>
      <w:r w:rsidRPr="00173C5D">
        <w:rPr>
          <w:rFonts w:asciiTheme="minorHAnsi" w:hAnsiTheme="minorHAnsi"/>
          <w:spacing w:val="-3"/>
        </w:rPr>
        <w:t xml:space="preserve"> </w:t>
      </w:r>
      <w:r w:rsidRPr="00173C5D">
        <w:rPr>
          <w:rFonts w:asciiTheme="minorHAnsi" w:hAnsiTheme="minorHAnsi"/>
        </w:rPr>
        <w:t>person</w:t>
      </w:r>
      <w:r w:rsidRPr="00173C5D">
        <w:rPr>
          <w:rFonts w:asciiTheme="minorHAnsi" w:hAnsiTheme="minorHAnsi"/>
          <w:spacing w:val="-4"/>
        </w:rPr>
        <w:t xml:space="preserve"> </w:t>
      </w:r>
      <w:r w:rsidRPr="00173C5D">
        <w:rPr>
          <w:rFonts w:asciiTheme="minorHAnsi" w:hAnsiTheme="minorHAnsi"/>
        </w:rPr>
        <w:t>towards</w:t>
      </w:r>
      <w:r w:rsidRPr="00173C5D">
        <w:rPr>
          <w:rFonts w:asciiTheme="minorHAnsi" w:hAnsiTheme="minorHAnsi"/>
          <w:spacing w:val="-2"/>
        </w:rPr>
        <w:t xml:space="preserve"> </w:t>
      </w:r>
      <w:r w:rsidRPr="00173C5D">
        <w:rPr>
          <w:rFonts w:asciiTheme="minorHAnsi" w:hAnsiTheme="minorHAnsi"/>
        </w:rPr>
        <w:t>a</w:t>
      </w:r>
      <w:r w:rsidRPr="00173C5D">
        <w:rPr>
          <w:rFonts w:asciiTheme="minorHAnsi" w:hAnsiTheme="minorHAnsi"/>
          <w:spacing w:val="-4"/>
        </w:rPr>
        <w:t xml:space="preserve"> </w:t>
      </w:r>
      <w:r w:rsidRPr="00173C5D">
        <w:rPr>
          <w:rFonts w:asciiTheme="minorHAnsi" w:hAnsiTheme="minorHAnsi"/>
        </w:rPr>
        <w:t>family</w:t>
      </w:r>
      <w:r w:rsidRPr="00173C5D">
        <w:rPr>
          <w:rFonts w:asciiTheme="minorHAnsi" w:hAnsiTheme="minorHAnsi"/>
          <w:spacing w:val="-2"/>
        </w:rPr>
        <w:t xml:space="preserve"> </w:t>
      </w:r>
      <w:r w:rsidRPr="00173C5D">
        <w:rPr>
          <w:rFonts w:asciiTheme="minorHAnsi" w:hAnsiTheme="minorHAnsi"/>
        </w:rPr>
        <w:t>member</w:t>
      </w:r>
      <w:r w:rsidRPr="00173C5D">
        <w:rPr>
          <w:rFonts w:asciiTheme="minorHAnsi" w:hAnsiTheme="minorHAnsi"/>
          <w:spacing w:val="-5"/>
        </w:rPr>
        <w:t xml:space="preserve"> </w:t>
      </w:r>
      <w:r w:rsidRPr="00173C5D">
        <w:rPr>
          <w:rFonts w:asciiTheme="minorHAnsi" w:hAnsiTheme="minorHAnsi"/>
        </w:rPr>
        <w:t>of</w:t>
      </w:r>
      <w:r w:rsidRPr="00173C5D">
        <w:rPr>
          <w:rFonts w:asciiTheme="minorHAnsi" w:hAnsiTheme="minorHAnsi"/>
          <w:spacing w:val="-4"/>
        </w:rPr>
        <w:t xml:space="preserve"> </w:t>
      </w:r>
      <w:r w:rsidRPr="00173C5D">
        <w:rPr>
          <w:rFonts w:asciiTheme="minorHAnsi" w:hAnsiTheme="minorHAnsi"/>
        </w:rPr>
        <w:t>that</w:t>
      </w:r>
      <w:r w:rsidRPr="00173C5D">
        <w:rPr>
          <w:rFonts w:asciiTheme="minorHAnsi" w:hAnsiTheme="minorHAnsi"/>
          <w:spacing w:val="-4"/>
        </w:rPr>
        <w:t xml:space="preserve"> </w:t>
      </w:r>
      <w:r w:rsidRPr="00173C5D">
        <w:rPr>
          <w:rFonts w:asciiTheme="minorHAnsi" w:hAnsiTheme="minorHAnsi"/>
        </w:rPr>
        <w:t>person</w:t>
      </w:r>
      <w:r w:rsidRPr="00173C5D">
        <w:rPr>
          <w:rFonts w:asciiTheme="minorHAnsi" w:hAnsiTheme="minorHAnsi"/>
          <w:spacing w:val="-4"/>
        </w:rPr>
        <w:t xml:space="preserve"> </w:t>
      </w:r>
      <w:r w:rsidRPr="00173C5D">
        <w:rPr>
          <w:rFonts w:asciiTheme="minorHAnsi" w:hAnsiTheme="minorHAnsi"/>
        </w:rPr>
        <w:t>if</w:t>
      </w:r>
      <w:r w:rsidRPr="00173C5D">
        <w:rPr>
          <w:rFonts w:asciiTheme="minorHAnsi" w:hAnsiTheme="minorHAnsi"/>
          <w:spacing w:val="-4"/>
        </w:rPr>
        <w:t xml:space="preserve"> </w:t>
      </w:r>
      <w:r w:rsidRPr="00173C5D">
        <w:rPr>
          <w:rFonts w:asciiTheme="minorHAnsi" w:hAnsiTheme="minorHAnsi"/>
        </w:rPr>
        <w:t xml:space="preserve">that </w:t>
      </w:r>
      <w:r w:rsidRPr="00173C5D">
        <w:rPr>
          <w:rFonts w:asciiTheme="minorHAnsi" w:hAnsiTheme="minorHAnsi"/>
          <w:spacing w:val="-2"/>
        </w:rPr>
        <w:t>behaviour—</w:t>
      </w:r>
    </w:p>
    <w:p w14:paraId="5D50C4FF" w14:textId="77777777" w:rsidR="006B5232" w:rsidRPr="00173C5D" w:rsidRDefault="006B5232" w:rsidP="00706CA6">
      <w:pPr>
        <w:pStyle w:val="ListParagraph"/>
        <w:widowControl w:val="0"/>
        <w:numPr>
          <w:ilvl w:val="2"/>
          <w:numId w:val="160"/>
        </w:numPr>
        <w:tabs>
          <w:tab w:val="left" w:pos="1803"/>
          <w:tab w:val="left" w:pos="1804"/>
        </w:tabs>
        <w:autoSpaceDE w:val="0"/>
        <w:autoSpaceDN w:val="0"/>
        <w:spacing w:after="0"/>
        <w:ind w:hanging="570"/>
        <w:rPr>
          <w:rFonts w:asciiTheme="minorHAnsi" w:hAnsiTheme="minorHAnsi"/>
        </w:rPr>
      </w:pPr>
      <w:r w:rsidRPr="00173C5D">
        <w:rPr>
          <w:rFonts w:asciiTheme="minorHAnsi" w:hAnsiTheme="minorHAnsi"/>
        </w:rPr>
        <w:t>is</w:t>
      </w:r>
      <w:r w:rsidRPr="00173C5D">
        <w:rPr>
          <w:rFonts w:asciiTheme="minorHAnsi" w:hAnsiTheme="minorHAnsi"/>
          <w:spacing w:val="-4"/>
        </w:rPr>
        <w:t xml:space="preserve"> </w:t>
      </w:r>
      <w:r w:rsidRPr="00173C5D">
        <w:rPr>
          <w:rFonts w:asciiTheme="minorHAnsi" w:hAnsiTheme="minorHAnsi"/>
        </w:rPr>
        <w:t>physically</w:t>
      </w:r>
      <w:r w:rsidRPr="00173C5D">
        <w:rPr>
          <w:rFonts w:asciiTheme="minorHAnsi" w:hAnsiTheme="minorHAnsi"/>
          <w:spacing w:val="-4"/>
        </w:rPr>
        <w:t xml:space="preserve"> </w:t>
      </w:r>
      <w:r w:rsidRPr="00173C5D">
        <w:rPr>
          <w:rFonts w:asciiTheme="minorHAnsi" w:hAnsiTheme="minorHAnsi"/>
        </w:rPr>
        <w:t>or</w:t>
      </w:r>
      <w:r w:rsidRPr="00173C5D">
        <w:rPr>
          <w:rFonts w:asciiTheme="minorHAnsi" w:hAnsiTheme="minorHAnsi"/>
          <w:spacing w:val="-5"/>
        </w:rPr>
        <w:t xml:space="preserve"> </w:t>
      </w:r>
      <w:r w:rsidRPr="00173C5D">
        <w:rPr>
          <w:rFonts w:asciiTheme="minorHAnsi" w:hAnsiTheme="minorHAnsi"/>
        </w:rPr>
        <w:t>sexually</w:t>
      </w:r>
      <w:r w:rsidRPr="00173C5D">
        <w:rPr>
          <w:rFonts w:asciiTheme="minorHAnsi" w:hAnsiTheme="minorHAnsi"/>
          <w:spacing w:val="-7"/>
        </w:rPr>
        <w:t xml:space="preserve"> </w:t>
      </w:r>
      <w:r w:rsidRPr="00173C5D">
        <w:rPr>
          <w:rFonts w:asciiTheme="minorHAnsi" w:hAnsiTheme="minorHAnsi"/>
        </w:rPr>
        <w:t>abusive;</w:t>
      </w:r>
      <w:r w:rsidRPr="00173C5D">
        <w:rPr>
          <w:rFonts w:asciiTheme="minorHAnsi" w:hAnsiTheme="minorHAnsi"/>
          <w:spacing w:val="-3"/>
        </w:rPr>
        <w:t xml:space="preserve"> </w:t>
      </w:r>
      <w:r w:rsidRPr="00173C5D">
        <w:rPr>
          <w:rFonts w:asciiTheme="minorHAnsi" w:hAnsiTheme="minorHAnsi"/>
          <w:spacing w:val="-5"/>
        </w:rPr>
        <w:t>or</w:t>
      </w:r>
    </w:p>
    <w:p w14:paraId="3229CDFE" w14:textId="77777777" w:rsidR="006B5232" w:rsidRPr="00173C5D" w:rsidRDefault="006B5232" w:rsidP="00706CA6">
      <w:pPr>
        <w:pStyle w:val="ListParagraph"/>
        <w:widowControl w:val="0"/>
        <w:numPr>
          <w:ilvl w:val="2"/>
          <w:numId w:val="160"/>
        </w:numPr>
        <w:tabs>
          <w:tab w:val="left" w:pos="1803"/>
          <w:tab w:val="left" w:pos="1804"/>
        </w:tabs>
        <w:autoSpaceDE w:val="0"/>
        <w:autoSpaceDN w:val="0"/>
        <w:spacing w:after="0"/>
        <w:ind w:hanging="570"/>
        <w:rPr>
          <w:rFonts w:asciiTheme="minorHAnsi" w:hAnsiTheme="minorHAnsi"/>
        </w:rPr>
      </w:pPr>
      <w:r w:rsidRPr="00173C5D">
        <w:rPr>
          <w:rFonts w:asciiTheme="minorHAnsi" w:hAnsiTheme="minorHAnsi"/>
        </w:rPr>
        <w:t>is</w:t>
      </w:r>
      <w:r w:rsidRPr="00173C5D">
        <w:rPr>
          <w:rFonts w:asciiTheme="minorHAnsi" w:hAnsiTheme="minorHAnsi"/>
          <w:spacing w:val="-7"/>
        </w:rPr>
        <w:t xml:space="preserve"> </w:t>
      </w:r>
      <w:r w:rsidRPr="00173C5D">
        <w:rPr>
          <w:rFonts w:asciiTheme="minorHAnsi" w:hAnsiTheme="minorHAnsi"/>
        </w:rPr>
        <w:t>emotionally</w:t>
      </w:r>
      <w:r w:rsidRPr="00173C5D">
        <w:rPr>
          <w:rFonts w:asciiTheme="minorHAnsi" w:hAnsiTheme="minorHAnsi"/>
          <w:spacing w:val="-7"/>
        </w:rPr>
        <w:t xml:space="preserve"> </w:t>
      </w:r>
      <w:r w:rsidRPr="00173C5D">
        <w:rPr>
          <w:rFonts w:asciiTheme="minorHAnsi" w:hAnsiTheme="minorHAnsi"/>
        </w:rPr>
        <w:t>or</w:t>
      </w:r>
      <w:r w:rsidRPr="00173C5D">
        <w:rPr>
          <w:rFonts w:asciiTheme="minorHAnsi" w:hAnsiTheme="minorHAnsi"/>
          <w:spacing w:val="-6"/>
        </w:rPr>
        <w:t xml:space="preserve"> </w:t>
      </w:r>
      <w:r w:rsidRPr="00173C5D">
        <w:rPr>
          <w:rFonts w:asciiTheme="minorHAnsi" w:hAnsiTheme="minorHAnsi"/>
        </w:rPr>
        <w:t>psychologically</w:t>
      </w:r>
      <w:r w:rsidRPr="00173C5D">
        <w:rPr>
          <w:rFonts w:asciiTheme="minorHAnsi" w:hAnsiTheme="minorHAnsi"/>
          <w:spacing w:val="-7"/>
        </w:rPr>
        <w:t xml:space="preserve"> </w:t>
      </w:r>
      <w:r w:rsidRPr="00173C5D">
        <w:rPr>
          <w:rFonts w:asciiTheme="minorHAnsi" w:hAnsiTheme="minorHAnsi"/>
        </w:rPr>
        <w:t>abusive;</w:t>
      </w:r>
      <w:r w:rsidRPr="00173C5D">
        <w:rPr>
          <w:rFonts w:asciiTheme="minorHAnsi" w:hAnsiTheme="minorHAnsi"/>
          <w:spacing w:val="-6"/>
        </w:rPr>
        <w:t xml:space="preserve"> </w:t>
      </w:r>
      <w:r w:rsidRPr="00173C5D">
        <w:rPr>
          <w:rFonts w:asciiTheme="minorHAnsi" w:hAnsiTheme="minorHAnsi"/>
          <w:spacing w:val="-5"/>
        </w:rPr>
        <w:t>or</w:t>
      </w:r>
    </w:p>
    <w:p w14:paraId="3D6BA1BA" w14:textId="77777777" w:rsidR="006B5232" w:rsidRPr="00173C5D" w:rsidRDefault="006B5232" w:rsidP="00706CA6">
      <w:pPr>
        <w:pStyle w:val="ListParagraph"/>
        <w:widowControl w:val="0"/>
        <w:numPr>
          <w:ilvl w:val="2"/>
          <w:numId w:val="160"/>
        </w:numPr>
        <w:tabs>
          <w:tab w:val="left" w:pos="1803"/>
          <w:tab w:val="left" w:pos="1804"/>
        </w:tabs>
        <w:autoSpaceDE w:val="0"/>
        <w:autoSpaceDN w:val="0"/>
        <w:spacing w:before="1" w:after="0"/>
        <w:ind w:hanging="570"/>
        <w:rPr>
          <w:rFonts w:asciiTheme="minorHAnsi" w:hAnsiTheme="minorHAnsi"/>
        </w:rPr>
      </w:pPr>
      <w:r w:rsidRPr="00173C5D">
        <w:rPr>
          <w:rFonts w:asciiTheme="minorHAnsi" w:hAnsiTheme="minorHAnsi"/>
        </w:rPr>
        <w:t>is</w:t>
      </w:r>
      <w:r w:rsidRPr="00173C5D">
        <w:rPr>
          <w:rFonts w:asciiTheme="minorHAnsi" w:hAnsiTheme="minorHAnsi"/>
          <w:spacing w:val="-7"/>
        </w:rPr>
        <w:t xml:space="preserve"> </w:t>
      </w:r>
      <w:r w:rsidRPr="00173C5D">
        <w:rPr>
          <w:rFonts w:asciiTheme="minorHAnsi" w:hAnsiTheme="minorHAnsi"/>
        </w:rPr>
        <w:t>economically</w:t>
      </w:r>
      <w:r w:rsidRPr="00173C5D">
        <w:rPr>
          <w:rFonts w:asciiTheme="minorHAnsi" w:hAnsiTheme="minorHAnsi"/>
          <w:spacing w:val="-6"/>
        </w:rPr>
        <w:t xml:space="preserve"> </w:t>
      </w:r>
      <w:r w:rsidRPr="00173C5D">
        <w:rPr>
          <w:rFonts w:asciiTheme="minorHAnsi" w:hAnsiTheme="minorHAnsi"/>
        </w:rPr>
        <w:t>abusive;</w:t>
      </w:r>
      <w:r w:rsidRPr="00173C5D">
        <w:rPr>
          <w:rFonts w:asciiTheme="minorHAnsi" w:hAnsiTheme="minorHAnsi"/>
          <w:spacing w:val="-8"/>
        </w:rPr>
        <w:t xml:space="preserve"> </w:t>
      </w:r>
      <w:r w:rsidRPr="00173C5D">
        <w:rPr>
          <w:rFonts w:asciiTheme="minorHAnsi" w:hAnsiTheme="minorHAnsi"/>
          <w:spacing w:val="-5"/>
        </w:rPr>
        <w:t>or</w:t>
      </w:r>
    </w:p>
    <w:p w14:paraId="4F63925B" w14:textId="77777777" w:rsidR="006B5232" w:rsidRPr="00173C5D" w:rsidRDefault="006B5232" w:rsidP="00706CA6">
      <w:pPr>
        <w:pStyle w:val="ListParagraph"/>
        <w:widowControl w:val="0"/>
        <w:numPr>
          <w:ilvl w:val="2"/>
          <w:numId w:val="160"/>
        </w:numPr>
        <w:tabs>
          <w:tab w:val="left" w:pos="1803"/>
          <w:tab w:val="left" w:pos="1804"/>
        </w:tabs>
        <w:autoSpaceDE w:val="0"/>
        <w:autoSpaceDN w:val="0"/>
        <w:spacing w:before="1" w:after="0"/>
        <w:ind w:hanging="570"/>
        <w:rPr>
          <w:rFonts w:asciiTheme="minorHAnsi" w:hAnsiTheme="minorHAnsi"/>
        </w:rPr>
      </w:pPr>
      <w:r w:rsidRPr="00173C5D">
        <w:rPr>
          <w:rFonts w:asciiTheme="minorHAnsi" w:hAnsiTheme="minorHAnsi"/>
        </w:rPr>
        <w:t>is</w:t>
      </w:r>
      <w:r w:rsidRPr="00173C5D">
        <w:rPr>
          <w:rFonts w:asciiTheme="minorHAnsi" w:hAnsiTheme="minorHAnsi"/>
          <w:spacing w:val="-9"/>
        </w:rPr>
        <w:t xml:space="preserve"> </w:t>
      </w:r>
      <w:r w:rsidRPr="00173C5D">
        <w:rPr>
          <w:rFonts w:asciiTheme="minorHAnsi" w:hAnsiTheme="minorHAnsi"/>
        </w:rPr>
        <w:t>threatening;</w:t>
      </w:r>
      <w:r w:rsidRPr="00173C5D">
        <w:rPr>
          <w:rFonts w:asciiTheme="minorHAnsi" w:hAnsiTheme="minorHAnsi"/>
          <w:spacing w:val="-7"/>
        </w:rPr>
        <w:t xml:space="preserve"> </w:t>
      </w:r>
      <w:r w:rsidRPr="00173C5D">
        <w:rPr>
          <w:rFonts w:asciiTheme="minorHAnsi" w:hAnsiTheme="minorHAnsi"/>
          <w:spacing w:val="-5"/>
        </w:rPr>
        <w:t>or</w:t>
      </w:r>
    </w:p>
    <w:p w14:paraId="282DF73A" w14:textId="77777777" w:rsidR="006B5232" w:rsidRPr="00173C5D" w:rsidRDefault="006B5232" w:rsidP="00706CA6">
      <w:pPr>
        <w:pStyle w:val="ListParagraph"/>
        <w:widowControl w:val="0"/>
        <w:numPr>
          <w:ilvl w:val="2"/>
          <w:numId w:val="160"/>
        </w:numPr>
        <w:tabs>
          <w:tab w:val="left" w:pos="1803"/>
          <w:tab w:val="left" w:pos="1804"/>
        </w:tabs>
        <w:autoSpaceDE w:val="0"/>
        <w:autoSpaceDN w:val="0"/>
        <w:spacing w:after="0"/>
        <w:ind w:hanging="570"/>
        <w:rPr>
          <w:rFonts w:asciiTheme="minorHAnsi" w:hAnsiTheme="minorHAnsi"/>
        </w:rPr>
      </w:pPr>
      <w:r w:rsidRPr="00173C5D">
        <w:rPr>
          <w:rFonts w:asciiTheme="minorHAnsi" w:hAnsiTheme="minorHAnsi"/>
        </w:rPr>
        <w:t>is</w:t>
      </w:r>
      <w:r w:rsidRPr="00173C5D">
        <w:rPr>
          <w:rFonts w:asciiTheme="minorHAnsi" w:hAnsiTheme="minorHAnsi"/>
          <w:spacing w:val="-2"/>
        </w:rPr>
        <w:t xml:space="preserve"> </w:t>
      </w:r>
      <w:r w:rsidRPr="00173C5D">
        <w:rPr>
          <w:rFonts w:asciiTheme="minorHAnsi" w:hAnsiTheme="minorHAnsi"/>
        </w:rPr>
        <w:t>coercive;</w:t>
      </w:r>
      <w:r w:rsidRPr="00173C5D">
        <w:rPr>
          <w:rFonts w:asciiTheme="minorHAnsi" w:hAnsiTheme="minorHAnsi"/>
          <w:spacing w:val="-3"/>
        </w:rPr>
        <w:t xml:space="preserve"> </w:t>
      </w:r>
      <w:r w:rsidRPr="00173C5D">
        <w:rPr>
          <w:rFonts w:asciiTheme="minorHAnsi" w:hAnsiTheme="minorHAnsi"/>
          <w:spacing w:val="-5"/>
        </w:rPr>
        <w:t>or</w:t>
      </w:r>
    </w:p>
    <w:p w14:paraId="68DF8E17" w14:textId="77777777" w:rsidR="006B5232" w:rsidRPr="00173C5D" w:rsidRDefault="006B5232" w:rsidP="00706CA6">
      <w:pPr>
        <w:pStyle w:val="ListParagraph"/>
        <w:widowControl w:val="0"/>
        <w:numPr>
          <w:ilvl w:val="2"/>
          <w:numId w:val="160"/>
        </w:numPr>
        <w:tabs>
          <w:tab w:val="left" w:pos="1804"/>
        </w:tabs>
        <w:autoSpaceDE w:val="0"/>
        <w:autoSpaceDN w:val="0"/>
        <w:spacing w:before="1" w:after="0"/>
        <w:ind w:right="352"/>
        <w:jc w:val="both"/>
        <w:rPr>
          <w:rFonts w:asciiTheme="minorHAnsi" w:hAnsiTheme="minorHAnsi"/>
        </w:rPr>
      </w:pPr>
      <w:r w:rsidRPr="00173C5D">
        <w:rPr>
          <w:rFonts w:asciiTheme="minorHAnsi" w:hAnsiTheme="minorHAnsi"/>
        </w:rPr>
        <w:t>in any other way</w:t>
      </w:r>
      <w:r w:rsidRPr="00173C5D">
        <w:rPr>
          <w:rFonts w:asciiTheme="minorHAnsi" w:hAnsiTheme="minorHAnsi"/>
          <w:spacing w:val="-2"/>
        </w:rPr>
        <w:t xml:space="preserve"> </w:t>
      </w:r>
      <w:r w:rsidRPr="00173C5D">
        <w:rPr>
          <w:rFonts w:asciiTheme="minorHAnsi" w:hAnsiTheme="minorHAnsi"/>
        </w:rPr>
        <w:t>controls</w:t>
      </w:r>
      <w:r w:rsidRPr="00173C5D">
        <w:rPr>
          <w:rFonts w:asciiTheme="minorHAnsi" w:hAnsiTheme="minorHAnsi"/>
          <w:spacing w:val="-2"/>
        </w:rPr>
        <w:t xml:space="preserve"> </w:t>
      </w:r>
      <w:r w:rsidRPr="00173C5D">
        <w:rPr>
          <w:rFonts w:asciiTheme="minorHAnsi" w:hAnsiTheme="minorHAnsi"/>
        </w:rPr>
        <w:t>or</w:t>
      </w:r>
      <w:r w:rsidRPr="00173C5D">
        <w:rPr>
          <w:rFonts w:asciiTheme="minorHAnsi" w:hAnsiTheme="minorHAnsi"/>
          <w:spacing w:val="-1"/>
        </w:rPr>
        <w:t xml:space="preserve"> </w:t>
      </w:r>
      <w:r w:rsidRPr="00173C5D">
        <w:rPr>
          <w:rFonts w:asciiTheme="minorHAnsi" w:hAnsiTheme="minorHAnsi"/>
        </w:rPr>
        <w:t>dominates</w:t>
      </w:r>
      <w:r w:rsidRPr="00173C5D">
        <w:rPr>
          <w:rFonts w:asciiTheme="minorHAnsi" w:hAnsiTheme="minorHAnsi"/>
          <w:spacing w:val="-2"/>
        </w:rPr>
        <w:t xml:space="preserve"> </w:t>
      </w:r>
      <w:r w:rsidRPr="00173C5D">
        <w:rPr>
          <w:rFonts w:asciiTheme="minorHAnsi" w:hAnsiTheme="minorHAnsi"/>
        </w:rPr>
        <w:t>the</w:t>
      </w:r>
      <w:r w:rsidRPr="00173C5D">
        <w:rPr>
          <w:rFonts w:asciiTheme="minorHAnsi" w:hAnsiTheme="minorHAnsi"/>
          <w:spacing w:val="-2"/>
        </w:rPr>
        <w:t xml:space="preserve"> </w:t>
      </w:r>
      <w:r w:rsidRPr="00173C5D">
        <w:rPr>
          <w:rFonts w:asciiTheme="minorHAnsi" w:hAnsiTheme="minorHAnsi"/>
        </w:rPr>
        <w:t>family</w:t>
      </w:r>
      <w:r w:rsidRPr="00173C5D">
        <w:rPr>
          <w:rFonts w:asciiTheme="minorHAnsi" w:hAnsiTheme="minorHAnsi"/>
          <w:spacing w:val="-2"/>
        </w:rPr>
        <w:t xml:space="preserve"> </w:t>
      </w:r>
      <w:r w:rsidRPr="00173C5D">
        <w:rPr>
          <w:rFonts w:asciiTheme="minorHAnsi" w:hAnsiTheme="minorHAnsi"/>
        </w:rPr>
        <w:t>member and</w:t>
      </w:r>
      <w:r w:rsidRPr="00173C5D">
        <w:rPr>
          <w:rFonts w:asciiTheme="minorHAnsi" w:hAnsiTheme="minorHAnsi"/>
          <w:spacing w:val="-2"/>
        </w:rPr>
        <w:t xml:space="preserve"> </w:t>
      </w:r>
      <w:r w:rsidRPr="00173C5D">
        <w:rPr>
          <w:rFonts w:asciiTheme="minorHAnsi" w:hAnsiTheme="minorHAnsi"/>
        </w:rPr>
        <w:t>causes that</w:t>
      </w:r>
      <w:r w:rsidRPr="00173C5D">
        <w:rPr>
          <w:rFonts w:asciiTheme="minorHAnsi" w:hAnsiTheme="minorHAnsi"/>
          <w:spacing w:val="-4"/>
        </w:rPr>
        <w:t xml:space="preserve"> </w:t>
      </w:r>
      <w:r w:rsidRPr="00173C5D">
        <w:rPr>
          <w:rFonts w:asciiTheme="minorHAnsi" w:hAnsiTheme="minorHAnsi"/>
        </w:rPr>
        <w:t>family</w:t>
      </w:r>
      <w:r w:rsidRPr="00173C5D">
        <w:rPr>
          <w:rFonts w:asciiTheme="minorHAnsi" w:hAnsiTheme="minorHAnsi"/>
          <w:spacing w:val="-2"/>
        </w:rPr>
        <w:t xml:space="preserve"> </w:t>
      </w:r>
      <w:r w:rsidRPr="00173C5D">
        <w:rPr>
          <w:rFonts w:asciiTheme="minorHAnsi" w:hAnsiTheme="minorHAnsi"/>
        </w:rPr>
        <w:t>member</w:t>
      </w:r>
      <w:r w:rsidRPr="00173C5D">
        <w:rPr>
          <w:rFonts w:asciiTheme="minorHAnsi" w:hAnsiTheme="minorHAnsi"/>
          <w:spacing w:val="-4"/>
        </w:rPr>
        <w:t xml:space="preserve"> </w:t>
      </w:r>
      <w:r w:rsidRPr="00173C5D">
        <w:rPr>
          <w:rFonts w:asciiTheme="minorHAnsi" w:hAnsiTheme="minorHAnsi"/>
        </w:rPr>
        <w:t>to</w:t>
      </w:r>
      <w:r w:rsidRPr="00173C5D">
        <w:rPr>
          <w:rFonts w:asciiTheme="minorHAnsi" w:hAnsiTheme="minorHAnsi"/>
          <w:spacing w:val="-5"/>
        </w:rPr>
        <w:t xml:space="preserve"> </w:t>
      </w:r>
      <w:r w:rsidRPr="00173C5D">
        <w:rPr>
          <w:rFonts w:asciiTheme="minorHAnsi" w:hAnsiTheme="minorHAnsi"/>
        </w:rPr>
        <w:t>feel</w:t>
      </w:r>
      <w:r w:rsidRPr="00173C5D">
        <w:rPr>
          <w:rFonts w:asciiTheme="minorHAnsi" w:hAnsiTheme="minorHAnsi"/>
          <w:spacing w:val="-3"/>
        </w:rPr>
        <w:t xml:space="preserve"> </w:t>
      </w:r>
      <w:r w:rsidRPr="00173C5D">
        <w:rPr>
          <w:rFonts w:asciiTheme="minorHAnsi" w:hAnsiTheme="minorHAnsi"/>
        </w:rPr>
        <w:t>fear</w:t>
      </w:r>
      <w:r w:rsidRPr="00173C5D">
        <w:rPr>
          <w:rFonts w:asciiTheme="minorHAnsi" w:hAnsiTheme="minorHAnsi"/>
          <w:spacing w:val="-4"/>
        </w:rPr>
        <w:t xml:space="preserve"> </w:t>
      </w:r>
      <w:r w:rsidRPr="00173C5D">
        <w:rPr>
          <w:rFonts w:asciiTheme="minorHAnsi" w:hAnsiTheme="minorHAnsi"/>
        </w:rPr>
        <w:t>for</w:t>
      </w:r>
      <w:r w:rsidRPr="00173C5D">
        <w:rPr>
          <w:rFonts w:asciiTheme="minorHAnsi" w:hAnsiTheme="minorHAnsi"/>
          <w:spacing w:val="-4"/>
        </w:rPr>
        <w:t xml:space="preserve"> </w:t>
      </w:r>
      <w:r w:rsidRPr="00173C5D">
        <w:rPr>
          <w:rFonts w:asciiTheme="minorHAnsi" w:hAnsiTheme="minorHAnsi"/>
        </w:rPr>
        <w:t>the</w:t>
      </w:r>
      <w:r w:rsidRPr="00173C5D">
        <w:rPr>
          <w:rFonts w:asciiTheme="minorHAnsi" w:hAnsiTheme="minorHAnsi"/>
          <w:spacing w:val="-5"/>
        </w:rPr>
        <w:t xml:space="preserve"> </w:t>
      </w:r>
      <w:r w:rsidRPr="00173C5D">
        <w:rPr>
          <w:rFonts w:asciiTheme="minorHAnsi" w:hAnsiTheme="minorHAnsi"/>
        </w:rPr>
        <w:t>safety</w:t>
      </w:r>
      <w:r w:rsidRPr="00173C5D">
        <w:rPr>
          <w:rFonts w:asciiTheme="minorHAnsi" w:hAnsiTheme="minorHAnsi"/>
          <w:spacing w:val="-2"/>
        </w:rPr>
        <w:t xml:space="preserve"> </w:t>
      </w:r>
      <w:r w:rsidRPr="00173C5D">
        <w:rPr>
          <w:rFonts w:asciiTheme="minorHAnsi" w:hAnsiTheme="minorHAnsi"/>
        </w:rPr>
        <w:t>or</w:t>
      </w:r>
      <w:r w:rsidRPr="00173C5D">
        <w:rPr>
          <w:rFonts w:asciiTheme="minorHAnsi" w:hAnsiTheme="minorHAnsi"/>
          <w:spacing w:val="-2"/>
        </w:rPr>
        <w:t xml:space="preserve"> </w:t>
      </w:r>
      <w:r w:rsidRPr="00173C5D">
        <w:rPr>
          <w:rFonts w:asciiTheme="minorHAnsi" w:hAnsiTheme="minorHAnsi"/>
        </w:rPr>
        <w:t>wellbeing</w:t>
      </w:r>
      <w:r w:rsidRPr="00173C5D">
        <w:rPr>
          <w:rFonts w:asciiTheme="minorHAnsi" w:hAnsiTheme="minorHAnsi"/>
          <w:spacing w:val="-3"/>
        </w:rPr>
        <w:t xml:space="preserve"> </w:t>
      </w:r>
      <w:r w:rsidRPr="00173C5D">
        <w:rPr>
          <w:rFonts w:asciiTheme="minorHAnsi" w:hAnsiTheme="minorHAnsi"/>
        </w:rPr>
        <w:t>of</w:t>
      </w:r>
      <w:r w:rsidRPr="00173C5D">
        <w:rPr>
          <w:rFonts w:asciiTheme="minorHAnsi" w:hAnsiTheme="minorHAnsi"/>
          <w:spacing w:val="-2"/>
        </w:rPr>
        <w:t xml:space="preserve"> </w:t>
      </w:r>
      <w:r w:rsidRPr="00173C5D">
        <w:rPr>
          <w:rFonts w:asciiTheme="minorHAnsi" w:hAnsiTheme="minorHAnsi"/>
        </w:rPr>
        <w:t>that</w:t>
      </w:r>
      <w:r w:rsidRPr="00173C5D">
        <w:rPr>
          <w:rFonts w:asciiTheme="minorHAnsi" w:hAnsiTheme="minorHAnsi"/>
          <w:spacing w:val="-4"/>
        </w:rPr>
        <w:t xml:space="preserve"> </w:t>
      </w:r>
      <w:r w:rsidRPr="00173C5D">
        <w:rPr>
          <w:rFonts w:asciiTheme="minorHAnsi" w:hAnsiTheme="minorHAnsi"/>
        </w:rPr>
        <w:t>family member or another person; or</w:t>
      </w:r>
    </w:p>
    <w:p w14:paraId="3447BFEF" w14:textId="77777777" w:rsidR="006B5232" w:rsidRPr="00173C5D" w:rsidRDefault="006B5232" w:rsidP="00706CA6">
      <w:pPr>
        <w:pStyle w:val="ListParagraph"/>
        <w:widowControl w:val="0"/>
        <w:numPr>
          <w:ilvl w:val="1"/>
          <w:numId w:val="160"/>
        </w:numPr>
        <w:tabs>
          <w:tab w:val="left" w:pos="1234"/>
          <w:tab w:val="left" w:pos="1235"/>
        </w:tabs>
        <w:autoSpaceDE w:val="0"/>
        <w:autoSpaceDN w:val="0"/>
        <w:spacing w:before="1" w:after="0"/>
        <w:ind w:right="289"/>
        <w:rPr>
          <w:rFonts w:asciiTheme="minorHAnsi" w:hAnsiTheme="minorHAnsi"/>
        </w:rPr>
      </w:pPr>
      <w:r w:rsidRPr="00173C5D">
        <w:rPr>
          <w:rFonts w:asciiTheme="minorHAnsi" w:hAnsiTheme="minorHAnsi"/>
        </w:rPr>
        <w:t>behaviour</w:t>
      </w:r>
      <w:r w:rsidRPr="00173C5D">
        <w:rPr>
          <w:rFonts w:asciiTheme="minorHAnsi" w:hAnsiTheme="minorHAnsi"/>
          <w:spacing w:val="-2"/>
        </w:rPr>
        <w:t xml:space="preserve"> </w:t>
      </w:r>
      <w:r w:rsidRPr="00173C5D">
        <w:rPr>
          <w:rFonts w:asciiTheme="minorHAnsi" w:hAnsiTheme="minorHAnsi"/>
        </w:rPr>
        <w:t>by</w:t>
      </w:r>
      <w:r w:rsidRPr="00173C5D">
        <w:rPr>
          <w:rFonts w:asciiTheme="minorHAnsi" w:hAnsiTheme="minorHAnsi"/>
          <w:spacing w:val="-4"/>
        </w:rPr>
        <w:t xml:space="preserve"> </w:t>
      </w:r>
      <w:r w:rsidRPr="00173C5D">
        <w:rPr>
          <w:rFonts w:asciiTheme="minorHAnsi" w:hAnsiTheme="minorHAnsi"/>
        </w:rPr>
        <w:t>a</w:t>
      </w:r>
      <w:r w:rsidRPr="00173C5D">
        <w:rPr>
          <w:rFonts w:asciiTheme="minorHAnsi" w:hAnsiTheme="minorHAnsi"/>
          <w:spacing w:val="-3"/>
        </w:rPr>
        <w:t xml:space="preserve"> </w:t>
      </w:r>
      <w:r w:rsidRPr="00173C5D">
        <w:rPr>
          <w:rFonts w:asciiTheme="minorHAnsi" w:hAnsiTheme="minorHAnsi"/>
        </w:rPr>
        <w:t>person</w:t>
      </w:r>
      <w:r w:rsidRPr="00173C5D">
        <w:rPr>
          <w:rFonts w:asciiTheme="minorHAnsi" w:hAnsiTheme="minorHAnsi"/>
          <w:spacing w:val="-4"/>
        </w:rPr>
        <w:t xml:space="preserve"> </w:t>
      </w:r>
      <w:r w:rsidRPr="00173C5D">
        <w:rPr>
          <w:rFonts w:asciiTheme="minorHAnsi" w:hAnsiTheme="minorHAnsi"/>
        </w:rPr>
        <w:t>that</w:t>
      </w:r>
      <w:r w:rsidRPr="00173C5D">
        <w:rPr>
          <w:rFonts w:asciiTheme="minorHAnsi" w:hAnsiTheme="minorHAnsi"/>
          <w:spacing w:val="-2"/>
        </w:rPr>
        <w:t xml:space="preserve"> </w:t>
      </w:r>
      <w:r w:rsidRPr="00173C5D">
        <w:rPr>
          <w:rFonts w:asciiTheme="minorHAnsi" w:hAnsiTheme="minorHAnsi"/>
        </w:rPr>
        <w:t>causes</w:t>
      </w:r>
      <w:r w:rsidRPr="00173C5D">
        <w:rPr>
          <w:rFonts w:asciiTheme="minorHAnsi" w:hAnsiTheme="minorHAnsi"/>
          <w:spacing w:val="-2"/>
        </w:rPr>
        <w:t xml:space="preserve"> </w:t>
      </w:r>
      <w:r w:rsidRPr="00173C5D">
        <w:rPr>
          <w:rFonts w:asciiTheme="minorHAnsi" w:hAnsiTheme="minorHAnsi"/>
        </w:rPr>
        <w:t>a</w:t>
      </w:r>
      <w:r w:rsidRPr="00173C5D">
        <w:rPr>
          <w:rFonts w:asciiTheme="minorHAnsi" w:hAnsiTheme="minorHAnsi"/>
          <w:spacing w:val="-4"/>
        </w:rPr>
        <w:t xml:space="preserve"> </w:t>
      </w:r>
      <w:r w:rsidRPr="00173C5D">
        <w:rPr>
          <w:rFonts w:asciiTheme="minorHAnsi" w:hAnsiTheme="minorHAnsi"/>
        </w:rPr>
        <w:t>child</w:t>
      </w:r>
      <w:r w:rsidRPr="00173C5D">
        <w:rPr>
          <w:rFonts w:asciiTheme="minorHAnsi" w:hAnsiTheme="minorHAnsi"/>
          <w:spacing w:val="-3"/>
        </w:rPr>
        <w:t xml:space="preserve"> </w:t>
      </w:r>
      <w:r w:rsidRPr="00173C5D">
        <w:rPr>
          <w:rFonts w:asciiTheme="minorHAnsi" w:hAnsiTheme="minorHAnsi"/>
        </w:rPr>
        <w:t>to</w:t>
      </w:r>
      <w:r w:rsidRPr="00173C5D">
        <w:rPr>
          <w:rFonts w:asciiTheme="minorHAnsi" w:hAnsiTheme="minorHAnsi"/>
          <w:spacing w:val="-4"/>
        </w:rPr>
        <w:t xml:space="preserve"> </w:t>
      </w:r>
      <w:r w:rsidRPr="00173C5D">
        <w:rPr>
          <w:rFonts w:asciiTheme="minorHAnsi" w:hAnsiTheme="minorHAnsi"/>
        </w:rPr>
        <w:t>hear</w:t>
      </w:r>
      <w:r w:rsidRPr="00173C5D">
        <w:rPr>
          <w:rFonts w:asciiTheme="minorHAnsi" w:hAnsiTheme="minorHAnsi"/>
          <w:spacing w:val="-6"/>
        </w:rPr>
        <w:t xml:space="preserve"> </w:t>
      </w:r>
      <w:r w:rsidRPr="00173C5D">
        <w:rPr>
          <w:rFonts w:asciiTheme="minorHAnsi" w:hAnsiTheme="minorHAnsi"/>
        </w:rPr>
        <w:t>or</w:t>
      </w:r>
      <w:r w:rsidRPr="00173C5D">
        <w:rPr>
          <w:rFonts w:asciiTheme="minorHAnsi" w:hAnsiTheme="minorHAnsi"/>
          <w:spacing w:val="-2"/>
        </w:rPr>
        <w:t xml:space="preserve"> </w:t>
      </w:r>
      <w:r w:rsidRPr="00173C5D">
        <w:rPr>
          <w:rFonts w:asciiTheme="minorHAnsi" w:hAnsiTheme="minorHAnsi"/>
        </w:rPr>
        <w:t>witness,</w:t>
      </w:r>
      <w:r w:rsidRPr="00173C5D">
        <w:rPr>
          <w:rFonts w:asciiTheme="minorHAnsi" w:hAnsiTheme="minorHAnsi"/>
          <w:spacing w:val="-1"/>
        </w:rPr>
        <w:t xml:space="preserve"> </w:t>
      </w:r>
      <w:r w:rsidRPr="00173C5D">
        <w:rPr>
          <w:rFonts w:asciiTheme="minorHAnsi" w:hAnsiTheme="minorHAnsi"/>
        </w:rPr>
        <w:t>or</w:t>
      </w:r>
      <w:r w:rsidRPr="00173C5D">
        <w:rPr>
          <w:rFonts w:asciiTheme="minorHAnsi" w:hAnsiTheme="minorHAnsi"/>
          <w:spacing w:val="-2"/>
        </w:rPr>
        <w:t xml:space="preserve"> </w:t>
      </w:r>
      <w:r w:rsidRPr="00173C5D">
        <w:rPr>
          <w:rFonts w:asciiTheme="minorHAnsi" w:hAnsiTheme="minorHAnsi"/>
        </w:rPr>
        <w:t>otherwise</w:t>
      </w:r>
      <w:r w:rsidRPr="00173C5D">
        <w:rPr>
          <w:rFonts w:asciiTheme="minorHAnsi" w:hAnsiTheme="minorHAnsi"/>
          <w:spacing w:val="-6"/>
        </w:rPr>
        <w:t xml:space="preserve"> </w:t>
      </w:r>
      <w:r w:rsidRPr="00173C5D">
        <w:rPr>
          <w:rFonts w:asciiTheme="minorHAnsi" w:hAnsiTheme="minorHAnsi"/>
        </w:rPr>
        <w:t>be exposed to the effects of, behaviour referred to in paragraph (a).</w:t>
      </w:r>
    </w:p>
    <w:p w14:paraId="3B763846" w14:textId="77777777" w:rsidR="006B5232" w:rsidRDefault="006B5232" w:rsidP="006B5232">
      <w:pPr>
        <w:ind w:left="1234"/>
        <w:rPr>
          <w:b/>
          <w:sz w:val="18"/>
        </w:rPr>
      </w:pPr>
      <w:r>
        <w:rPr>
          <w:b/>
          <w:spacing w:val="-2"/>
          <w:sz w:val="18"/>
        </w:rPr>
        <w:t>Examples</w:t>
      </w:r>
    </w:p>
    <w:p w14:paraId="4159AB13" w14:textId="77777777" w:rsidR="006B5232" w:rsidRDefault="006B5232" w:rsidP="00706CA6">
      <w:pPr>
        <w:pStyle w:val="ListParagraph"/>
        <w:widowControl w:val="0"/>
        <w:numPr>
          <w:ilvl w:val="0"/>
          <w:numId w:val="159"/>
        </w:numPr>
        <w:tabs>
          <w:tab w:val="left" w:pos="1803"/>
          <w:tab w:val="left" w:pos="1804"/>
        </w:tabs>
        <w:autoSpaceDE w:val="0"/>
        <w:autoSpaceDN w:val="0"/>
        <w:spacing w:before="120" w:after="0"/>
        <w:ind w:hanging="570"/>
        <w:rPr>
          <w:sz w:val="18"/>
        </w:rPr>
      </w:pPr>
      <w:r>
        <w:rPr>
          <w:sz w:val="18"/>
        </w:rPr>
        <w:t>The</w:t>
      </w:r>
      <w:r>
        <w:rPr>
          <w:spacing w:val="-3"/>
          <w:sz w:val="18"/>
        </w:rPr>
        <w:t xml:space="preserve"> </w:t>
      </w:r>
      <w:r>
        <w:rPr>
          <w:sz w:val="18"/>
        </w:rPr>
        <w:t>following</w:t>
      </w:r>
      <w:r>
        <w:rPr>
          <w:spacing w:val="-5"/>
          <w:sz w:val="18"/>
        </w:rPr>
        <w:t xml:space="preserve"> </w:t>
      </w:r>
      <w:r>
        <w:rPr>
          <w:sz w:val="18"/>
        </w:rPr>
        <w:t>behaviour</w:t>
      </w:r>
      <w:r>
        <w:rPr>
          <w:spacing w:val="-3"/>
          <w:sz w:val="18"/>
        </w:rPr>
        <w:t xml:space="preserve"> </w:t>
      </w:r>
      <w:r>
        <w:rPr>
          <w:sz w:val="18"/>
        </w:rPr>
        <w:t>may</w:t>
      </w:r>
      <w:r>
        <w:rPr>
          <w:spacing w:val="-4"/>
          <w:sz w:val="18"/>
        </w:rPr>
        <w:t xml:space="preserve"> </w:t>
      </w:r>
      <w:r>
        <w:rPr>
          <w:sz w:val="18"/>
        </w:rPr>
        <w:t>constitute</w:t>
      </w:r>
      <w:r>
        <w:rPr>
          <w:spacing w:val="-5"/>
          <w:sz w:val="18"/>
        </w:rPr>
        <w:t xml:space="preserve"> </w:t>
      </w:r>
      <w:r>
        <w:rPr>
          <w:sz w:val="18"/>
        </w:rPr>
        <w:t>family</w:t>
      </w:r>
      <w:r>
        <w:rPr>
          <w:spacing w:val="-2"/>
          <w:sz w:val="18"/>
        </w:rPr>
        <w:t xml:space="preserve"> </w:t>
      </w:r>
      <w:r>
        <w:rPr>
          <w:sz w:val="18"/>
        </w:rPr>
        <w:t>violence</w:t>
      </w:r>
      <w:r>
        <w:rPr>
          <w:spacing w:val="-3"/>
          <w:sz w:val="18"/>
        </w:rPr>
        <w:t xml:space="preserve"> </w:t>
      </w:r>
      <w:r>
        <w:rPr>
          <w:sz w:val="18"/>
        </w:rPr>
        <w:t>under</w:t>
      </w:r>
      <w:r>
        <w:rPr>
          <w:spacing w:val="-6"/>
          <w:sz w:val="18"/>
        </w:rPr>
        <w:t xml:space="preserve"> </w:t>
      </w:r>
      <w:r>
        <w:rPr>
          <w:sz w:val="18"/>
        </w:rPr>
        <w:t>paragraph</w:t>
      </w:r>
      <w:r>
        <w:rPr>
          <w:spacing w:val="-2"/>
          <w:sz w:val="18"/>
        </w:rPr>
        <w:t xml:space="preserve"> </w:t>
      </w:r>
      <w:r>
        <w:rPr>
          <w:spacing w:val="-4"/>
          <w:sz w:val="18"/>
        </w:rPr>
        <w:t>(a)—</w:t>
      </w:r>
    </w:p>
    <w:p w14:paraId="2804C2FB" w14:textId="77777777" w:rsidR="006B5232" w:rsidRDefault="006B5232" w:rsidP="00706CA6">
      <w:pPr>
        <w:pStyle w:val="ListParagraph"/>
        <w:widowControl w:val="0"/>
        <w:numPr>
          <w:ilvl w:val="1"/>
          <w:numId w:val="159"/>
        </w:numPr>
        <w:tabs>
          <w:tab w:val="left" w:pos="2370"/>
          <w:tab w:val="left" w:pos="2371"/>
        </w:tabs>
        <w:autoSpaceDE w:val="0"/>
        <w:autoSpaceDN w:val="0"/>
        <w:spacing w:before="120" w:after="0"/>
        <w:ind w:right="121"/>
        <w:rPr>
          <w:sz w:val="18"/>
        </w:rPr>
      </w:pPr>
      <w:r>
        <w:rPr>
          <w:sz w:val="18"/>
        </w:rPr>
        <w:t>using</w:t>
      </w:r>
      <w:r>
        <w:rPr>
          <w:spacing w:val="25"/>
          <w:sz w:val="18"/>
        </w:rPr>
        <w:t xml:space="preserve"> </w:t>
      </w:r>
      <w:r>
        <w:rPr>
          <w:sz w:val="18"/>
        </w:rPr>
        <w:t>coercion,</w:t>
      </w:r>
      <w:r>
        <w:rPr>
          <w:spacing w:val="25"/>
          <w:sz w:val="18"/>
        </w:rPr>
        <w:t xml:space="preserve"> </w:t>
      </w:r>
      <w:r>
        <w:rPr>
          <w:sz w:val="18"/>
        </w:rPr>
        <w:t>threats,</w:t>
      </w:r>
      <w:r>
        <w:rPr>
          <w:spacing w:val="25"/>
          <w:sz w:val="18"/>
        </w:rPr>
        <w:t xml:space="preserve"> </w:t>
      </w:r>
      <w:r>
        <w:rPr>
          <w:sz w:val="18"/>
        </w:rPr>
        <w:t>physical</w:t>
      </w:r>
      <w:r>
        <w:rPr>
          <w:spacing w:val="25"/>
          <w:sz w:val="18"/>
        </w:rPr>
        <w:t xml:space="preserve"> </w:t>
      </w:r>
      <w:r>
        <w:rPr>
          <w:sz w:val="18"/>
        </w:rPr>
        <w:t>abuse</w:t>
      </w:r>
      <w:r>
        <w:rPr>
          <w:spacing w:val="25"/>
          <w:sz w:val="18"/>
        </w:rPr>
        <w:t xml:space="preserve"> </w:t>
      </w:r>
      <w:r>
        <w:rPr>
          <w:sz w:val="18"/>
        </w:rPr>
        <w:t>or</w:t>
      </w:r>
      <w:r>
        <w:rPr>
          <w:spacing w:val="25"/>
          <w:sz w:val="18"/>
        </w:rPr>
        <w:t xml:space="preserve"> </w:t>
      </w:r>
      <w:r>
        <w:rPr>
          <w:sz w:val="18"/>
        </w:rPr>
        <w:t>emotional</w:t>
      </w:r>
      <w:r>
        <w:rPr>
          <w:spacing w:val="23"/>
          <w:sz w:val="18"/>
        </w:rPr>
        <w:t xml:space="preserve"> </w:t>
      </w:r>
      <w:r>
        <w:rPr>
          <w:sz w:val="18"/>
        </w:rPr>
        <w:t>or</w:t>
      </w:r>
      <w:r>
        <w:rPr>
          <w:spacing w:val="25"/>
          <w:sz w:val="18"/>
        </w:rPr>
        <w:t xml:space="preserve"> </w:t>
      </w:r>
      <w:r>
        <w:rPr>
          <w:sz w:val="18"/>
        </w:rPr>
        <w:t>psychological</w:t>
      </w:r>
      <w:r>
        <w:rPr>
          <w:spacing w:val="25"/>
          <w:sz w:val="18"/>
        </w:rPr>
        <w:t xml:space="preserve"> </w:t>
      </w:r>
      <w:r>
        <w:rPr>
          <w:sz w:val="18"/>
        </w:rPr>
        <w:t>abuse</w:t>
      </w:r>
      <w:r>
        <w:rPr>
          <w:spacing w:val="25"/>
          <w:sz w:val="18"/>
        </w:rPr>
        <w:t xml:space="preserve"> </w:t>
      </w:r>
      <w:r>
        <w:rPr>
          <w:sz w:val="18"/>
        </w:rPr>
        <w:t>to cause or attempt to cause a person to enter into a marriage;</w:t>
      </w:r>
    </w:p>
    <w:p w14:paraId="59B8F12C" w14:textId="77777777" w:rsidR="006B5232" w:rsidRDefault="006B5232" w:rsidP="00706CA6">
      <w:pPr>
        <w:pStyle w:val="ListParagraph"/>
        <w:widowControl w:val="0"/>
        <w:numPr>
          <w:ilvl w:val="1"/>
          <w:numId w:val="159"/>
        </w:numPr>
        <w:tabs>
          <w:tab w:val="left" w:pos="2370"/>
          <w:tab w:val="left" w:pos="2371"/>
        </w:tabs>
        <w:autoSpaceDE w:val="0"/>
        <w:autoSpaceDN w:val="0"/>
        <w:spacing w:before="119" w:after="0"/>
        <w:ind w:right="117"/>
        <w:rPr>
          <w:sz w:val="18"/>
        </w:rPr>
      </w:pPr>
      <w:r>
        <w:rPr>
          <w:sz w:val="18"/>
        </w:rPr>
        <w:t>using</w:t>
      </w:r>
      <w:r>
        <w:rPr>
          <w:spacing w:val="26"/>
          <w:sz w:val="18"/>
        </w:rPr>
        <w:t xml:space="preserve"> </w:t>
      </w:r>
      <w:r>
        <w:rPr>
          <w:sz w:val="18"/>
        </w:rPr>
        <w:t>coercion,</w:t>
      </w:r>
      <w:r>
        <w:rPr>
          <w:spacing w:val="26"/>
          <w:sz w:val="18"/>
        </w:rPr>
        <w:t xml:space="preserve"> </w:t>
      </w:r>
      <w:r>
        <w:rPr>
          <w:sz w:val="18"/>
        </w:rPr>
        <w:t>threats,</w:t>
      </w:r>
      <w:r>
        <w:rPr>
          <w:spacing w:val="26"/>
          <w:sz w:val="18"/>
        </w:rPr>
        <w:t xml:space="preserve"> </w:t>
      </w:r>
      <w:r>
        <w:rPr>
          <w:sz w:val="18"/>
        </w:rPr>
        <w:t>physical</w:t>
      </w:r>
      <w:r>
        <w:rPr>
          <w:spacing w:val="26"/>
          <w:sz w:val="18"/>
        </w:rPr>
        <w:t xml:space="preserve"> </w:t>
      </w:r>
      <w:r>
        <w:rPr>
          <w:sz w:val="18"/>
        </w:rPr>
        <w:t>abuse</w:t>
      </w:r>
      <w:r>
        <w:rPr>
          <w:spacing w:val="26"/>
          <w:sz w:val="18"/>
        </w:rPr>
        <w:t xml:space="preserve"> </w:t>
      </w:r>
      <w:r>
        <w:rPr>
          <w:sz w:val="18"/>
        </w:rPr>
        <w:t>or</w:t>
      </w:r>
      <w:r>
        <w:rPr>
          <w:spacing w:val="26"/>
          <w:sz w:val="18"/>
        </w:rPr>
        <w:t xml:space="preserve"> </w:t>
      </w:r>
      <w:r>
        <w:rPr>
          <w:sz w:val="18"/>
        </w:rPr>
        <w:t>emotional</w:t>
      </w:r>
      <w:r>
        <w:rPr>
          <w:spacing w:val="24"/>
          <w:sz w:val="18"/>
        </w:rPr>
        <w:t xml:space="preserve"> </w:t>
      </w:r>
      <w:r>
        <w:rPr>
          <w:sz w:val="18"/>
        </w:rPr>
        <w:t>or</w:t>
      </w:r>
      <w:r>
        <w:rPr>
          <w:spacing w:val="26"/>
          <w:sz w:val="18"/>
        </w:rPr>
        <w:t xml:space="preserve"> </w:t>
      </w:r>
      <w:r>
        <w:rPr>
          <w:sz w:val="18"/>
        </w:rPr>
        <w:t>psychological</w:t>
      </w:r>
      <w:r>
        <w:rPr>
          <w:spacing w:val="26"/>
          <w:sz w:val="18"/>
        </w:rPr>
        <w:t xml:space="preserve"> </w:t>
      </w:r>
      <w:r>
        <w:rPr>
          <w:sz w:val="18"/>
        </w:rPr>
        <w:t>abuse</w:t>
      </w:r>
      <w:r>
        <w:rPr>
          <w:spacing w:val="26"/>
          <w:sz w:val="18"/>
        </w:rPr>
        <w:t xml:space="preserve"> </w:t>
      </w:r>
      <w:r>
        <w:rPr>
          <w:sz w:val="18"/>
        </w:rPr>
        <w:t>to demand or receive dowry, either before or after a marriage.</w:t>
      </w:r>
    </w:p>
    <w:p w14:paraId="27090498" w14:textId="77777777" w:rsidR="006B5232" w:rsidRDefault="006B5232" w:rsidP="00706CA6">
      <w:pPr>
        <w:pStyle w:val="ListParagraph"/>
        <w:widowControl w:val="0"/>
        <w:numPr>
          <w:ilvl w:val="0"/>
          <w:numId w:val="159"/>
        </w:numPr>
        <w:tabs>
          <w:tab w:val="left" w:pos="1803"/>
          <w:tab w:val="left" w:pos="1804"/>
        </w:tabs>
        <w:autoSpaceDE w:val="0"/>
        <w:autoSpaceDN w:val="0"/>
        <w:spacing w:before="118" w:after="0"/>
        <w:ind w:right="121"/>
        <w:rPr>
          <w:sz w:val="18"/>
        </w:rPr>
      </w:pPr>
      <w:r>
        <w:rPr>
          <w:sz w:val="18"/>
        </w:rPr>
        <w:t>The</w:t>
      </w:r>
      <w:r>
        <w:rPr>
          <w:spacing w:val="23"/>
          <w:sz w:val="18"/>
        </w:rPr>
        <w:t xml:space="preserve"> </w:t>
      </w:r>
      <w:r>
        <w:rPr>
          <w:sz w:val="18"/>
        </w:rPr>
        <w:t>following</w:t>
      </w:r>
      <w:r>
        <w:rPr>
          <w:spacing w:val="23"/>
          <w:sz w:val="18"/>
        </w:rPr>
        <w:t xml:space="preserve"> </w:t>
      </w:r>
      <w:r>
        <w:rPr>
          <w:sz w:val="18"/>
        </w:rPr>
        <w:t>behaviour may constitute</w:t>
      </w:r>
      <w:r>
        <w:rPr>
          <w:spacing w:val="23"/>
          <w:sz w:val="18"/>
        </w:rPr>
        <w:t xml:space="preserve"> </w:t>
      </w:r>
      <w:r>
        <w:rPr>
          <w:sz w:val="18"/>
        </w:rPr>
        <w:t>a child hearing,</w:t>
      </w:r>
      <w:r>
        <w:rPr>
          <w:spacing w:val="23"/>
          <w:sz w:val="18"/>
        </w:rPr>
        <w:t xml:space="preserve"> </w:t>
      </w:r>
      <w:r>
        <w:rPr>
          <w:sz w:val="18"/>
        </w:rPr>
        <w:t>witnessing or otherwise</w:t>
      </w:r>
      <w:r>
        <w:rPr>
          <w:spacing w:val="23"/>
          <w:sz w:val="18"/>
        </w:rPr>
        <w:t xml:space="preserve"> </w:t>
      </w:r>
      <w:r>
        <w:rPr>
          <w:sz w:val="18"/>
        </w:rPr>
        <w:t>being exposed to the effects of behaviour referred to in paragraph (a)—</w:t>
      </w:r>
    </w:p>
    <w:p w14:paraId="20020C5E" w14:textId="77777777" w:rsidR="006B5232" w:rsidRDefault="006B5232" w:rsidP="00706CA6">
      <w:pPr>
        <w:pStyle w:val="ListParagraph"/>
        <w:widowControl w:val="0"/>
        <w:numPr>
          <w:ilvl w:val="1"/>
          <w:numId w:val="159"/>
        </w:numPr>
        <w:tabs>
          <w:tab w:val="left" w:pos="2370"/>
          <w:tab w:val="left" w:pos="2371"/>
        </w:tabs>
        <w:autoSpaceDE w:val="0"/>
        <w:autoSpaceDN w:val="0"/>
        <w:spacing w:before="121" w:after="0"/>
        <w:ind w:right="117"/>
        <w:rPr>
          <w:sz w:val="18"/>
        </w:rPr>
      </w:pPr>
      <w:r>
        <w:rPr>
          <w:sz w:val="18"/>
        </w:rPr>
        <w:t>overhearing</w:t>
      </w:r>
      <w:r>
        <w:rPr>
          <w:spacing w:val="32"/>
          <w:sz w:val="18"/>
        </w:rPr>
        <w:t xml:space="preserve"> </w:t>
      </w:r>
      <w:r>
        <w:rPr>
          <w:sz w:val="18"/>
        </w:rPr>
        <w:t>threats</w:t>
      </w:r>
      <w:r>
        <w:rPr>
          <w:spacing w:val="31"/>
          <w:sz w:val="18"/>
        </w:rPr>
        <w:t xml:space="preserve"> </w:t>
      </w:r>
      <w:r>
        <w:rPr>
          <w:sz w:val="18"/>
        </w:rPr>
        <w:t>of</w:t>
      </w:r>
      <w:r>
        <w:rPr>
          <w:spacing w:val="32"/>
          <w:sz w:val="18"/>
        </w:rPr>
        <w:t xml:space="preserve"> </w:t>
      </w:r>
      <w:r>
        <w:rPr>
          <w:sz w:val="18"/>
        </w:rPr>
        <w:t>physical</w:t>
      </w:r>
      <w:r>
        <w:rPr>
          <w:spacing w:val="32"/>
          <w:sz w:val="18"/>
        </w:rPr>
        <w:t xml:space="preserve"> </w:t>
      </w:r>
      <w:r>
        <w:rPr>
          <w:sz w:val="18"/>
        </w:rPr>
        <w:t>abuse</w:t>
      </w:r>
      <w:r>
        <w:rPr>
          <w:spacing w:val="32"/>
          <w:sz w:val="18"/>
        </w:rPr>
        <w:t xml:space="preserve"> </w:t>
      </w:r>
      <w:r>
        <w:rPr>
          <w:sz w:val="18"/>
        </w:rPr>
        <w:t>by</w:t>
      </w:r>
      <w:r>
        <w:rPr>
          <w:spacing w:val="33"/>
          <w:sz w:val="18"/>
        </w:rPr>
        <w:t xml:space="preserve"> </w:t>
      </w:r>
      <w:r>
        <w:rPr>
          <w:sz w:val="18"/>
        </w:rPr>
        <w:t>one</w:t>
      </w:r>
      <w:r>
        <w:rPr>
          <w:spacing w:val="32"/>
          <w:sz w:val="18"/>
        </w:rPr>
        <w:t xml:space="preserve"> </w:t>
      </w:r>
      <w:r>
        <w:rPr>
          <w:sz w:val="18"/>
        </w:rPr>
        <w:t>family</w:t>
      </w:r>
      <w:r>
        <w:rPr>
          <w:spacing w:val="33"/>
          <w:sz w:val="18"/>
        </w:rPr>
        <w:t xml:space="preserve"> </w:t>
      </w:r>
      <w:r>
        <w:rPr>
          <w:sz w:val="18"/>
        </w:rPr>
        <w:t>member</w:t>
      </w:r>
      <w:r>
        <w:rPr>
          <w:spacing w:val="32"/>
          <w:sz w:val="18"/>
        </w:rPr>
        <w:t xml:space="preserve"> </w:t>
      </w:r>
      <w:r>
        <w:rPr>
          <w:sz w:val="18"/>
        </w:rPr>
        <w:t>towards</w:t>
      </w:r>
      <w:r>
        <w:rPr>
          <w:spacing w:val="33"/>
          <w:sz w:val="18"/>
        </w:rPr>
        <w:t xml:space="preserve"> </w:t>
      </w:r>
      <w:r>
        <w:rPr>
          <w:sz w:val="18"/>
        </w:rPr>
        <w:t>another family member;</w:t>
      </w:r>
    </w:p>
    <w:p w14:paraId="09A14120" w14:textId="77777777" w:rsidR="006B5232" w:rsidRDefault="006B5232" w:rsidP="00706CA6">
      <w:pPr>
        <w:pStyle w:val="ListParagraph"/>
        <w:widowControl w:val="0"/>
        <w:numPr>
          <w:ilvl w:val="1"/>
          <w:numId w:val="159"/>
        </w:numPr>
        <w:tabs>
          <w:tab w:val="left" w:pos="2370"/>
          <w:tab w:val="left" w:pos="2371"/>
        </w:tabs>
        <w:autoSpaceDE w:val="0"/>
        <w:autoSpaceDN w:val="0"/>
        <w:spacing w:before="117" w:after="0"/>
        <w:ind w:hanging="568"/>
        <w:rPr>
          <w:sz w:val="18"/>
        </w:rPr>
      </w:pPr>
      <w:r>
        <w:rPr>
          <w:sz w:val="18"/>
        </w:rPr>
        <w:t>seeing</w:t>
      </w:r>
      <w:r>
        <w:rPr>
          <w:spacing w:val="-2"/>
          <w:sz w:val="18"/>
        </w:rPr>
        <w:t xml:space="preserve"> </w:t>
      </w:r>
      <w:r>
        <w:rPr>
          <w:sz w:val="18"/>
        </w:rPr>
        <w:t>or</w:t>
      </w:r>
      <w:r>
        <w:rPr>
          <w:spacing w:val="-5"/>
          <w:sz w:val="18"/>
        </w:rPr>
        <w:t xml:space="preserve"> </w:t>
      </w:r>
      <w:r>
        <w:rPr>
          <w:sz w:val="18"/>
        </w:rPr>
        <w:t>hearing</w:t>
      </w:r>
      <w:r>
        <w:rPr>
          <w:spacing w:val="-4"/>
          <w:sz w:val="18"/>
        </w:rPr>
        <w:t xml:space="preserve"> </w:t>
      </w:r>
      <w:r>
        <w:rPr>
          <w:sz w:val="18"/>
        </w:rPr>
        <w:t>an</w:t>
      </w:r>
      <w:r>
        <w:rPr>
          <w:spacing w:val="-4"/>
          <w:sz w:val="18"/>
        </w:rPr>
        <w:t xml:space="preserve"> </w:t>
      </w:r>
      <w:r>
        <w:rPr>
          <w:sz w:val="18"/>
        </w:rPr>
        <w:t>assault</w:t>
      </w:r>
      <w:r>
        <w:rPr>
          <w:spacing w:val="-2"/>
          <w:sz w:val="18"/>
        </w:rPr>
        <w:t xml:space="preserve"> </w:t>
      </w:r>
      <w:r>
        <w:rPr>
          <w:sz w:val="18"/>
        </w:rPr>
        <w:t>of</w:t>
      </w:r>
      <w:r>
        <w:rPr>
          <w:spacing w:val="-1"/>
          <w:sz w:val="18"/>
        </w:rPr>
        <w:t xml:space="preserve"> </w:t>
      </w:r>
      <w:r>
        <w:rPr>
          <w:sz w:val="18"/>
        </w:rPr>
        <w:t>a</w:t>
      </w:r>
      <w:r>
        <w:rPr>
          <w:spacing w:val="-2"/>
          <w:sz w:val="18"/>
        </w:rPr>
        <w:t xml:space="preserve"> </w:t>
      </w:r>
      <w:r>
        <w:rPr>
          <w:sz w:val="18"/>
        </w:rPr>
        <w:t>family</w:t>
      </w:r>
      <w:r>
        <w:rPr>
          <w:spacing w:val="-3"/>
          <w:sz w:val="18"/>
        </w:rPr>
        <w:t xml:space="preserve"> </w:t>
      </w:r>
      <w:r>
        <w:rPr>
          <w:sz w:val="18"/>
        </w:rPr>
        <w:t>member</w:t>
      </w:r>
      <w:r>
        <w:rPr>
          <w:spacing w:val="-2"/>
          <w:sz w:val="18"/>
        </w:rPr>
        <w:t xml:space="preserve"> </w:t>
      </w:r>
      <w:r>
        <w:rPr>
          <w:sz w:val="18"/>
        </w:rPr>
        <w:t>by</w:t>
      </w:r>
      <w:r>
        <w:rPr>
          <w:spacing w:val="-1"/>
          <w:sz w:val="18"/>
        </w:rPr>
        <w:t xml:space="preserve"> </w:t>
      </w:r>
      <w:r>
        <w:rPr>
          <w:sz w:val="18"/>
        </w:rPr>
        <w:t>another</w:t>
      </w:r>
      <w:r>
        <w:rPr>
          <w:spacing w:val="-2"/>
          <w:sz w:val="18"/>
        </w:rPr>
        <w:t xml:space="preserve"> </w:t>
      </w:r>
      <w:r>
        <w:rPr>
          <w:sz w:val="18"/>
        </w:rPr>
        <w:t>family</w:t>
      </w:r>
      <w:r>
        <w:rPr>
          <w:spacing w:val="-2"/>
          <w:sz w:val="18"/>
        </w:rPr>
        <w:t xml:space="preserve"> member;</w:t>
      </w:r>
    </w:p>
    <w:p w14:paraId="0A4C2D56" w14:textId="77777777" w:rsidR="006B5232" w:rsidRDefault="006B5232" w:rsidP="00706CA6">
      <w:pPr>
        <w:pStyle w:val="ListParagraph"/>
        <w:widowControl w:val="0"/>
        <w:numPr>
          <w:ilvl w:val="1"/>
          <w:numId w:val="159"/>
        </w:numPr>
        <w:tabs>
          <w:tab w:val="left" w:pos="2370"/>
          <w:tab w:val="left" w:pos="2371"/>
        </w:tabs>
        <w:autoSpaceDE w:val="0"/>
        <w:autoSpaceDN w:val="0"/>
        <w:spacing w:before="120" w:after="0"/>
        <w:ind w:right="120"/>
        <w:rPr>
          <w:sz w:val="18"/>
        </w:rPr>
      </w:pPr>
      <w:r>
        <w:rPr>
          <w:sz w:val="18"/>
        </w:rPr>
        <w:t>comforting or providing assistance to a family member who has been physically abused by another family member;</w:t>
      </w:r>
    </w:p>
    <w:p w14:paraId="27740560" w14:textId="77777777" w:rsidR="006B5232" w:rsidRDefault="006B5232" w:rsidP="00706CA6">
      <w:pPr>
        <w:pStyle w:val="ListParagraph"/>
        <w:widowControl w:val="0"/>
        <w:numPr>
          <w:ilvl w:val="1"/>
          <w:numId w:val="159"/>
        </w:numPr>
        <w:tabs>
          <w:tab w:val="left" w:pos="2370"/>
          <w:tab w:val="left" w:pos="2371"/>
        </w:tabs>
        <w:autoSpaceDE w:val="0"/>
        <w:autoSpaceDN w:val="0"/>
        <w:spacing w:before="118" w:after="0"/>
        <w:ind w:right="118"/>
        <w:rPr>
          <w:sz w:val="18"/>
        </w:rPr>
      </w:pPr>
      <w:r>
        <w:rPr>
          <w:sz w:val="18"/>
        </w:rPr>
        <w:t>cleaning</w:t>
      </w:r>
      <w:r>
        <w:rPr>
          <w:spacing w:val="-3"/>
          <w:sz w:val="18"/>
        </w:rPr>
        <w:t xml:space="preserve"> </w:t>
      </w:r>
      <w:r>
        <w:rPr>
          <w:sz w:val="18"/>
        </w:rPr>
        <w:t>up</w:t>
      </w:r>
      <w:r>
        <w:rPr>
          <w:spacing w:val="-3"/>
          <w:sz w:val="18"/>
        </w:rPr>
        <w:t xml:space="preserve"> </w:t>
      </w:r>
      <w:r>
        <w:rPr>
          <w:sz w:val="18"/>
        </w:rPr>
        <w:t>a</w:t>
      </w:r>
      <w:r>
        <w:rPr>
          <w:spacing w:val="-5"/>
          <w:sz w:val="18"/>
        </w:rPr>
        <w:t xml:space="preserve"> </w:t>
      </w:r>
      <w:r>
        <w:rPr>
          <w:sz w:val="18"/>
        </w:rPr>
        <w:t>site</w:t>
      </w:r>
      <w:r>
        <w:rPr>
          <w:spacing w:val="-3"/>
          <w:sz w:val="18"/>
        </w:rPr>
        <w:t xml:space="preserve"> </w:t>
      </w:r>
      <w:r>
        <w:rPr>
          <w:sz w:val="18"/>
        </w:rPr>
        <w:t>after</w:t>
      </w:r>
      <w:r>
        <w:rPr>
          <w:spacing w:val="-3"/>
          <w:sz w:val="18"/>
        </w:rPr>
        <w:t xml:space="preserve"> </w:t>
      </w:r>
      <w:r>
        <w:rPr>
          <w:sz w:val="18"/>
        </w:rPr>
        <w:t>a</w:t>
      </w:r>
      <w:r>
        <w:rPr>
          <w:spacing w:val="-3"/>
          <w:sz w:val="18"/>
        </w:rPr>
        <w:t xml:space="preserve"> </w:t>
      </w:r>
      <w:r>
        <w:rPr>
          <w:sz w:val="18"/>
        </w:rPr>
        <w:t>family</w:t>
      </w:r>
      <w:r>
        <w:rPr>
          <w:spacing w:val="-2"/>
          <w:sz w:val="18"/>
        </w:rPr>
        <w:t xml:space="preserve"> </w:t>
      </w:r>
      <w:r>
        <w:rPr>
          <w:sz w:val="18"/>
        </w:rPr>
        <w:t>member</w:t>
      </w:r>
      <w:r>
        <w:rPr>
          <w:spacing w:val="-5"/>
          <w:sz w:val="18"/>
        </w:rPr>
        <w:t xml:space="preserve"> </w:t>
      </w:r>
      <w:r>
        <w:rPr>
          <w:sz w:val="18"/>
        </w:rPr>
        <w:t>has</w:t>
      </w:r>
      <w:r>
        <w:rPr>
          <w:spacing w:val="-4"/>
          <w:sz w:val="18"/>
        </w:rPr>
        <w:t xml:space="preserve"> </w:t>
      </w:r>
      <w:r>
        <w:rPr>
          <w:sz w:val="18"/>
        </w:rPr>
        <w:t>intentionally</w:t>
      </w:r>
      <w:r>
        <w:rPr>
          <w:spacing w:val="-4"/>
          <w:sz w:val="18"/>
        </w:rPr>
        <w:t xml:space="preserve"> </w:t>
      </w:r>
      <w:r>
        <w:rPr>
          <w:sz w:val="18"/>
        </w:rPr>
        <w:t>damaged</w:t>
      </w:r>
      <w:r>
        <w:rPr>
          <w:spacing w:val="-3"/>
          <w:sz w:val="18"/>
        </w:rPr>
        <w:t xml:space="preserve"> </w:t>
      </w:r>
      <w:r>
        <w:rPr>
          <w:sz w:val="18"/>
        </w:rPr>
        <w:t>another</w:t>
      </w:r>
      <w:r>
        <w:rPr>
          <w:spacing w:val="-3"/>
          <w:sz w:val="18"/>
        </w:rPr>
        <w:t xml:space="preserve"> </w:t>
      </w:r>
      <w:r>
        <w:rPr>
          <w:sz w:val="18"/>
        </w:rPr>
        <w:t>family member's property;</w:t>
      </w:r>
    </w:p>
    <w:p w14:paraId="28FEF224" w14:textId="77777777" w:rsidR="006B5232" w:rsidRDefault="006B5232" w:rsidP="00706CA6">
      <w:pPr>
        <w:pStyle w:val="ListParagraph"/>
        <w:widowControl w:val="0"/>
        <w:numPr>
          <w:ilvl w:val="1"/>
          <w:numId w:val="159"/>
        </w:numPr>
        <w:tabs>
          <w:tab w:val="left" w:pos="2370"/>
          <w:tab w:val="left" w:pos="2371"/>
        </w:tabs>
        <w:autoSpaceDE w:val="0"/>
        <w:autoSpaceDN w:val="0"/>
        <w:spacing w:before="120" w:after="0"/>
        <w:ind w:right="121"/>
        <w:rPr>
          <w:sz w:val="18"/>
        </w:rPr>
      </w:pPr>
      <w:r>
        <w:rPr>
          <w:sz w:val="18"/>
        </w:rPr>
        <w:t>being present when police officers attend an incident involving physical abuse of</w:t>
      </w:r>
      <w:r>
        <w:rPr>
          <w:spacing w:val="40"/>
          <w:sz w:val="18"/>
        </w:rPr>
        <w:t xml:space="preserve"> </w:t>
      </w:r>
      <w:r>
        <w:rPr>
          <w:sz w:val="18"/>
        </w:rPr>
        <w:t>a family member by another family member.</w:t>
      </w:r>
    </w:p>
    <w:p w14:paraId="579C26BE" w14:textId="77777777" w:rsidR="006B5232" w:rsidRDefault="006B5232" w:rsidP="006B5232">
      <w:pPr>
        <w:rPr>
          <w:sz w:val="18"/>
        </w:rPr>
        <w:sectPr w:rsidR="006B5232" w:rsidSect="0089579B">
          <w:headerReference w:type="default" r:id="rId31"/>
          <w:pgSz w:w="11910" w:h="16840"/>
          <w:pgMar w:top="1540" w:right="1300" w:bottom="480" w:left="851" w:header="0" w:footer="282" w:gutter="0"/>
          <w:cols w:space="720"/>
          <w:docGrid w:linePitch="299"/>
        </w:sectPr>
      </w:pPr>
    </w:p>
    <w:p w14:paraId="1C8734CC" w14:textId="77777777" w:rsidR="006B5232" w:rsidRDefault="006B5232" w:rsidP="00706CA6">
      <w:pPr>
        <w:pStyle w:val="ListParagraph"/>
        <w:widowControl w:val="0"/>
        <w:numPr>
          <w:ilvl w:val="0"/>
          <w:numId w:val="160"/>
        </w:numPr>
        <w:tabs>
          <w:tab w:val="left" w:pos="566"/>
          <w:tab w:val="left" w:pos="669"/>
        </w:tabs>
        <w:autoSpaceDE w:val="0"/>
        <w:autoSpaceDN w:val="0"/>
        <w:spacing w:before="80" w:after="0"/>
        <w:ind w:right="433" w:hanging="669"/>
        <w:jc w:val="right"/>
      </w:pPr>
      <w:r>
        <w:lastRenderedPageBreak/>
        <w:t>Without</w:t>
      </w:r>
      <w:r>
        <w:rPr>
          <w:spacing w:val="-10"/>
        </w:rPr>
        <w:t xml:space="preserve"> </w:t>
      </w:r>
      <w:r>
        <w:t>limiting</w:t>
      </w:r>
      <w:r>
        <w:rPr>
          <w:spacing w:val="-6"/>
        </w:rPr>
        <w:t xml:space="preserve"> </w:t>
      </w:r>
      <w:r>
        <w:t>subsection</w:t>
      </w:r>
      <w:r>
        <w:rPr>
          <w:spacing w:val="-6"/>
        </w:rPr>
        <w:t xml:space="preserve"> </w:t>
      </w:r>
      <w:r>
        <w:t>(1),</w:t>
      </w:r>
      <w:r>
        <w:rPr>
          <w:spacing w:val="-8"/>
        </w:rPr>
        <w:t xml:space="preserve"> </w:t>
      </w:r>
      <w:r>
        <w:t>family</w:t>
      </w:r>
      <w:r>
        <w:rPr>
          <w:spacing w:val="-5"/>
        </w:rPr>
        <w:t xml:space="preserve"> </w:t>
      </w:r>
      <w:r>
        <w:t>violence</w:t>
      </w:r>
      <w:r>
        <w:rPr>
          <w:spacing w:val="-7"/>
        </w:rPr>
        <w:t xml:space="preserve"> </w:t>
      </w:r>
      <w:r>
        <w:t>includes</w:t>
      </w:r>
      <w:r>
        <w:rPr>
          <w:spacing w:val="-6"/>
        </w:rPr>
        <w:t xml:space="preserve"> </w:t>
      </w:r>
      <w:r>
        <w:t>the</w:t>
      </w:r>
      <w:r>
        <w:rPr>
          <w:spacing w:val="-8"/>
        </w:rPr>
        <w:t xml:space="preserve"> </w:t>
      </w:r>
      <w:r>
        <w:t>following</w:t>
      </w:r>
      <w:r>
        <w:rPr>
          <w:spacing w:val="-6"/>
        </w:rPr>
        <w:t xml:space="preserve"> </w:t>
      </w:r>
      <w:r>
        <w:rPr>
          <w:spacing w:val="-2"/>
        </w:rPr>
        <w:t>behaviour—</w:t>
      </w:r>
    </w:p>
    <w:p w14:paraId="6A3D8A4F" w14:textId="77777777" w:rsidR="006B5232" w:rsidRDefault="006B5232" w:rsidP="00706CA6">
      <w:pPr>
        <w:pStyle w:val="ListParagraph"/>
        <w:widowControl w:val="0"/>
        <w:numPr>
          <w:ilvl w:val="1"/>
          <w:numId w:val="160"/>
        </w:numPr>
        <w:tabs>
          <w:tab w:val="left" w:pos="1134"/>
        </w:tabs>
        <w:autoSpaceDE w:val="0"/>
        <w:autoSpaceDN w:val="0"/>
        <w:spacing w:after="0"/>
        <w:ind w:left="1134" w:right="313"/>
      </w:pPr>
      <w:r>
        <w:t>assaulting</w:t>
      </w:r>
      <w:r>
        <w:rPr>
          <w:spacing w:val="-2"/>
        </w:rPr>
        <w:t xml:space="preserve"> </w:t>
      </w:r>
      <w:r>
        <w:t>or</w:t>
      </w:r>
      <w:r>
        <w:rPr>
          <w:spacing w:val="-3"/>
        </w:rPr>
        <w:t xml:space="preserve"> </w:t>
      </w:r>
      <w:r>
        <w:t>causing</w:t>
      </w:r>
      <w:r>
        <w:rPr>
          <w:spacing w:val="-2"/>
        </w:rPr>
        <w:t xml:space="preserve"> </w:t>
      </w:r>
      <w:r>
        <w:t>personal</w:t>
      </w:r>
      <w:r>
        <w:rPr>
          <w:spacing w:val="-3"/>
        </w:rPr>
        <w:t xml:space="preserve"> </w:t>
      </w:r>
      <w:r>
        <w:t>injury</w:t>
      </w:r>
      <w:r>
        <w:rPr>
          <w:spacing w:val="-3"/>
        </w:rPr>
        <w:t xml:space="preserve"> </w:t>
      </w:r>
      <w:r>
        <w:t>to</w:t>
      </w:r>
      <w:r>
        <w:rPr>
          <w:spacing w:val="-4"/>
        </w:rPr>
        <w:t xml:space="preserve"> </w:t>
      </w:r>
      <w:r>
        <w:t>a</w:t>
      </w:r>
      <w:r>
        <w:rPr>
          <w:spacing w:val="-4"/>
        </w:rPr>
        <w:t xml:space="preserve"> </w:t>
      </w:r>
      <w:r>
        <w:t>family</w:t>
      </w:r>
      <w:r>
        <w:rPr>
          <w:spacing w:val="-1"/>
        </w:rPr>
        <w:t xml:space="preserve"> </w:t>
      </w:r>
      <w:r>
        <w:t>member</w:t>
      </w:r>
      <w:r>
        <w:rPr>
          <w:spacing w:val="-3"/>
        </w:rPr>
        <w:t xml:space="preserve"> </w:t>
      </w:r>
      <w:r>
        <w:t>or</w:t>
      </w:r>
      <w:r>
        <w:rPr>
          <w:spacing w:val="-3"/>
        </w:rPr>
        <w:t xml:space="preserve"> </w:t>
      </w:r>
      <w:r>
        <w:t>threatening</w:t>
      </w:r>
      <w:r>
        <w:rPr>
          <w:spacing w:val="-4"/>
        </w:rPr>
        <w:t xml:space="preserve"> </w:t>
      </w:r>
      <w:r>
        <w:t>to</w:t>
      </w:r>
      <w:r>
        <w:rPr>
          <w:spacing w:val="-6"/>
        </w:rPr>
        <w:t xml:space="preserve"> </w:t>
      </w:r>
      <w:r>
        <w:t xml:space="preserve">do </w:t>
      </w:r>
      <w:r>
        <w:rPr>
          <w:spacing w:val="-4"/>
        </w:rPr>
        <w:t>so;</w:t>
      </w:r>
    </w:p>
    <w:p w14:paraId="6E1ED646" w14:textId="4EACF778" w:rsidR="006B5232" w:rsidRDefault="006B5232" w:rsidP="00706CA6">
      <w:pPr>
        <w:pStyle w:val="ListParagraph"/>
        <w:widowControl w:val="0"/>
        <w:numPr>
          <w:ilvl w:val="1"/>
          <w:numId w:val="160"/>
        </w:numPr>
        <w:tabs>
          <w:tab w:val="left" w:pos="1134"/>
        </w:tabs>
        <w:autoSpaceDE w:val="0"/>
        <w:autoSpaceDN w:val="0"/>
        <w:spacing w:after="0"/>
        <w:ind w:left="1134" w:right="375"/>
      </w:pPr>
      <w:r>
        <w:t>sexually</w:t>
      </w:r>
      <w:r>
        <w:rPr>
          <w:spacing w:val="-3"/>
        </w:rPr>
        <w:t xml:space="preserve"> </w:t>
      </w:r>
      <w:r>
        <w:t>assaulting</w:t>
      </w:r>
      <w:r>
        <w:rPr>
          <w:spacing w:val="-3"/>
        </w:rPr>
        <w:t xml:space="preserve"> </w:t>
      </w:r>
      <w:r>
        <w:t>a</w:t>
      </w:r>
      <w:r>
        <w:rPr>
          <w:spacing w:val="-5"/>
        </w:rPr>
        <w:t xml:space="preserve"> </w:t>
      </w:r>
      <w:r>
        <w:t>family</w:t>
      </w:r>
      <w:r>
        <w:rPr>
          <w:spacing w:val="-3"/>
        </w:rPr>
        <w:t xml:space="preserve"> </w:t>
      </w:r>
      <w:r>
        <w:t>member</w:t>
      </w:r>
      <w:r>
        <w:rPr>
          <w:spacing w:val="-4"/>
        </w:rPr>
        <w:t xml:space="preserve"> </w:t>
      </w:r>
      <w:r>
        <w:t>or</w:t>
      </w:r>
      <w:r>
        <w:rPr>
          <w:spacing w:val="-4"/>
        </w:rPr>
        <w:t xml:space="preserve"> </w:t>
      </w:r>
      <w:r>
        <w:t>engaging</w:t>
      </w:r>
      <w:r>
        <w:rPr>
          <w:spacing w:val="-3"/>
        </w:rPr>
        <w:t xml:space="preserve"> </w:t>
      </w:r>
      <w:r>
        <w:t>in</w:t>
      </w:r>
      <w:r>
        <w:rPr>
          <w:spacing w:val="-3"/>
        </w:rPr>
        <w:t xml:space="preserve"> </w:t>
      </w:r>
      <w:r>
        <w:t>another</w:t>
      </w:r>
      <w:r>
        <w:rPr>
          <w:spacing w:val="-4"/>
        </w:rPr>
        <w:t xml:space="preserve"> </w:t>
      </w:r>
      <w:r>
        <w:t>form</w:t>
      </w:r>
      <w:r>
        <w:rPr>
          <w:spacing w:val="-4"/>
        </w:rPr>
        <w:t xml:space="preserve"> </w:t>
      </w:r>
      <w:r>
        <w:t>of</w:t>
      </w:r>
      <w:r>
        <w:rPr>
          <w:spacing w:val="-4"/>
        </w:rPr>
        <w:t xml:space="preserve"> </w:t>
      </w:r>
      <w:r>
        <w:t>sexually coercive behaviour or threatening to engage in such behaviour;</w:t>
      </w:r>
    </w:p>
    <w:p w14:paraId="5C9E839E" w14:textId="040F6153" w:rsidR="00A60F47" w:rsidRDefault="00A60F47" w:rsidP="00706CA6">
      <w:pPr>
        <w:pStyle w:val="ListParagraph"/>
        <w:widowControl w:val="0"/>
        <w:numPr>
          <w:ilvl w:val="1"/>
          <w:numId w:val="160"/>
        </w:numPr>
        <w:tabs>
          <w:tab w:val="left" w:pos="1134"/>
        </w:tabs>
        <w:autoSpaceDE w:val="0"/>
        <w:autoSpaceDN w:val="0"/>
        <w:spacing w:after="0"/>
        <w:ind w:left="1134" w:right="375"/>
      </w:pPr>
      <w:r>
        <w:t>intentionally</w:t>
      </w:r>
      <w:r>
        <w:rPr>
          <w:spacing w:val="-6"/>
        </w:rPr>
        <w:t xml:space="preserve"> </w:t>
      </w:r>
      <w:r>
        <w:t>damaging</w:t>
      </w:r>
      <w:r>
        <w:rPr>
          <w:spacing w:val="-6"/>
        </w:rPr>
        <w:t xml:space="preserve"> </w:t>
      </w:r>
      <w:r>
        <w:t>a</w:t>
      </w:r>
      <w:r>
        <w:rPr>
          <w:spacing w:val="-10"/>
        </w:rPr>
        <w:t xml:space="preserve"> </w:t>
      </w:r>
      <w:r>
        <w:t>family</w:t>
      </w:r>
      <w:r>
        <w:rPr>
          <w:spacing w:val="-8"/>
        </w:rPr>
        <w:t xml:space="preserve"> </w:t>
      </w:r>
      <w:r>
        <w:t>member's</w:t>
      </w:r>
      <w:r>
        <w:rPr>
          <w:spacing w:val="-5"/>
        </w:rPr>
        <w:t xml:space="preserve"> </w:t>
      </w:r>
      <w:r>
        <w:t>property,</w:t>
      </w:r>
      <w:r>
        <w:rPr>
          <w:spacing w:val="-4"/>
        </w:rPr>
        <w:t xml:space="preserve"> </w:t>
      </w:r>
      <w:r>
        <w:t>or</w:t>
      </w:r>
      <w:r>
        <w:rPr>
          <w:spacing w:val="-7"/>
        </w:rPr>
        <w:t xml:space="preserve"> </w:t>
      </w:r>
      <w:r>
        <w:t>threatening</w:t>
      </w:r>
      <w:r>
        <w:rPr>
          <w:spacing w:val="-8"/>
        </w:rPr>
        <w:t xml:space="preserve"> </w:t>
      </w:r>
      <w:r>
        <w:t>to</w:t>
      </w:r>
      <w:r>
        <w:rPr>
          <w:spacing w:val="-7"/>
        </w:rPr>
        <w:t xml:space="preserve"> </w:t>
      </w:r>
      <w:r>
        <w:t>do</w:t>
      </w:r>
      <w:r>
        <w:rPr>
          <w:spacing w:val="-7"/>
        </w:rPr>
        <w:t xml:space="preserve"> </w:t>
      </w:r>
      <w:r>
        <w:rPr>
          <w:spacing w:val="-5"/>
        </w:rPr>
        <w:t>so;</w:t>
      </w:r>
    </w:p>
    <w:p w14:paraId="521976EA" w14:textId="7ACCD956" w:rsidR="006B5232" w:rsidRDefault="006B5232" w:rsidP="00706CA6">
      <w:pPr>
        <w:pStyle w:val="ListParagraph"/>
        <w:widowControl w:val="0"/>
        <w:numPr>
          <w:ilvl w:val="1"/>
          <w:numId w:val="160"/>
        </w:numPr>
        <w:autoSpaceDE w:val="0"/>
        <w:autoSpaceDN w:val="0"/>
        <w:spacing w:before="1" w:after="0"/>
        <w:ind w:left="1134" w:right="492"/>
        <w:jc w:val="right"/>
      </w:pPr>
      <w:r>
        <w:t>i</w:t>
      </w:r>
      <w:r>
        <w:rPr>
          <w:spacing w:val="-5"/>
        </w:rPr>
        <w:t>;</w:t>
      </w:r>
    </w:p>
    <w:p w14:paraId="631CADA2" w14:textId="77777777" w:rsidR="006B5232" w:rsidRDefault="006B5232" w:rsidP="00706CA6">
      <w:pPr>
        <w:pStyle w:val="ListParagraph"/>
        <w:widowControl w:val="0"/>
        <w:numPr>
          <w:ilvl w:val="1"/>
          <w:numId w:val="160"/>
        </w:numPr>
        <w:tabs>
          <w:tab w:val="left" w:pos="1134"/>
        </w:tabs>
        <w:autoSpaceDE w:val="0"/>
        <w:autoSpaceDN w:val="0"/>
        <w:spacing w:after="0"/>
        <w:ind w:left="1134" w:right="934"/>
      </w:pPr>
      <w:r>
        <w:t>unlawfully</w:t>
      </w:r>
      <w:r>
        <w:rPr>
          <w:spacing w:val="-3"/>
        </w:rPr>
        <w:t xml:space="preserve"> </w:t>
      </w:r>
      <w:r>
        <w:t>depriving</w:t>
      </w:r>
      <w:r>
        <w:rPr>
          <w:spacing w:val="-4"/>
        </w:rPr>
        <w:t xml:space="preserve"> </w:t>
      </w:r>
      <w:r>
        <w:t>a</w:t>
      </w:r>
      <w:r>
        <w:rPr>
          <w:spacing w:val="-6"/>
        </w:rPr>
        <w:t xml:space="preserve"> </w:t>
      </w:r>
      <w:r>
        <w:t>family</w:t>
      </w:r>
      <w:r>
        <w:rPr>
          <w:spacing w:val="-3"/>
        </w:rPr>
        <w:t xml:space="preserve"> </w:t>
      </w:r>
      <w:r>
        <w:t>member</w:t>
      </w:r>
      <w:r>
        <w:rPr>
          <w:spacing w:val="-5"/>
        </w:rPr>
        <w:t xml:space="preserve"> </w:t>
      </w:r>
      <w:r>
        <w:t>of</w:t>
      </w:r>
      <w:r>
        <w:rPr>
          <w:spacing w:val="-7"/>
        </w:rPr>
        <w:t xml:space="preserve"> </w:t>
      </w:r>
      <w:r>
        <w:t>the</w:t>
      </w:r>
      <w:r>
        <w:rPr>
          <w:spacing w:val="-6"/>
        </w:rPr>
        <w:t xml:space="preserve"> </w:t>
      </w:r>
      <w:r>
        <w:t>family</w:t>
      </w:r>
      <w:r>
        <w:rPr>
          <w:spacing w:val="-3"/>
        </w:rPr>
        <w:t xml:space="preserve"> </w:t>
      </w:r>
      <w:r>
        <w:t>member's</w:t>
      </w:r>
      <w:r>
        <w:rPr>
          <w:spacing w:val="-6"/>
        </w:rPr>
        <w:t xml:space="preserve"> </w:t>
      </w:r>
      <w:r>
        <w:t>liberty,</w:t>
      </w:r>
      <w:r>
        <w:rPr>
          <w:spacing w:val="-2"/>
        </w:rPr>
        <w:t xml:space="preserve"> </w:t>
      </w:r>
      <w:r>
        <w:t>or threatening to do so;</w:t>
      </w:r>
    </w:p>
    <w:p w14:paraId="0DD4081E" w14:textId="77777777" w:rsidR="006B5232" w:rsidRDefault="006B5232" w:rsidP="00706CA6">
      <w:pPr>
        <w:pStyle w:val="ListParagraph"/>
        <w:widowControl w:val="0"/>
        <w:numPr>
          <w:ilvl w:val="1"/>
          <w:numId w:val="160"/>
        </w:numPr>
        <w:tabs>
          <w:tab w:val="left" w:pos="1134"/>
        </w:tabs>
        <w:autoSpaceDE w:val="0"/>
        <w:autoSpaceDN w:val="0"/>
        <w:spacing w:after="0"/>
        <w:ind w:left="1134" w:right="345"/>
      </w:pPr>
      <w:r>
        <w:t>causing</w:t>
      </w:r>
      <w:r>
        <w:rPr>
          <w:spacing w:val="-2"/>
        </w:rPr>
        <w:t xml:space="preserve"> </w:t>
      </w:r>
      <w:r>
        <w:t>or</w:t>
      </w:r>
      <w:r>
        <w:rPr>
          <w:spacing w:val="-3"/>
        </w:rPr>
        <w:t xml:space="preserve"> </w:t>
      </w:r>
      <w:r>
        <w:t>threatening</w:t>
      </w:r>
      <w:r>
        <w:rPr>
          <w:spacing w:val="-4"/>
        </w:rPr>
        <w:t xml:space="preserve"> </w:t>
      </w:r>
      <w:r>
        <w:t>to</w:t>
      </w:r>
      <w:r>
        <w:rPr>
          <w:spacing w:val="-4"/>
        </w:rPr>
        <w:t xml:space="preserve"> </w:t>
      </w:r>
      <w:r>
        <w:t>cause</w:t>
      </w:r>
      <w:r>
        <w:rPr>
          <w:spacing w:val="-4"/>
        </w:rPr>
        <w:t xml:space="preserve"> </w:t>
      </w:r>
      <w:r>
        <w:t>the</w:t>
      </w:r>
      <w:r>
        <w:rPr>
          <w:spacing w:val="-4"/>
        </w:rPr>
        <w:t xml:space="preserve"> </w:t>
      </w:r>
      <w:r>
        <w:t>death</w:t>
      </w:r>
      <w:r>
        <w:rPr>
          <w:spacing w:val="-4"/>
        </w:rPr>
        <w:t xml:space="preserve"> </w:t>
      </w:r>
      <w:r>
        <w:t>of,</w:t>
      </w:r>
      <w:r>
        <w:rPr>
          <w:spacing w:val="-1"/>
        </w:rPr>
        <w:t xml:space="preserve"> </w:t>
      </w:r>
      <w:r>
        <w:t>or injury</w:t>
      </w:r>
      <w:r>
        <w:rPr>
          <w:spacing w:val="-3"/>
        </w:rPr>
        <w:t xml:space="preserve"> </w:t>
      </w:r>
      <w:r>
        <w:t>to,</w:t>
      </w:r>
      <w:r>
        <w:rPr>
          <w:spacing w:val="-1"/>
        </w:rPr>
        <w:t xml:space="preserve"> </w:t>
      </w:r>
      <w:r>
        <w:t>an</w:t>
      </w:r>
      <w:r>
        <w:rPr>
          <w:spacing w:val="-4"/>
        </w:rPr>
        <w:t xml:space="preserve"> </w:t>
      </w:r>
      <w:r>
        <w:t>animal,</w:t>
      </w:r>
      <w:r>
        <w:rPr>
          <w:spacing w:val="-3"/>
        </w:rPr>
        <w:t xml:space="preserve"> </w:t>
      </w:r>
      <w:r>
        <w:t>whether or not the animal belongs to the family member to whom the behaviour is directed so as to control, dominate or coerce the family member;</w:t>
      </w:r>
    </w:p>
    <w:p w14:paraId="5D4DADD8" w14:textId="77777777" w:rsidR="006B5232" w:rsidRDefault="006B5232" w:rsidP="00706CA6">
      <w:pPr>
        <w:pStyle w:val="ListParagraph"/>
        <w:widowControl w:val="0"/>
        <w:numPr>
          <w:ilvl w:val="1"/>
          <w:numId w:val="160"/>
        </w:numPr>
        <w:tabs>
          <w:tab w:val="left" w:pos="1134"/>
        </w:tabs>
        <w:autoSpaceDE w:val="0"/>
        <w:autoSpaceDN w:val="0"/>
        <w:spacing w:after="0"/>
        <w:ind w:left="1134" w:right="762"/>
      </w:pPr>
      <w:r>
        <w:t>threatening</w:t>
      </w:r>
      <w:r>
        <w:rPr>
          <w:spacing w:val="-2"/>
        </w:rPr>
        <w:t xml:space="preserve"> </w:t>
      </w:r>
      <w:r>
        <w:t>a</w:t>
      </w:r>
      <w:r>
        <w:rPr>
          <w:spacing w:val="-2"/>
        </w:rPr>
        <w:t xml:space="preserve"> </w:t>
      </w:r>
      <w:r>
        <w:t>person</w:t>
      </w:r>
      <w:r>
        <w:rPr>
          <w:spacing w:val="-4"/>
        </w:rPr>
        <w:t xml:space="preserve"> </w:t>
      </w:r>
      <w:r>
        <w:t>with</w:t>
      </w:r>
      <w:r>
        <w:rPr>
          <w:spacing w:val="-2"/>
        </w:rPr>
        <w:t xml:space="preserve"> </w:t>
      </w:r>
      <w:r>
        <w:t>the</w:t>
      </w:r>
      <w:r>
        <w:rPr>
          <w:spacing w:val="-4"/>
        </w:rPr>
        <w:t xml:space="preserve"> </w:t>
      </w:r>
      <w:r>
        <w:t>death</w:t>
      </w:r>
      <w:r>
        <w:rPr>
          <w:spacing w:val="-4"/>
        </w:rPr>
        <w:t xml:space="preserve"> </w:t>
      </w:r>
      <w:r>
        <w:t>or</w:t>
      </w:r>
      <w:r>
        <w:rPr>
          <w:spacing w:val="-3"/>
        </w:rPr>
        <w:t xml:space="preserve"> </w:t>
      </w:r>
      <w:r>
        <w:t>injury</w:t>
      </w:r>
      <w:r>
        <w:rPr>
          <w:spacing w:val="-1"/>
        </w:rPr>
        <w:t xml:space="preserve"> </w:t>
      </w:r>
      <w:r>
        <w:t>of</w:t>
      </w:r>
      <w:r>
        <w:rPr>
          <w:spacing w:val="-3"/>
        </w:rPr>
        <w:t xml:space="preserve"> </w:t>
      </w:r>
      <w:r>
        <w:t>the</w:t>
      </w:r>
      <w:r>
        <w:rPr>
          <w:spacing w:val="-2"/>
        </w:rPr>
        <w:t xml:space="preserve"> </w:t>
      </w:r>
      <w:r>
        <w:t>person, a</w:t>
      </w:r>
      <w:r>
        <w:rPr>
          <w:spacing w:val="-4"/>
        </w:rPr>
        <w:t xml:space="preserve"> </w:t>
      </w:r>
      <w:r>
        <w:t>child</w:t>
      </w:r>
      <w:r>
        <w:rPr>
          <w:spacing w:val="-2"/>
        </w:rPr>
        <w:t xml:space="preserve"> </w:t>
      </w:r>
      <w:r>
        <w:t>of</w:t>
      </w:r>
      <w:r>
        <w:rPr>
          <w:spacing w:val="-2"/>
        </w:rPr>
        <w:t xml:space="preserve"> </w:t>
      </w:r>
      <w:r>
        <w:t>the person, or someone else;</w:t>
      </w:r>
    </w:p>
    <w:p w14:paraId="61409634" w14:textId="77777777" w:rsidR="006B5232" w:rsidRDefault="006B5232" w:rsidP="00706CA6">
      <w:pPr>
        <w:pStyle w:val="ListParagraph"/>
        <w:widowControl w:val="0"/>
        <w:numPr>
          <w:ilvl w:val="1"/>
          <w:numId w:val="160"/>
        </w:numPr>
        <w:tabs>
          <w:tab w:val="left" w:pos="1134"/>
        </w:tabs>
        <w:autoSpaceDE w:val="0"/>
        <w:autoSpaceDN w:val="0"/>
        <w:spacing w:after="0"/>
        <w:ind w:left="1134"/>
      </w:pPr>
      <w:r>
        <w:t>unauthorised</w:t>
      </w:r>
      <w:r>
        <w:rPr>
          <w:spacing w:val="-6"/>
        </w:rPr>
        <w:t xml:space="preserve"> </w:t>
      </w:r>
      <w:r>
        <w:t>surveillance</w:t>
      </w:r>
      <w:r>
        <w:rPr>
          <w:spacing w:val="-4"/>
        </w:rPr>
        <w:t xml:space="preserve"> </w:t>
      </w:r>
      <w:r>
        <w:t>of</w:t>
      </w:r>
      <w:r>
        <w:rPr>
          <w:spacing w:val="-4"/>
        </w:rPr>
        <w:t xml:space="preserve"> </w:t>
      </w:r>
      <w:r>
        <w:t>a</w:t>
      </w:r>
      <w:r>
        <w:rPr>
          <w:spacing w:val="-4"/>
        </w:rPr>
        <w:t xml:space="preserve"> </w:t>
      </w:r>
      <w:r>
        <w:rPr>
          <w:spacing w:val="-2"/>
        </w:rPr>
        <w:t>person;</w:t>
      </w:r>
    </w:p>
    <w:p w14:paraId="7706CB02" w14:textId="77777777" w:rsidR="006B5232" w:rsidRDefault="006B5232" w:rsidP="00706CA6">
      <w:pPr>
        <w:pStyle w:val="ListParagraph"/>
        <w:widowControl w:val="0"/>
        <w:numPr>
          <w:ilvl w:val="1"/>
          <w:numId w:val="160"/>
        </w:numPr>
        <w:tabs>
          <w:tab w:val="left" w:pos="1134"/>
        </w:tabs>
        <w:autoSpaceDE w:val="0"/>
        <w:autoSpaceDN w:val="0"/>
        <w:spacing w:after="0"/>
        <w:ind w:left="1134"/>
      </w:pPr>
      <w:r>
        <w:t>unlawfully</w:t>
      </w:r>
      <w:r>
        <w:rPr>
          <w:spacing w:val="-5"/>
        </w:rPr>
        <w:t xml:space="preserve"> </w:t>
      </w:r>
      <w:r>
        <w:t>stalking</w:t>
      </w:r>
      <w:r>
        <w:rPr>
          <w:spacing w:val="-5"/>
        </w:rPr>
        <w:t xml:space="preserve"> </w:t>
      </w:r>
      <w:r>
        <w:t>or</w:t>
      </w:r>
      <w:r>
        <w:rPr>
          <w:spacing w:val="-6"/>
        </w:rPr>
        <w:t xml:space="preserve"> </w:t>
      </w:r>
      <w:r>
        <w:t>cyber</w:t>
      </w:r>
      <w:r>
        <w:rPr>
          <w:spacing w:val="-5"/>
        </w:rPr>
        <w:t xml:space="preserve"> </w:t>
      </w:r>
      <w:r>
        <w:t>stalking</w:t>
      </w:r>
      <w:r>
        <w:rPr>
          <w:spacing w:val="-5"/>
        </w:rPr>
        <w:t xml:space="preserve"> </w:t>
      </w:r>
      <w:r>
        <w:t>a</w:t>
      </w:r>
      <w:r>
        <w:rPr>
          <w:spacing w:val="-5"/>
        </w:rPr>
        <w:t xml:space="preserve"> </w:t>
      </w:r>
      <w:r>
        <w:rPr>
          <w:spacing w:val="-2"/>
        </w:rPr>
        <w:t>person;</w:t>
      </w:r>
    </w:p>
    <w:p w14:paraId="52AFFB98" w14:textId="77777777" w:rsidR="006B5232" w:rsidRDefault="006B5232" w:rsidP="00706CA6">
      <w:pPr>
        <w:pStyle w:val="ListParagraph"/>
        <w:widowControl w:val="0"/>
        <w:numPr>
          <w:ilvl w:val="1"/>
          <w:numId w:val="160"/>
        </w:numPr>
        <w:tabs>
          <w:tab w:val="left" w:pos="1134"/>
        </w:tabs>
        <w:autoSpaceDE w:val="0"/>
        <w:autoSpaceDN w:val="0"/>
        <w:spacing w:after="0"/>
        <w:ind w:left="1134"/>
      </w:pPr>
      <w:r>
        <w:t>attaching</w:t>
      </w:r>
      <w:r>
        <w:rPr>
          <w:spacing w:val="-3"/>
        </w:rPr>
        <w:t xml:space="preserve"> </w:t>
      </w:r>
      <w:r>
        <w:t>a</w:t>
      </w:r>
      <w:r>
        <w:rPr>
          <w:spacing w:val="-7"/>
        </w:rPr>
        <w:t xml:space="preserve"> </w:t>
      </w:r>
      <w:r>
        <w:t>tracking</w:t>
      </w:r>
      <w:r>
        <w:rPr>
          <w:spacing w:val="-5"/>
        </w:rPr>
        <w:t xml:space="preserve"> </w:t>
      </w:r>
      <w:r>
        <w:t>device</w:t>
      </w:r>
      <w:r>
        <w:rPr>
          <w:spacing w:val="-3"/>
        </w:rPr>
        <w:t xml:space="preserve"> </w:t>
      </w:r>
      <w:r>
        <w:t>to</w:t>
      </w:r>
      <w:r>
        <w:rPr>
          <w:spacing w:val="-5"/>
        </w:rPr>
        <w:t xml:space="preserve"> </w:t>
      </w:r>
      <w:r>
        <w:t>a</w:t>
      </w:r>
      <w:r>
        <w:rPr>
          <w:spacing w:val="-5"/>
        </w:rPr>
        <w:t xml:space="preserve"> </w:t>
      </w:r>
      <w:r>
        <w:t>motor</w:t>
      </w:r>
      <w:r>
        <w:rPr>
          <w:spacing w:val="-3"/>
        </w:rPr>
        <w:t xml:space="preserve"> </w:t>
      </w:r>
      <w:r>
        <w:rPr>
          <w:spacing w:val="-2"/>
        </w:rPr>
        <w:t>vehicle;</w:t>
      </w:r>
    </w:p>
    <w:p w14:paraId="5E19C45A" w14:textId="77777777" w:rsidR="006B5232" w:rsidRDefault="006B5232" w:rsidP="00706CA6">
      <w:pPr>
        <w:pStyle w:val="ListParagraph"/>
        <w:widowControl w:val="0"/>
        <w:numPr>
          <w:ilvl w:val="1"/>
          <w:numId w:val="160"/>
        </w:numPr>
        <w:tabs>
          <w:tab w:val="left" w:pos="1134"/>
        </w:tabs>
        <w:autoSpaceDE w:val="0"/>
        <w:autoSpaceDN w:val="0"/>
        <w:spacing w:after="0"/>
        <w:ind w:left="1134" w:right="709"/>
      </w:pPr>
      <w:r>
        <w:t>using without consent an</w:t>
      </w:r>
      <w:r>
        <w:rPr>
          <w:spacing w:val="-1"/>
        </w:rPr>
        <w:t xml:space="preserve"> </w:t>
      </w:r>
      <w:r>
        <w:t>application or device</w:t>
      </w:r>
      <w:r>
        <w:rPr>
          <w:spacing w:val="-1"/>
        </w:rPr>
        <w:t xml:space="preserve"> </w:t>
      </w:r>
      <w:r>
        <w:t>to</w:t>
      </w:r>
      <w:r>
        <w:rPr>
          <w:spacing w:val="-1"/>
        </w:rPr>
        <w:t xml:space="preserve"> </w:t>
      </w:r>
      <w:r>
        <w:t>track a</w:t>
      </w:r>
      <w:r>
        <w:rPr>
          <w:spacing w:val="-1"/>
        </w:rPr>
        <w:t xml:space="preserve"> </w:t>
      </w:r>
      <w:r>
        <w:t>person’s phone usage</w:t>
      </w:r>
      <w:r>
        <w:rPr>
          <w:spacing w:val="-3"/>
        </w:rPr>
        <w:t xml:space="preserve"> </w:t>
      </w:r>
      <w:r>
        <w:t>(calls</w:t>
      </w:r>
      <w:r>
        <w:rPr>
          <w:spacing w:val="-2"/>
        </w:rPr>
        <w:t xml:space="preserve"> </w:t>
      </w:r>
      <w:r>
        <w:t>and</w:t>
      </w:r>
      <w:r>
        <w:rPr>
          <w:spacing w:val="-5"/>
        </w:rPr>
        <w:t xml:space="preserve"> </w:t>
      </w:r>
      <w:r>
        <w:t>text</w:t>
      </w:r>
      <w:r>
        <w:rPr>
          <w:spacing w:val="-2"/>
        </w:rPr>
        <w:t xml:space="preserve"> </w:t>
      </w:r>
      <w:r>
        <w:t>messages,</w:t>
      </w:r>
      <w:r>
        <w:rPr>
          <w:spacing w:val="-4"/>
        </w:rPr>
        <w:t xml:space="preserve"> </w:t>
      </w:r>
      <w:r>
        <w:t>location</w:t>
      </w:r>
      <w:r>
        <w:rPr>
          <w:spacing w:val="-3"/>
        </w:rPr>
        <w:t xml:space="preserve"> </w:t>
      </w:r>
      <w:r>
        <w:t>data,</w:t>
      </w:r>
      <w:r>
        <w:rPr>
          <w:spacing w:val="-4"/>
        </w:rPr>
        <w:t xml:space="preserve"> </w:t>
      </w:r>
      <w:r>
        <w:t>internet</w:t>
      </w:r>
      <w:r>
        <w:rPr>
          <w:spacing w:val="-4"/>
        </w:rPr>
        <w:t xml:space="preserve"> </w:t>
      </w:r>
      <w:r>
        <w:t>history,</w:t>
      </w:r>
      <w:r>
        <w:rPr>
          <w:spacing w:val="-4"/>
        </w:rPr>
        <w:t xml:space="preserve"> </w:t>
      </w:r>
      <w:r>
        <w:t>etc.);</w:t>
      </w:r>
      <w:r>
        <w:rPr>
          <w:spacing w:val="-1"/>
        </w:rPr>
        <w:t xml:space="preserve"> </w:t>
      </w:r>
      <w:r>
        <w:t>and</w:t>
      </w:r>
    </w:p>
    <w:p w14:paraId="04452ED4" w14:textId="77777777" w:rsidR="006B5232" w:rsidRDefault="006B5232" w:rsidP="00706CA6">
      <w:pPr>
        <w:pStyle w:val="ListParagraph"/>
        <w:widowControl w:val="0"/>
        <w:numPr>
          <w:ilvl w:val="1"/>
          <w:numId w:val="160"/>
        </w:numPr>
        <w:tabs>
          <w:tab w:val="left" w:pos="1134"/>
        </w:tabs>
        <w:autoSpaceDE w:val="0"/>
        <w:autoSpaceDN w:val="0"/>
        <w:spacing w:before="1" w:after="0"/>
        <w:ind w:left="1134" w:right="211"/>
      </w:pPr>
      <w:r>
        <w:t>taking</w:t>
      </w:r>
      <w:r>
        <w:rPr>
          <w:spacing w:val="-3"/>
        </w:rPr>
        <w:t xml:space="preserve"> </w:t>
      </w:r>
      <w:r>
        <w:t>without</w:t>
      </w:r>
      <w:r>
        <w:rPr>
          <w:spacing w:val="-4"/>
        </w:rPr>
        <w:t xml:space="preserve"> </w:t>
      </w:r>
      <w:r>
        <w:t>consent</w:t>
      </w:r>
      <w:r>
        <w:rPr>
          <w:spacing w:val="-1"/>
        </w:rPr>
        <w:t xml:space="preserve"> </w:t>
      </w:r>
      <w:r>
        <w:t>or</w:t>
      </w:r>
      <w:r>
        <w:rPr>
          <w:spacing w:val="-4"/>
        </w:rPr>
        <w:t xml:space="preserve"> </w:t>
      </w:r>
      <w:r>
        <w:t>distributing</w:t>
      </w:r>
      <w:r>
        <w:rPr>
          <w:spacing w:val="-3"/>
        </w:rPr>
        <w:t xml:space="preserve"> </w:t>
      </w:r>
      <w:r>
        <w:t>without</w:t>
      </w:r>
      <w:r>
        <w:rPr>
          <w:spacing w:val="-4"/>
        </w:rPr>
        <w:t xml:space="preserve"> </w:t>
      </w:r>
      <w:r>
        <w:t>consent</w:t>
      </w:r>
      <w:r>
        <w:rPr>
          <w:spacing w:val="-1"/>
        </w:rPr>
        <w:t xml:space="preserve"> </w:t>
      </w:r>
      <w:r>
        <w:t>an</w:t>
      </w:r>
      <w:r>
        <w:rPr>
          <w:spacing w:val="-5"/>
        </w:rPr>
        <w:t xml:space="preserve"> </w:t>
      </w:r>
      <w:r>
        <w:t>intimate</w:t>
      </w:r>
      <w:r>
        <w:rPr>
          <w:spacing w:val="-3"/>
        </w:rPr>
        <w:t xml:space="preserve"> </w:t>
      </w:r>
      <w:r>
        <w:t>image</w:t>
      </w:r>
      <w:r>
        <w:rPr>
          <w:spacing w:val="-3"/>
        </w:rPr>
        <w:t xml:space="preserve"> </w:t>
      </w:r>
      <w:r>
        <w:t>of</w:t>
      </w:r>
      <w:r>
        <w:rPr>
          <w:spacing w:val="-4"/>
        </w:rPr>
        <w:t xml:space="preserve"> </w:t>
      </w:r>
      <w:r>
        <w:t>the family member, or threatening to distribute the image.</w:t>
      </w:r>
    </w:p>
    <w:p w14:paraId="52F40E3B" w14:textId="77777777" w:rsidR="006B5232" w:rsidRDefault="006B5232" w:rsidP="00706CA6">
      <w:pPr>
        <w:pStyle w:val="ListParagraph"/>
        <w:widowControl w:val="0"/>
        <w:numPr>
          <w:ilvl w:val="0"/>
          <w:numId w:val="160"/>
        </w:numPr>
        <w:tabs>
          <w:tab w:val="left" w:pos="668"/>
          <w:tab w:val="left" w:pos="669"/>
        </w:tabs>
        <w:autoSpaceDE w:val="0"/>
        <w:autoSpaceDN w:val="0"/>
        <w:spacing w:after="0"/>
        <w:ind w:right="164"/>
      </w:pPr>
      <w:r>
        <w:t>To</w:t>
      </w:r>
      <w:r>
        <w:rPr>
          <w:spacing w:val="-3"/>
        </w:rPr>
        <w:t xml:space="preserve"> </w:t>
      </w:r>
      <w:r>
        <w:t>remove</w:t>
      </w:r>
      <w:r>
        <w:rPr>
          <w:spacing w:val="-3"/>
        </w:rPr>
        <w:t xml:space="preserve"> </w:t>
      </w:r>
      <w:r>
        <w:t>doubt,</w:t>
      </w:r>
      <w:r>
        <w:rPr>
          <w:spacing w:val="-1"/>
        </w:rPr>
        <w:t xml:space="preserve"> </w:t>
      </w:r>
      <w:r>
        <w:t>it</w:t>
      </w:r>
      <w:r>
        <w:rPr>
          <w:spacing w:val="-4"/>
        </w:rPr>
        <w:t xml:space="preserve"> </w:t>
      </w:r>
      <w:r>
        <w:t>is</w:t>
      </w:r>
      <w:r>
        <w:rPr>
          <w:spacing w:val="-2"/>
        </w:rPr>
        <w:t xml:space="preserve"> </w:t>
      </w:r>
      <w:r>
        <w:t>declared</w:t>
      </w:r>
      <w:r>
        <w:rPr>
          <w:spacing w:val="-3"/>
        </w:rPr>
        <w:t xml:space="preserve"> </w:t>
      </w:r>
      <w:r>
        <w:t>that</w:t>
      </w:r>
      <w:r>
        <w:rPr>
          <w:spacing w:val="-1"/>
        </w:rPr>
        <w:t xml:space="preserve"> </w:t>
      </w:r>
      <w:r>
        <w:t>behaviour</w:t>
      </w:r>
      <w:r>
        <w:rPr>
          <w:spacing w:val="-4"/>
        </w:rPr>
        <w:t xml:space="preserve"> </w:t>
      </w:r>
      <w:r>
        <w:t>may</w:t>
      </w:r>
      <w:r>
        <w:rPr>
          <w:spacing w:val="-2"/>
        </w:rPr>
        <w:t xml:space="preserve"> </w:t>
      </w:r>
      <w:r>
        <w:t>constitute</w:t>
      </w:r>
      <w:r>
        <w:rPr>
          <w:spacing w:val="-5"/>
        </w:rPr>
        <w:t xml:space="preserve"> </w:t>
      </w:r>
      <w:r>
        <w:t>family</w:t>
      </w:r>
      <w:r>
        <w:rPr>
          <w:spacing w:val="-2"/>
        </w:rPr>
        <w:t xml:space="preserve"> </w:t>
      </w:r>
      <w:r>
        <w:t>violence</w:t>
      </w:r>
      <w:r>
        <w:rPr>
          <w:spacing w:val="-3"/>
        </w:rPr>
        <w:t xml:space="preserve"> </w:t>
      </w:r>
      <w:r>
        <w:t>even</w:t>
      </w:r>
      <w:r>
        <w:rPr>
          <w:spacing w:val="-3"/>
        </w:rPr>
        <w:t xml:space="preserve"> </w:t>
      </w:r>
      <w:r>
        <w:t>if the behaviour would not constitute a criminal offence.</w:t>
      </w:r>
    </w:p>
    <w:p w14:paraId="77D2C5EC" w14:textId="77777777" w:rsidR="006B5232" w:rsidRDefault="006B5232" w:rsidP="006B5232">
      <w:pPr>
        <w:sectPr w:rsidR="006B5232">
          <w:pgSz w:w="11910" w:h="16840"/>
          <w:pgMar w:top="1320" w:right="1300" w:bottom="480" w:left="1600" w:header="0" w:footer="282" w:gutter="0"/>
          <w:cols w:space="720"/>
        </w:sectPr>
      </w:pPr>
    </w:p>
    <w:p w14:paraId="51B83ECD" w14:textId="42036604" w:rsidR="006B5232" w:rsidRPr="006B5232" w:rsidRDefault="006B5232" w:rsidP="006B5232">
      <w:pPr>
        <w:pStyle w:val="Heading4"/>
        <w:numPr>
          <w:ilvl w:val="0"/>
          <w:numId w:val="0"/>
        </w:numPr>
        <w:ind w:left="864" w:hanging="864"/>
      </w:pPr>
      <w:bookmarkStart w:id="136" w:name="_bookmark1"/>
      <w:bookmarkEnd w:id="136"/>
      <w:r>
        <w:lastRenderedPageBreak/>
        <w:t>Meaning</w:t>
      </w:r>
      <w:r>
        <w:rPr>
          <w:spacing w:val="-4"/>
        </w:rPr>
        <w:t xml:space="preserve"> </w:t>
      </w:r>
      <w:r>
        <w:t>of</w:t>
      </w:r>
      <w:r>
        <w:rPr>
          <w:spacing w:val="-2"/>
        </w:rPr>
        <w:t xml:space="preserve"> </w:t>
      </w:r>
      <w:r>
        <w:t>economic</w:t>
      </w:r>
      <w:r>
        <w:rPr>
          <w:spacing w:val="-2"/>
        </w:rPr>
        <w:t xml:space="preserve"> </w:t>
      </w:r>
      <w:r>
        <w:rPr>
          <w:spacing w:val="-4"/>
        </w:rPr>
        <w:t>abuse</w:t>
      </w:r>
    </w:p>
    <w:p w14:paraId="244E2C65" w14:textId="77777777" w:rsidR="006B5232" w:rsidRDefault="006B5232" w:rsidP="00706CA6">
      <w:pPr>
        <w:pStyle w:val="ListParagraph"/>
        <w:widowControl w:val="0"/>
        <w:numPr>
          <w:ilvl w:val="0"/>
          <w:numId w:val="158"/>
        </w:numPr>
        <w:tabs>
          <w:tab w:val="left" w:pos="669"/>
        </w:tabs>
        <w:autoSpaceDE w:val="0"/>
        <w:autoSpaceDN w:val="0"/>
        <w:spacing w:after="0"/>
        <w:ind w:right="542"/>
        <w:jc w:val="both"/>
      </w:pPr>
      <w:r>
        <w:t>For the purposes of this Act, economic abuse is behaviour by a person (the first person)</w:t>
      </w:r>
      <w:r>
        <w:rPr>
          <w:spacing w:val="-5"/>
        </w:rPr>
        <w:t xml:space="preserve"> </w:t>
      </w:r>
      <w:r>
        <w:t>that</w:t>
      </w:r>
      <w:r>
        <w:rPr>
          <w:spacing w:val="-2"/>
        </w:rPr>
        <w:t xml:space="preserve"> </w:t>
      </w:r>
      <w:r>
        <w:t>is</w:t>
      </w:r>
      <w:r>
        <w:rPr>
          <w:spacing w:val="-6"/>
        </w:rPr>
        <w:t xml:space="preserve"> </w:t>
      </w:r>
      <w:r>
        <w:t>coercive,</w:t>
      </w:r>
      <w:r>
        <w:rPr>
          <w:spacing w:val="-5"/>
        </w:rPr>
        <w:t xml:space="preserve"> </w:t>
      </w:r>
      <w:r>
        <w:t>deceptive</w:t>
      </w:r>
      <w:r>
        <w:rPr>
          <w:spacing w:val="-4"/>
        </w:rPr>
        <w:t xml:space="preserve"> </w:t>
      </w:r>
      <w:r>
        <w:t>or</w:t>
      </w:r>
      <w:r>
        <w:rPr>
          <w:spacing w:val="-3"/>
        </w:rPr>
        <w:t xml:space="preserve"> </w:t>
      </w:r>
      <w:r>
        <w:t>unreasonably</w:t>
      </w:r>
      <w:r>
        <w:rPr>
          <w:spacing w:val="-3"/>
        </w:rPr>
        <w:t xml:space="preserve"> </w:t>
      </w:r>
      <w:r>
        <w:t>controls</w:t>
      </w:r>
      <w:r>
        <w:rPr>
          <w:spacing w:val="-3"/>
        </w:rPr>
        <w:t xml:space="preserve"> </w:t>
      </w:r>
      <w:r>
        <w:t>another</w:t>
      </w:r>
      <w:r>
        <w:rPr>
          <w:spacing w:val="-3"/>
        </w:rPr>
        <w:t xml:space="preserve"> </w:t>
      </w:r>
      <w:r>
        <w:t>person</w:t>
      </w:r>
      <w:r>
        <w:rPr>
          <w:spacing w:val="-4"/>
        </w:rPr>
        <w:t xml:space="preserve"> </w:t>
      </w:r>
      <w:r>
        <w:t>(the second person), without the second person's consent—</w:t>
      </w:r>
    </w:p>
    <w:p w14:paraId="6609E413" w14:textId="77777777" w:rsidR="006B5232" w:rsidRDefault="006B5232" w:rsidP="006B5232">
      <w:pPr>
        <w:pStyle w:val="BodyText"/>
        <w:spacing w:before="2"/>
        <w:rPr>
          <w:sz w:val="19"/>
        </w:rPr>
      </w:pPr>
    </w:p>
    <w:p w14:paraId="247F8E63" w14:textId="77777777" w:rsidR="006B5232" w:rsidRDefault="006B5232" w:rsidP="00706CA6">
      <w:pPr>
        <w:pStyle w:val="ListParagraph"/>
        <w:widowControl w:val="0"/>
        <w:numPr>
          <w:ilvl w:val="1"/>
          <w:numId w:val="158"/>
        </w:numPr>
        <w:tabs>
          <w:tab w:val="left" w:pos="1234"/>
          <w:tab w:val="left" w:pos="1235"/>
        </w:tabs>
        <w:autoSpaceDE w:val="0"/>
        <w:autoSpaceDN w:val="0"/>
        <w:spacing w:after="0"/>
        <w:ind w:right="429"/>
      </w:pPr>
      <w:r>
        <w:t>in</w:t>
      </w:r>
      <w:r>
        <w:rPr>
          <w:spacing w:val="-2"/>
        </w:rPr>
        <w:t xml:space="preserve"> </w:t>
      </w:r>
      <w:r>
        <w:t>a</w:t>
      </w:r>
      <w:r>
        <w:rPr>
          <w:spacing w:val="-1"/>
        </w:rPr>
        <w:t xml:space="preserve"> </w:t>
      </w:r>
      <w:r>
        <w:t>way</w:t>
      </w:r>
      <w:r>
        <w:rPr>
          <w:spacing w:val="-4"/>
        </w:rPr>
        <w:t xml:space="preserve"> </w:t>
      </w:r>
      <w:r>
        <w:t>that</w:t>
      </w:r>
      <w:r>
        <w:rPr>
          <w:spacing w:val="-3"/>
        </w:rPr>
        <w:t xml:space="preserve"> </w:t>
      </w:r>
      <w:r>
        <w:t>denies</w:t>
      </w:r>
      <w:r>
        <w:rPr>
          <w:spacing w:val="-4"/>
        </w:rPr>
        <w:t xml:space="preserve"> </w:t>
      </w:r>
      <w:r>
        <w:t>the</w:t>
      </w:r>
      <w:r>
        <w:rPr>
          <w:spacing w:val="-4"/>
        </w:rPr>
        <w:t xml:space="preserve"> </w:t>
      </w:r>
      <w:r>
        <w:t>second</w:t>
      </w:r>
      <w:r>
        <w:rPr>
          <w:spacing w:val="-2"/>
        </w:rPr>
        <w:t xml:space="preserve"> </w:t>
      </w:r>
      <w:r>
        <w:t>person</w:t>
      </w:r>
      <w:r>
        <w:rPr>
          <w:spacing w:val="-4"/>
        </w:rPr>
        <w:t xml:space="preserve"> </w:t>
      </w:r>
      <w:r>
        <w:t>the</w:t>
      </w:r>
      <w:r>
        <w:rPr>
          <w:spacing w:val="-2"/>
        </w:rPr>
        <w:t xml:space="preserve"> </w:t>
      </w:r>
      <w:r>
        <w:t>economic</w:t>
      </w:r>
      <w:r>
        <w:rPr>
          <w:spacing w:val="-2"/>
        </w:rPr>
        <w:t xml:space="preserve"> </w:t>
      </w:r>
      <w:r>
        <w:t>or</w:t>
      </w:r>
      <w:r>
        <w:rPr>
          <w:spacing w:val="-5"/>
        </w:rPr>
        <w:t xml:space="preserve"> </w:t>
      </w:r>
      <w:r>
        <w:t>financial</w:t>
      </w:r>
      <w:r>
        <w:rPr>
          <w:spacing w:val="-3"/>
        </w:rPr>
        <w:t xml:space="preserve"> </w:t>
      </w:r>
      <w:r>
        <w:t>autonomy the second person would have had but for that behaviour; or</w:t>
      </w:r>
    </w:p>
    <w:p w14:paraId="4C862B81" w14:textId="77777777" w:rsidR="006B5232" w:rsidRDefault="006B5232" w:rsidP="006B5232">
      <w:pPr>
        <w:pStyle w:val="BodyText"/>
        <w:rPr>
          <w:sz w:val="19"/>
        </w:rPr>
      </w:pPr>
    </w:p>
    <w:p w14:paraId="523FCEE6" w14:textId="77777777" w:rsidR="006B5232" w:rsidRDefault="006B5232" w:rsidP="00706CA6">
      <w:pPr>
        <w:pStyle w:val="ListParagraph"/>
        <w:widowControl w:val="0"/>
        <w:numPr>
          <w:ilvl w:val="1"/>
          <w:numId w:val="158"/>
        </w:numPr>
        <w:tabs>
          <w:tab w:val="left" w:pos="1234"/>
          <w:tab w:val="left" w:pos="1235"/>
        </w:tabs>
        <w:autoSpaceDE w:val="0"/>
        <w:autoSpaceDN w:val="0"/>
        <w:spacing w:before="1" w:after="0"/>
        <w:ind w:right="230"/>
      </w:pPr>
      <w:r>
        <w:t>by withholding or threatening to withhold the financial support necessary for meeting the reasonable living expenses of the second person or the second person's</w:t>
      </w:r>
      <w:r>
        <w:rPr>
          <w:spacing w:val="-5"/>
        </w:rPr>
        <w:t xml:space="preserve"> </w:t>
      </w:r>
      <w:r>
        <w:t>child,</w:t>
      </w:r>
      <w:r>
        <w:rPr>
          <w:spacing w:val="-2"/>
        </w:rPr>
        <w:t xml:space="preserve"> </w:t>
      </w:r>
      <w:r>
        <w:t>if</w:t>
      </w:r>
      <w:r>
        <w:rPr>
          <w:spacing w:val="-4"/>
        </w:rPr>
        <w:t xml:space="preserve"> </w:t>
      </w:r>
      <w:r>
        <w:t>the</w:t>
      </w:r>
      <w:r>
        <w:rPr>
          <w:spacing w:val="-3"/>
        </w:rPr>
        <w:t xml:space="preserve"> </w:t>
      </w:r>
      <w:r>
        <w:t>second</w:t>
      </w:r>
      <w:r>
        <w:rPr>
          <w:spacing w:val="-3"/>
        </w:rPr>
        <w:t xml:space="preserve"> </w:t>
      </w:r>
      <w:r>
        <w:t>person</w:t>
      </w:r>
      <w:r>
        <w:rPr>
          <w:spacing w:val="-5"/>
        </w:rPr>
        <w:t xml:space="preserve"> </w:t>
      </w:r>
      <w:r>
        <w:t>is</w:t>
      </w:r>
      <w:r>
        <w:rPr>
          <w:spacing w:val="-2"/>
        </w:rPr>
        <w:t xml:space="preserve"> </w:t>
      </w:r>
      <w:r>
        <w:t>entirely</w:t>
      </w:r>
      <w:r>
        <w:rPr>
          <w:spacing w:val="-2"/>
        </w:rPr>
        <w:t xml:space="preserve"> </w:t>
      </w:r>
      <w:r>
        <w:t>or</w:t>
      </w:r>
      <w:r>
        <w:rPr>
          <w:spacing w:val="-4"/>
        </w:rPr>
        <w:t xml:space="preserve"> </w:t>
      </w:r>
      <w:r>
        <w:t>predominantly</w:t>
      </w:r>
      <w:r>
        <w:rPr>
          <w:spacing w:val="-5"/>
        </w:rPr>
        <w:t xml:space="preserve"> </w:t>
      </w:r>
      <w:r>
        <w:t>dependent</w:t>
      </w:r>
      <w:r>
        <w:rPr>
          <w:spacing w:val="-1"/>
        </w:rPr>
        <w:t xml:space="preserve"> </w:t>
      </w:r>
      <w:r>
        <w:t>on the first person for financial support to meet those living expenses.</w:t>
      </w:r>
    </w:p>
    <w:p w14:paraId="74F141FE" w14:textId="77777777" w:rsidR="006B5232" w:rsidRDefault="006B5232" w:rsidP="006B5232">
      <w:pPr>
        <w:pStyle w:val="BodyText"/>
        <w:spacing w:before="2"/>
        <w:rPr>
          <w:sz w:val="19"/>
        </w:rPr>
      </w:pPr>
    </w:p>
    <w:p w14:paraId="667D9173" w14:textId="77777777" w:rsidR="006B5232" w:rsidRDefault="006B5232" w:rsidP="006B5232">
      <w:pPr>
        <w:spacing w:before="1"/>
        <w:ind w:left="1234"/>
        <w:rPr>
          <w:b/>
          <w:sz w:val="18"/>
        </w:rPr>
      </w:pPr>
      <w:r>
        <w:rPr>
          <w:b/>
          <w:sz w:val="18"/>
        </w:rPr>
        <w:t>Examples</w:t>
      </w:r>
      <w:r>
        <w:rPr>
          <w:b/>
          <w:spacing w:val="-2"/>
          <w:sz w:val="18"/>
        </w:rPr>
        <w:t xml:space="preserve"> </w:t>
      </w:r>
      <w:r>
        <w:rPr>
          <w:b/>
          <w:sz w:val="18"/>
        </w:rPr>
        <w:t>include</w:t>
      </w:r>
      <w:r>
        <w:rPr>
          <w:b/>
          <w:spacing w:val="-3"/>
          <w:sz w:val="18"/>
        </w:rPr>
        <w:t xml:space="preserve"> </w:t>
      </w:r>
      <w:r>
        <w:rPr>
          <w:b/>
          <w:sz w:val="18"/>
        </w:rPr>
        <w:t>but</w:t>
      </w:r>
      <w:r>
        <w:rPr>
          <w:b/>
          <w:spacing w:val="-1"/>
          <w:sz w:val="18"/>
        </w:rPr>
        <w:t xml:space="preserve"> </w:t>
      </w:r>
      <w:r>
        <w:rPr>
          <w:b/>
          <w:sz w:val="18"/>
        </w:rPr>
        <w:t>are</w:t>
      </w:r>
      <w:r>
        <w:rPr>
          <w:b/>
          <w:spacing w:val="-4"/>
          <w:sz w:val="18"/>
        </w:rPr>
        <w:t xml:space="preserve"> </w:t>
      </w:r>
      <w:r>
        <w:rPr>
          <w:b/>
          <w:sz w:val="18"/>
        </w:rPr>
        <w:t>not</w:t>
      </w:r>
      <w:r>
        <w:rPr>
          <w:b/>
          <w:spacing w:val="-1"/>
          <w:sz w:val="18"/>
        </w:rPr>
        <w:t xml:space="preserve"> </w:t>
      </w:r>
      <w:r>
        <w:rPr>
          <w:b/>
          <w:sz w:val="18"/>
        </w:rPr>
        <w:t>limited</w:t>
      </w:r>
      <w:r>
        <w:rPr>
          <w:b/>
          <w:spacing w:val="-3"/>
          <w:sz w:val="18"/>
        </w:rPr>
        <w:t xml:space="preserve"> </w:t>
      </w:r>
      <w:r>
        <w:rPr>
          <w:b/>
          <w:spacing w:val="-5"/>
          <w:sz w:val="18"/>
        </w:rPr>
        <w:t>to—</w:t>
      </w:r>
    </w:p>
    <w:p w14:paraId="7A41E36F" w14:textId="77777777" w:rsidR="006B5232" w:rsidRDefault="006B5232" w:rsidP="00706CA6">
      <w:pPr>
        <w:pStyle w:val="ListParagraph"/>
        <w:widowControl w:val="0"/>
        <w:numPr>
          <w:ilvl w:val="2"/>
          <w:numId w:val="158"/>
        </w:numPr>
        <w:tabs>
          <w:tab w:val="left" w:pos="2370"/>
          <w:tab w:val="left" w:pos="2371"/>
        </w:tabs>
        <w:autoSpaceDE w:val="0"/>
        <w:autoSpaceDN w:val="0"/>
        <w:spacing w:before="119" w:after="0"/>
        <w:ind w:right="121"/>
        <w:rPr>
          <w:sz w:val="18"/>
        </w:rPr>
      </w:pPr>
      <w:r>
        <w:rPr>
          <w:sz w:val="18"/>
        </w:rPr>
        <w:t>preventing</w:t>
      </w:r>
      <w:r>
        <w:rPr>
          <w:spacing w:val="36"/>
          <w:sz w:val="18"/>
        </w:rPr>
        <w:t xml:space="preserve"> </w:t>
      </w:r>
      <w:r>
        <w:rPr>
          <w:sz w:val="18"/>
        </w:rPr>
        <w:t>a</w:t>
      </w:r>
      <w:r>
        <w:rPr>
          <w:spacing w:val="36"/>
          <w:sz w:val="18"/>
        </w:rPr>
        <w:t xml:space="preserve"> </w:t>
      </w:r>
      <w:r>
        <w:rPr>
          <w:sz w:val="18"/>
        </w:rPr>
        <w:t>person</w:t>
      </w:r>
      <w:r>
        <w:rPr>
          <w:spacing w:val="36"/>
          <w:sz w:val="18"/>
        </w:rPr>
        <w:t xml:space="preserve"> </w:t>
      </w:r>
      <w:r>
        <w:rPr>
          <w:sz w:val="18"/>
        </w:rPr>
        <w:t>from</w:t>
      </w:r>
      <w:r>
        <w:rPr>
          <w:spacing w:val="36"/>
          <w:sz w:val="18"/>
        </w:rPr>
        <w:t xml:space="preserve"> </w:t>
      </w:r>
      <w:r>
        <w:rPr>
          <w:sz w:val="18"/>
        </w:rPr>
        <w:t>having</w:t>
      </w:r>
      <w:r>
        <w:rPr>
          <w:spacing w:val="36"/>
          <w:sz w:val="18"/>
        </w:rPr>
        <w:t xml:space="preserve"> </w:t>
      </w:r>
      <w:r>
        <w:rPr>
          <w:sz w:val="18"/>
        </w:rPr>
        <w:t>access</w:t>
      </w:r>
      <w:r>
        <w:rPr>
          <w:spacing w:val="36"/>
          <w:sz w:val="18"/>
        </w:rPr>
        <w:t xml:space="preserve"> </w:t>
      </w:r>
      <w:r>
        <w:rPr>
          <w:sz w:val="18"/>
        </w:rPr>
        <w:t>to</w:t>
      </w:r>
      <w:r>
        <w:rPr>
          <w:spacing w:val="36"/>
          <w:sz w:val="18"/>
        </w:rPr>
        <w:t xml:space="preserve"> </w:t>
      </w:r>
      <w:r>
        <w:rPr>
          <w:sz w:val="18"/>
        </w:rPr>
        <w:t>financial</w:t>
      </w:r>
      <w:r>
        <w:rPr>
          <w:spacing w:val="36"/>
          <w:sz w:val="18"/>
        </w:rPr>
        <w:t xml:space="preserve"> </w:t>
      </w:r>
      <w:r>
        <w:rPr>
          <w:sz w:val="18"/>
        </w:rPr>
        <w:t>assets,</w:t>
      </w:r>
      <w:r>
        <w:rPr>
          <w:spacing w:val="35"/>
          <w:sz w:val="18"/>
        </w:rPr>
        <w:t xml:space="preserve"> </w:t>
      </w:r>
      <w:r>
        <w:rPr>
          <w:sz w:val="18"/>
        </w:rPr>
        <w:t>including</w:t>
      </w:r>
      <w:r>
        <w:rPr>
          <w:spacing w:val="36"/>
          <w:sz w:val="18"/>
        </w:rPr>
        <w:t xml:space="preserve"> </w:t>
      </w:r>
      <w:r>
        <w:rPr>
          <w:sz w:val="18"/>
        </w:rPr>
        <w:t>but</w:t>
      </w:r>
      <w:r>
        <w:rPr>
          <w:spacing w:val="35"/>
          <w:sz w:val="18"/>
        </w:rPr>
        <w:t xml:space="preserve"> </w:t>
      </w:r>
      <w:r>
        <w:rPr>
          <w:sz w:val="18"/>
        </w:rPr>
        <w:t>not limited to preventing a person from having control over income and assets</w:t>
      </w:r>
    </w:p>
    <w:p w14:paraId="4CBF006D" w14:textId="77777777" w:rsidR="006B5232" w:rsidRDefault="006B5232" w:rsidP="00706CA6">
      <w:pPr>
        <w:pStyle w:val="ListParagraph"/>
        <w:widowControl w:val="0"/>
        <w:numPr>
          <w:ilvl w:val="2"/>
          <w:numId w:val="158"/>
        </w:numPr>
        <w:tabs>
          <w:tab w:val="left" w:pos="2370"/>
          <w:tab w:val="left" w:pos="2371"/>
        </w:tabs>
        <w:autoSpaceDE w:val="0"/>
        <w:autoSpaceDN w:val="0"/>
        <w:spacing w:before="117" w:after="0"/>
        <w:ind w:hanging="568"/>
        <w:rPr>
          <w:sz w:val="18"/>
        </w:rPr>
      </w:pPr>
      <w:r>
        <w:rPr>
          <w:sz w:val="18"/>
        </w:rPr>
        <w:t>coercing</w:t>
      </w:r>
      <w:r>
        <w:rPr>
          <w:spacing w:val="-4"/>
          <w:sz w:val="18"/>
        </w:rPr>
        <w:t xml:space="preserve"> </w:t>
      </w:r>
      <w:r>
        <w:rPr>
          <w:sz w:val="18"/>
        </w:rPr>
        <w:t>a</w:t>
      </w:r>
      <w:r>
        <w:rPr>
          <w:spacing w:val="-2"/>
          <w:sz w:val="18"/>
        </w:rPr>
        <w:t xml:space="preserve"> </w:t>
      </w:r>
      <w:r>
        <w:rPr>
          <w:sz w:val="18"/>
        </w:rPr>
        <w:t>person</w:t>
      </w:r>
      <w:r>
        <w:rPr>
          <w:spacing w:val="-1"/>
          <w:sz w:val="18"/>
        </w:rPr>
        <w:t xml:space="preserve"> </w:t>
      </w:r>
      <w:r>
        <w:rPr>
          <w:sz w:val="18"/>
        </w:rPr>
        <w:t>to</w:t>
      </w:r>
      <w:r>
        <w:rPr>
          <w:spacing w:val="-4"/>
          <w:sz w:val="18"/>
        </w:rPr>
        <w:t xml:space="preserve"> </w:t>
      </w:r>
      <w:r>
        <w:rPr>
          <w:sz w:val="18"/>
        </w:rPr>
        <w:t>relinquish</w:t>
      </w:r>
      <w:r>
        <w:rPr>
          <w:spacing w:val="-3"/>
          <w:sz w:val="18"/>
        </w:rPr>
        <w:t xml:space="preserve"> </w:t>
      </w:r>
      <w:r>
        <w:rPr>
          <w:sz w:val="18"/>
        </w:rPr>
        <w:t>control</w:t>
      </w:r>
      <w:r>
        <w:rPr>
          <w:spacing w:val="-2"/>
          <w:sz w:val="18"/>
        </w:rPr>
        <w:t xml:space="preserve"> </w:t>
      </w:r>
      <w:r>
        <w:rPr>
          <w:sz w:val="18"/>
        </w:rPr>
        <w:t>over</w:t>
      </w:r>
      <w:r>
        <w:rPr>
          <w:spacing w:val="-3"/>
          <w:sz w:val="18"/>
        </w:rPr>
        <w:t xml:space="preserve"> </w:t>
      </w:r>
      <w:r>
        <w:rPr>
          <w:sz w:val="18"/>
        </w:rPr>
        <w:t>assets</w:t>
      </w:r>
      <w:r>
        <w:rPr>
          <w:spacing w:val="-1"/>
          <w:sz w:val="18"/>
        </w:rPr>
        <w:t xml:space="preserve"> </w:t>
      </w:r>
      <w:r>
        <w:rPr>
          <w:sz w:val="18"/>
        </w:rPr>
        <w:t>and</w:t>
      </w:r>
      <w:r>
        <w:rPr>
          <w:spacing w:val="-1"/>
          <w:sz w:val="18"/>
        </w:rPr>
        <w:t xml:space="preserve"> </w:t>
      </w:r>
      <w:r>
        <w:rPr>
          <w:spacing w:val="-2"/>
          <w:sz w:val="18"/>
        </w:rPr>
        <w:t>income;</w:t>
      </w:r>
    </w:p>
    <w:p w14:paraId="56802D0A" w14:textId="77777777" w:rsidR="006B5232" w:rsidRDefault="006B5232" w:rsidP="00706CA6">
      <w:pPr>
        <w:pStyle w:val="ListParagraph"/>
        <w:widowControl w:val="0"/>
        <w:numPr>
          <w:ilvl w:val="2"/>
          <w:numId w:val="158"/>
        </w:numPr>
        <w:tabs>
          <w:tab w:val="left" w:pos="2370"/>
          <w:tab w:val="left" w:pos="2371"/>
        </w:tabs>
        <w:autoSpaceDE w:val="0"/>
        <w:autoSpaceDN w:val="0"/>
        <w:spacing w:before="120" w:after="0"/>
        <w:ind w:right="118"/>
        <w:rPr>
          <w:sz w:val="18"/>
        </w:rPr>
      </w:pPr>
      <w:r>
        <w:rPr>
          <w:sz w:val="18"/>
        </w:rPr>
        <w:t>removing</w:t>
      </w:r>
      <w:r>
        <w:rPr>
          <w:spacing w:val="80"/>
          <w:sz w:val="18"/>
        </w:rPr>
        <w:t xml:space="preserve"> </w:t>
      </w:r>
      <w:r>
        <w:rPr>
          <w:sz w:val="18"/>
        </w:rPr>
        <w:t>or</w:t>
      </w:r>
      <w:r>
        <w:rPr>
          <w:spacing w:val="80"/>
          <w:sz w:val="18"/>
        </w:rPr>
        <w:t xml:space="preserve"> </w:t>
      </w:r>
      <w:r>
        <w:rPr>
          <w:sz w:val="18"/>
        </w:rPr>
        <w:t>keeping</w:t>
      </w:r>
      <w:r>
        <w:rPr>
          <w:spacing w:val="80"/>
          <w:sz w:val="18"/>
        </w:rPr>
        <w:t xml:space="preserve"> </w:t>
      </w:r>
      <w:r>
        <w:rPr>
          <w:sz w:val="18"/>
        </w:rPr>
        <w:t>a</w:t>
      </w:r>
      <w:r>
        <w:rPr>
          <w:spacing w:val="80"/>
          <w:sz w:val="18"/>
        </w:rPr>
        <w:t xml:space="preserve"> </w:t>
      </w:r>
      <w:r>
        <w:rPr>
          <w:sz w:val="18"/>
        </w:rPr>
        <w:t>family</w:t>
      </w:r>
      <w:r>
        <w:rPr>
          <w:spacing w:val="80"/>
          <w:sz w:val="18"/>
        </w:rPr>
        <w:t xml:space="preserve"> </w:t>
      </w:r>
      <w:r>
        <w:rPr>
          <w:sz w:val="18"/>
        </w:rPr>
        <w:t>member's</w:t>
      </w:r>
      <w:r>
        <w:rPr>
          <w:spacing w:val="80"/>
          <w:sz w:val="18"/>
        </w:rPr>
        <w:t xml:space="preserve"> </w:t>
      </w:r>
      <w:r>
        <w:rPr>
          <w:sz w:val="18"/>
        </w:rPr>
        <w:t>property</w:t>
      </w:r>
      <w:r>
        <w:rPr>
          <w:spacing w:val="80"/>
          <w:sz w:val="18"/>
        </w:rPr>
        <w:t xml:space="preserve"> </w:t>
      </w:r>
      <w:r>
        <w:rPr>
          <w:sz w:val="18"/>
        </w:rPr>
        <w:t>without</w:t>
      </w:r>
      <w:r>
        <w:rPr>
          <w:spacing w:val="80"/>
          <w:sz w:val="18"/>
        </w:rPr>
        <w:t xml:space="preserve"> </w:t>
      </w:r>
      <w:r>
        <w:rPr>
          <w:sz w:val="18"/>
        </w:rPr>
        <w:t>permission,</w:t>
      </w:r>
      <w:r>
        <w:rPr>
          <w:spacing w:val="80"/>
          <w:sz w:val="18"/>
        </w:rPr>
        <w:t xml:space="preserve"> </w:t>
      </w:r>
      <w:r>
        <w:rPr>
          <w:sz w:val="18"/>
        </w:rPr>
        <w:t>or threatening to do so;</w:t>
      </w:r>
    </w:p>
    <w:p w14:paraId="0E4CB180" w14:textId="77777777" w:rsidR="006B5232" w:rsidRDefault="006B5232" w:rsidP="00706CA6">
      <w:pPr>
        <w:pStyle w:val="ListParagraph"/>
        <w:widowControl w:val="0"/>
        <w:numPr>
          <w:ilvl w:val="2"/>
          <w:numId w:val="158"/>
        </w:numPr>
        <w:tabs>
          <w:tab w:val="left" w:pos="2370"/>
          <w:tab w:val="left" w:pos="2371"/>
        </w:tabs>
        <w:autoSpaceDE w:val="0"/>
        <w:autoSpaceDN w:val="0"/>
        <w:spacing w:before="118" w:after="0"/>
        <w:ind w:right="119"/>
        <w:rPr>
          <w:sz w:val="18"/>
        </w:rPr>
      </w:pPr>
      <w:r>
        <w:rPr>
          <w:sz w:val="18"/>
        </w:rPr>
        <w:t>disposing of property owned by a person, or owned jointly with a person, against the person's wishes and without lawful excuse;</w:t>
      </w:r>
    </w:p>
    <w:p w14:paraId="2F423F50" w14:textId="77777777" w:rsidR="006B5232" w:rsidRDefault="006B5232" w:rsidP="00706CA6">
      <w:pPr>
        <w:pStyle w:val="ListParagraph"/>
        <w:widowControl w:val="0"/>
        <w:numPr>
          <w:ilvl w:val="2"/>
          <w:numId w:val="158"/>
        </w:numPr>
        <w:tabs>
          <w:tab w:val="left" w:pos="2370"/>
          <w:tab w:val="left" w:pos="2371"/>
        </w:tabs>
        <w:autoSpaceDE w:val="0"/>
        <w:autoSpaceDN w:val="0"/>
        <w:spacing w:before="119" w:after="0"/>
        <w:ind w:right="117"/>
        <w:rPr>
          <w:sz w:val="18"/>
        </w:rPr>
      </w:pPr>
      <w:r>
        <w:rPr>
          <w:sz w:val="18"/>
        </w:rPr>
        <w:t>without lawful excuse, preventing a person from having access to joint financial assets for the purposes of meeting normal household expenses;</w:t>
      </w:r>
    </w:p>
    <w:p w14:paraId="1B83A24D" w14:textId="77777777" w:rsidR="006B5232" w:rsidRDefault="006B5232" w:rsidP="00706CA6">
      <w:pPr>
        <w:pStyle w:val="ListParagraph"/>
        <w:widowControl w:val="0"/>
        <w:numPr>
          <w:ilvl w:val="2"/>
          <w:numId w:val="158"/>
        </w:numPr>
        <w:tabs>
          <w:tab w:val="left" w:pos="2370"/>
          <w:tab w:val="left" w:pos="2371"/>
        </w:tabs>
        <w:autoSpaceDE w:val="0"/>
        <w:autoSpaceDN w:val="0"/>
        <w:spacing w:before="118" w:after="0"/>
        <w:ind w:hanging="568"/>
        <w:rPr>
          <w:sz w:val="18"/>
        </w:rPr>
      </w:pPr>
      <w:r>
        <w:rPr>
          <w:sz w:val="18"/>
        </w:rPr>
        <w:t>preventing</w:t>
      </w:r>
      <w:r>
        <w:rPr>
          <w:spacing w:val="-2"/>
          <w:sz w:val="18"/>
        </w:rPr>
        <w:t xml:space="preserve"> </w:t>
      </w:r>
      <w:r>
        <w:rPr>
          <w:sz w:val="18"/>
        </w:rPr>
        <w:t>a</w:t>
      </w:r>
      <w:r>
        <w:rPr>
          <w:spacing w:val="-4"/>
          <w:sz w:val="18"/>
        </w:rPr>
        <w:t xml:space="preserve"> </w:t>
      </w:r>
      <w:r>
        <w:rPr>
          <w:sz w:val="18"/>
        </w:rPr>
        <w:t>person</w:t>
      </w:r>
      <w:r>
        <w:rPr>
          <w:spacing w:val="-2"/>
          <w:sz w:val="18"/>
        </w:rPr>
        <w:t xml:space="preserve"> </w:t>
      </w:r>
      <w:r>
        <w:rPr>
          <w:sz w:val="18"/>
        </w:rPr>
        <w:t>from</w:t>
      </w:r>
      <w:r>
        <w:rPr>
          <w:spacing w:val="-3"/>
          <w:sz w:val="18"/>
        </w:rPr>
        <w:t xml:space="preserve"> </w:t>
      </w:r>
      <w:r>
        <w:rPr>
          <w:sz w:val="18"/>
        </w:rPr>
        <w:t>seeking</w:t>
      </w:r>
      <w:r>
        <w:rPr>
          <w:spacing w:val="-2"/>
          <w:sz w:val="18"/>
        </w:rPr>
        <w:t xml:space="preserve"> </w:t>
      </w:r>
      <w:r>
        <w:rPr>
          <w:sz w:val="18"/>
        </w:rPr>
        <w:t>or</w:t>
      </w:r>
      <w:r>
        <w:rPr>
          <w:spacing w:val="-5"/>
          <w:sz w:val="18"/>
        </w:rPr>
        <w:t xml:space="preserve"> </w:t>
      </w:r>
      <w:r>
        <w:rPr>
          <w:sz w:val="18"/>
        </w:rPr>
        <w:t>keeping</w:t>
      </w:r>
      <w:r>
        <w:rPr>
          <w:spacing w:val="-1"/>
          <w:sz w:val="18"/>
        </w:rPr>
        <w:t xml:space="preserve"> </w:t>
      </w:r>
      <w:r>
        <w:rPr>
          <w:spacing w:val="-2"/>
          <w:sz w:val="18"/>
        </w:rPr>
        <w:t>employment;</w:t>
      </w:r>
    </w:p>
    <w:p w14:paraId="23F62D54" w14:textId="77777777" w:rsidR="006B5232" w:rsidRDefault="006B5232" w:rsidP="00706CA6">
      <w:pPr>
        <w:pStyle w:val="ListParagraph"/>
        <w:widowControl w:val="0"/>
        <w:numPr>
          <w:ilvl w:val="2"/>
          <w:numId w:val="158"/>
        </w:numPr>
        <w:tabs>
          <w:tab w:val="left" w:pos="2370"/>
          <w:tab w:val="left" w:pos="2371"/>
        </w:tabs>
        <w:autoSpaceDE w:val="0"/>
        <w:autoSpaceDN w:val="0"/>
        <w:spacing w:before="120" w:after="0"/>
        <w:ind w:hanging="568"/>
        <w:rPr>
          <w:sz w:val="18"/>
        </w:rPr>
      </w:pPr>
      <w:r>
        <w:rPr>
          <w:sz w:val="18"/>
        </w:rPr>
        <w:t>creating,</w:t>
      </w:r>
      <w:r>
        <w:rPr>
          <w:spacing w:val="-6"/>
          <w:sz w:val="18"/>
        </w:rPr>
        <w:t xml:space="preserve"> </w:t>
      </w:r>
      <w:r>
        <w:rPr>
          <w:sz w:val="18"/>
        </w:rPr>
        <w:t>or</w:t>
      </w:r>
      <w:r>
        <w:rPr>
          <w:spacing w:val="-1"/>
          <w:sz w:val="18"/>
        </w:rPr>
        <w:t xml:space="preserve"> </w:t>
      </w:r>
      <w:r>
        <w:rPr>
          <w:sz w:val="18"/>
        </w:rPr>
        <w:t>causing</w:t>
      </w:r>
      <w:r>
        <w:rPr>
          <w:spacing w:val="-4"/>
          <w:sz w:val="18"/>
        </w:rPr>
        <w:t xml:space="preserve"> </w:t>
      </w:r>
      <w:r>
        <w:rPr>
          <w:sz w:val="18"/>
        </w:rPr>
        <w:t>to</w:t>
      </w:r>
      <w:r>
        <w:rPr>
          <w:spacing w:val="-1"/>
          <w:sz w:val="18"/>
        </w:rPr>
        <w:t xml:space="preserve"> </w:t>
      </w:r>
      <w:r>
        <w:rPr>
          <w:sz w:val="18"/>
        </w:rPr>
        <w:t>be</w:t>
      </w:r>
      <w:r>
        <w:rPr>
          <w:spacing w:val="-2"/>
          <w:sz w:val="18"/>
        </w:rPr>
        <w:t xml:space="preserve"> </w:t>
      </w:r>
      <w:r>
        <w:rPr>
          <w:sz w:val="18"/>
        </w:rPr>
        <w:t>created,</w:t>
      </w:r>
      <w:r>
        <w:rPr>
          <w:spacing w:val="-1"/>
          <w:sz w:val="18"/>
        </w:rPr>
        <w:t xml:space="preserve"> </w:t>
      </w:r>
      <w:r>
        <w:rPr>
          <w:sz w:val="18"/>
        </w:rPr>
        <w:t>a</w:t>
      </w:r>
      <w:r>
        <w:rPr>
          <w:spacing w:val="-4"/>
          <w:sz w:val="18"/>
        </w:rPr>
        <w:t xml:space="preserve"> </w:t>
      </w:r>
      <w:r>
        <w:rPr>
          <w:sz w:val="18"/>
        </w:rPr>
        <w:t>debt</w:t>
      </w:r>
      <w:r>
        <w:rPr>
          <w:spacing w:val="-1"/>
          <w:sz w:val="18"/>
        </w:rPr>
        <w:t xml:space="preserve"> </w:t>
      </w:r>
      <w:r>
        <w:rPr>
          <w:sz w:val="18"/>
        </w:rPr>
        <w:t>in</w:t>
      </w:r>
      <w:r>
        <w:rPr>
          <w:spacing w:val="-4"/>
          <w:sz w:val="18"/>
        </w:rPr>
        <w:t xml:space="preserve"> </w:t>
      </w:r>
      <w:r>
        <w:rPr>
          <w:sz w:val="18"/>
        </w:rPr>
        <w:t>a</w:t>
      </w:r>
      <w:r>
        <w:rPr>
          <w:spacing w:val="-1"/>
          <w:sz w:val="18"/>
        </w:rPr>
        <w:t xml:space="preserve"> </w:t>
      </w:r>
      <w:r>
        <w:rPr>
          <w:sz w:val="18"/>
        </w:rPr>
        <w:t>person’s</w:t>
      </w:r>
      <w:r>
        <w:rPr>
          <w:spacing w:val="-3"/>
          <w:sz w:val="18"/>
        </w:rPr>
        <w:t xml:space="preserve"> </w:t>
      </w:r>
      <w:r>
        <w:rPr>
          <w:sz w:val="18"/>
        </w:rPr>
        <w:t>name</w:t>
      </w:r>
      <w:r>
        <w:rPr>
          <w:spacing w:val="-4"/>
          <w:sz w:val="18"/>
        </w:rPr>
        <w:t xml:space="preserve"> </w:t>
      </w:r>
      <w:r>
        <w:rPr>
          <w:sz w:val="18"/>
        </w:rPr>
        <w:t>without</w:t>
      </w:r>
      <w:r>
        <w:rPr>
          <w:spacing w:val="5"/>
          <w:sz w:val="18"/>
        </w:rPr>
        <w:t xml:space="preserve"> </w:t>
      </w:r>
      <w:r>
        <w:rPr>
          <w:spacing w:val="-2"/>
          <w:sz w:val="18"/>
        </w:rPr>
        <w:t>permission;</w:t>
      </w:r>
    </w:p>
    <w:p w14:paraId="3635C2B0" w14:textId="77777777" w:rsidR="006B5232" w:rsidRDefault="006B5232" w:rsidP="00706CA6">
      <w:pPr>
        <w:pStyle w:val="ListParagraph"/>
        <w:widowControl w:val="0"/>
        <w:numPr>
          <w:ilvl w:val="2"/>
          <w:numId w:val="158"/>
        </w:numPr>
        <w:tabs>
          <w:tab w:val="left" w:pos="2370"/>
          <w:tab w:val="left" w:pos="2371"/>
        </w:tabs>
        <w:autoSpaceDE w:val="0"/>
        <w:autoSpaceDN w:val="0"/>
        <w:spacing w:before="118" w:after="0"/>
        <w:ind w:hanging="568"/>
        <w:rPr>
          <w:sz w:val="18"/>
        </w:rPr>
      </w:pPr>
      <w:r>
        <w:rPr>
          <w:sz w:val="18"/>
        </w:rPr>
        <w:t>coercing</w:t>
      </w:r>
      <w:r>
        <w:rPr>
          <w:spacing w:val="-4"/>
          <w:sz w:val="18"/>
        </w:rPr>
        <w:t xml:space="preserve"> </w:t>
      </w:r>
      <w:r>
        <w:rPr>
          <w:sz w:val="18"/>
        </w:rPr>
        <w:t>a</w:t>
      </w:r>
      <w:r>
        <w:rPr>
          <w:spacing w:val="-2"/>
          <w:sz w:val="18"/>
        </w:rPr>
        <w:t xml:space="preserve"> </w:t>
      </w:r>
      <w:r>
        <w:rPr>
          <w:sz w:val="18"/>
        </w:rPr>
        <w:t>person</w:t>
      </w:r>
      <w:r>
        <w:rPr>
          <w:spacing w:val="-2"/>
          <w:sz w:val="18"/>
        </w:rPr>
        <w:t xml:space="preserve"> </w:t>
      </w:r>
      <w:r>
        <w:rPr>
          <w:sz w:val="18"/>
        </w:rPr>
        <w:t>to</w:t>
      </w:r>
      <w:r>
        <w:rPr>
          <w:spacing w:val="-4"/>
          <w:sz w:val="18"/>
        </w:rPr>
        <w:t xml:space="preserve"> </w:t>
      </w:r>
      <w:r>
        <w:rPr>
          <w:sz w:val="18"/>
        </w:rPr>
        <w:t>claim</w:t>
      </w:r>
      <w:r>
        <w:rPr>
          <w:spacing w:val="-1"/>
          <w:sz w:val="18"/>
        </w:rPr>
        <w:t xml:space="preserve"> </w:t>
      </w:r>
      <w:r>
        <w:rPr>
          <w:sz w:val="18"/>
        </w:rPr>
        <w:t>social</w:t>
      </w:r>
      <w:r>
        <w:rPr>
          <w:spacing w:val="-4"/>
          <w:sz w:val="18"/>
        </w:rPr>
        <w:t xml:space="preserve"> </w:t>
      </w:r>
      <w:r>
        <w:rPr>
          <w:sz w:val="18"/>
        </w:rPr>
        <w:t xml:space="preserve">security </w:t>
      </w:r>
      <w:r>
        <w:rPr>
          <w:spacing w:val="-2"/>
          <w:sz w:val="18"/>
        </w:rPr>
        <w:t>payments;</w:t>
      </w:r>
    </w:p>
    <w:p w14:paraId="477AA53E" w14:textId="77777777" w:rsidR="006B5232" w:rsidRDefault="006B5232" w:rsidP="00706CA6">
      <w:pPr>
        <w:pStyle w:val="ListParagraph"/>
        <w:widowControl w:val="0"/>
        <w:numPr>
          <w:ilvl w:val="2"/>
          <w:numId w:val="158"/>
        </w:numPr>
        <w:tabs>
          <w:tab w:val="left" w:pos="2370"/>
          <w:tab w:val="left" w:pos="2371"/>
        </w:tabs>
        <w:autoSpaceDE w:val="0"/>
        <w:autoSpaceDN w:val="0"/>
        <w:spacing w:before="118" w:after="0"/>
        <w:ind w:right="119"/>
        <w:rPr>
          <w:sz w:val="18"/>
        </w:rPr>
      </w:pPr>
      <w:r>
        <w:rPr>
          <w:sz w:val="18"/>
        </w:rPr>
        <w:t>coercing</w:t>
      </w:r>
      <w:r>
        <w:rPr>
          <w:spacing w:val="29"/>
          <w:sz w:val="18"/>
        </w:rPr>
        <w:t xml:space="preserve"> </w:t>
      </w:r>
      <w:r>
        <w:rPr>
          <w:sz w:val="18"/>
        </w:rPr>
        <w:t>a</w:t>
      </w:r>
      <w:r>
        <w:rPr>
          <w:spacing w:val="28"/>
          <w:sz w:val="18"/>
        </w:rPr>
        <w:t xml:space="preserve"> </w:t>
      </w:r>
      <w:r>
        <w:rPr>
          <w:sz w:val="18"/>
        </w:rPr>
        <w:t>person</w:t>
      </w:r>
      <w:r>
        <w:rPr>
          <w:spacing w:val="28"/>
          <w:sz w:val="18"/>
        </w:rPr>
        <w:t xml:space="preserve"> </w:t>
      </w:r>
      <w:r>
        <w:rPr>
          <w:sz w:val="18"/>
        </w:rPr>
        <w:t>to</w:t>
      </w:r>
      <w:r>
        <w:rPr>
          <w:spacing w:val="29"/>
          <w:sz w:val="18"/>
        </w:rPr>
        <w:t xml:space="preserve"> </w:t>
      </w:r>
      <w:r>
        <w:rPr>
          <w:sz w:val="18"/>
        </w:rPr>
        <w:t>sign</w:t>
      </w:r>
      <w:r>
        <w:rPr>
          <w:spacing w:val="31"/>
          <w:sz w:val="18"/>
        </w:rPr>
        <w:t xml:space="preserve"> </w:t>
      </w:r>
      <w:r>
        <w:rPr>
          <w:sz w:val="18"/>
        </w:rPr>
        <w:t>a</w:t>
      </w:r>
      <w:r>
        <w:rPr>
          <w:spacing w:val="26"/>
          <w:sz w:val="18"/>
        </w:rPr>
        <w:t xml:space="preserve"> </w:t>
      </w:r>
      <w:r>
        <w:rPr>
          <w:sz w:val="18"/>
        </w:rPr>
        <w:t>power</w:t>
      </w:r>
      <w:r>
        <w:rPr>
          <w:spacing w:val="31"/>
          <w:sz w:val="18"/>
        </w:rPr>
        <w:t xml:space="preserve"> </w:t>
      </w:r>
      <w:r>
        <w:rPr>
          <w:sz w:val="18"/>
        </w:rPr>
        <w:t>of</w:t>
      </w:r>
      <w:r>
        <w:rPr>
          <w:spacing w:val="31"/>
          <w:sz w:val="18"/>
        </w:rPr>
        <w:t xml:space="preserve"> </w:t>
      </w:r>
      <w:r>
        <w:rPr>
          <w:sz w:val="18"/>
        </w:rPr>
        <w:t>attorney</w:t>
      </w:r>
      <w:r>
        <w:rPr>
          <w:spacing w:val="31"/>
          <w:sz w:val="18"/>
        </w:rPr>
        <w:t xml:space="preserve"> </w:t>
      </w:r>
      <w:r>
        <w:rPr>
          <w:sz w:val="18"/>
        </w:rPr>
        <w:t>that</w:t>
      </w:r>
      <w:r>
        <w:rPr>
          <w:spacing w:val="31"/>
          <w:sz w:val="18"/>
        </w:rPr>
        <w:t xml:space="preserve"> </w:t>
      </w:r>
      <w:r>
        <w:rPr>
          <w:sz w:val="18"/>
        </w:rPr>
        <w:t>would</w:t>
      </w:r>
      <w:r>
        <w:rPr>
          <w:spacing w:val="29"/>
          <w:sz w:val="18"/>
        </w:rPr>
        <w:t xml:space="preserve"> </w:t>
      </w:r>
      <w:r>
        <w:rPr>
          <w:sz w:val="18"/>
        </w:rPr>
        <w:t>enable</w:t>
      </w:r>
      <w:r>
        <w:rPr>
          <w:spacing w:val="28"/>
          <w:sz w:val="18"/>
        </w:rPr>
        <w:t xml:space="preserve"> </w:t>
      </w:r>
      <w:r>
        <w:rPr>
          <w:sz w:val="18"/>
        </w:rPr>
        <w:t>the</w:t>
      </w:r>
      <w:r>
        <w:rPr>
          <w:spacing w:val="29"/>
          <w:sz w:val="18"/>
        </w:rPr>
        <w:t xml:space="preserve"> </w:t>
      </w:r>
      <w:r>
        <w:rPr>
          <w:sz w:val="18"/>
        </w:rPr>
        <w:t>person's finances to be managed by another person;</w:t>
      </w:r>
    </w:p>
    <w:p w14:paraId="4722040E" w14:textId="77777777" w:rsidR="006B5232" w:rsidRDefault="006B5232" w:rsidP="00706CA6">
      <w:pPr>
        <w:pStyle w:val="ListParagraph"/>
        <w:widowControl w:val="0"/>
        <w:numPr>
          <w:ilvl w:val="2"/>
          <w:numId w:val="158"/>
        </w:numPr>
        <w:tabs>
          <w:tab w:val="left" w:pos="2370"/>
          <w:tab w:val="left" w:pos="2371"/>
        </w:tabs>
        <w:autoSpaceDE w:val="0"/>
        <w:autoSpaceDN w:val="0"/>
        <w:spacing w:before="120" w:after="0"/>
        <w:ind w:hanging="568"/>
        <w:rPr>
          <w:sz w:val="18"/>
        </w:rPr>
      </w:pPr>
      <w:r>
        <w:rPr>
          <w:sz w:val="18"/>
        </w:rPr>
        <w:t>coercing</w:t>
      </w:r>
      <w:r>
        <w:rPr>
          <w:spacing w:val="-6"/>
          <w:sz w:val="18"/>
        </w:rPr>
        <w:t xml:space="preserve"> </w:t>
      </w:r>
      <w:r>
        <w:rPr>
          <w:sz w:val="18"/>
        </w:rPr>
        <w:t>a</w:t>
      </w:r>
      <w:r>
        <w:rPr>
          <w:spacing w:val="-1"/>
          <w:sz w:val="18"/>
        </w:rPr>
        <w:t xml:space="preserve"> </w:t>
      </w:r>
      <w:r>
        <w:rPr>
          <w:sz w:val="18"/>
        </w:rPr>
        <w:t>person</w:t>
      </w:r>
      <w:r>
        <w:rPr>
          <w:spacing w:val="-1"/>
          <w:sz w:val="18"/>
        </w:rPr>
        <w:t xml:space="preserve"> </w:t>
      </w:r>
      <w:r>
        <w:rPr>
          <w:sz w:val="18"/>
        </w:rPr>
        <w:t>to</w:t>
      </w:r>
      <w:r>
        <w:rPr>
          <w:spacing w:val="-3"/>
          <w:sz w:val="18"/>
        </w:rPr>
        <w:t xml:space="preserve"> </w:t>
      </w:r>
      <w:r>
        <w:rPr>
          <w:sz w:val="18"/>
        </w:rPr>
        <w:t>sign</w:t>
      </w:r>
      <w:r>
        <w:rPr>
          <w:spacing w:val="-1"/>
          <w:sz w:val="18"/>
        </w:rPr>
        <w:t xml:space="preserve"> </w:t>
      </w:r>
      <w:r>
        <w:rPr>
          <w:sz w:val="18"/>
        </w:rPr>
        <w:t>a</w:t>
      </w:r>
      <w:r>
        <w:rPr>
          <w:spacing w:val="-3"/>
          <w:sz w:val="18"/>
        </w:rPr>
        <w:t xml:space="preserve"> </w:t>
      </w:r>
      <w:r>
        <w:rPr>
          <w:sz w:val="18"/>
        </w:rPr>
        <w:t>contract</w:t>
      </w:r>
      <w:r>
        <w:rPr>
          <w:spacing w:val="-3"/>
          <w:sz w:val="18"/>
        </w:rPr>
        <w:t xml:space="preserve"> </w:t>
      </w:r>
      <w:r>
        <w:rPr>
          <w:sz w:val="18"/>
        </w:rPr>
        <w:t>for</w:t>
      </w:r>
      <w:r>
        <w:rPr>
          <w:spacing w:val="-1"/>
          <w:sz w:val="18"/>
        </w:rPr>
        <w:t xml:space="preserve"> </w:t>
      </w:r>
      <w:r>
        <w:rPr>
          <w:sz w:val="18"/>
        </w:rPr>
        <w:t>the</w:t>
      </w:r>
      <w:r>
        <w:rPr>
          <w:spacing w:val="-1"/>
          <w:sz w:val="18"/>
        </w:rPr>
        <w:t xml:space="preserve"> </w:t>
      </w:r>
      <w:r>
        <w:rPr>
          <w:sz w:val="18"/>
        </w:rPr>
        <w:t>purchase</w:t>
      </w:r>
      <w:r>
        <w:rPr>
          <w:spacing w:val="-1"/>
          <w:sz w:val="18"/>
        </w:rPr>
        <w:t xml:space="preserve"> </w:t>
      </w:r>
      <w:r>
        <w:rPr>
          <w:sz w:val="18"/>
        </w:rPr>
        <w:t>of</w:t>
      </w:r>
      <w:r>
        <w:rPr>
          <w:spacing w:val="-3"/>
          <w:sz w:val="18"/>
        </w:rPr>
        <w:t xml:space="preserve"> </w:t>
      </w:r>
      <w:r>
        <w:rPr>
          <w:sz w:val="18"/>
        </w:rPr>
        <w:t>goods or</w:t>
      </w:r>
      <w:r>
        <w:rPr>
          <w:spacing w:val="-3"/>
          <w:sz w:val="18"/>
        </w:rPr>
        <w:t xml:space="preserve"> </w:t>
      </w:r>
      <w:r>
        <w:rPr>
          <w:spacing w:val="-2"/>
          <w:sz w:val="18"/>
        </w:rPr>
        <w:t>services;</w:t>
      </w:r>
    </w:p>
    <w:p w14:paraId="7F026054" w14:textId="77777777" w:rsidR="006B5232" w:rsidRDefault="006B5232" w:rsidP="00706CA6">
      <w:pPr>
        <w:pStyle w:val="ListParagraph"/>
        <w:widowControl w:val="0"/>
        <w:numPr>
          <w:ilvl w:val="2"/>
          <w:numId w:val="158"/>
        </w:numPr>
        <w:tabs>
          <w:tab w:val="left" w:pos="2370"/>
          <w:tab w:val="left" w:pos="2371"/>
        </w:tabs>
        <w:autoSpaceDE w:val="0"/>
        <w:autoSpaceDN w:val="0"/>
        <w:spacing w:before="118" w:after="0"/>
        <w:ind w:hanging="568"/>
        <w:rPr>
          <w:sz w:val="18"/>
        </w:rPr>
      </w:pPr>
      <w:r>
        <w:rPr>
          <w:sz w:val="18"/>
        </w:rPr>
        <w:t>coercing</w:t>
      </w:r>
      <w:r>
        <w:rPr>
          <w:spacing w:val="-4"/>
          <w:sz w:val="18"/>
        </w:rPr>
        <w:t xml:space="preserve"> </w:t>
      </w:r>
      <w:r>
        <w:rPr>
          <w:sz w:val="18"/>
        </w:rPr>
        <w:t>a</w:t>
      </w:r>
      <w:r>
        <w:rPr>
          <w:spacing w:val="-1"/>
          <w:sz w:val="18"/>
        </w:rPr>
        <w:t xml:space="preserve"> </w:t>
      </w:r>
      <w:r>
        <w:rPr>
          <w:sz w:val="18"/>
        </w:rPr>
        <w:t>person</w:t>
      </w:r>
      <w:r>
        <w:rPr>
          <w:spacing w:val="-1"/>
          <w:sz w:val="18"/>
        </w:rPr>
        <w:t xml:space="preserve"> </w:t>
      </w:r>
      <w:r>
        <w:rPr>
          <w:sz w:val="18"/>
        </w:rPr>
        <w:t>to</w:t>
      </w:r>
      <w:r>
        <w:rPr>
          <w:spacing w:val="-3"/>
          <w:sz w:val="18"/>
        </w:rPr>
        <w:t xml:space="preserve"> </w:t>
      </w:r>
      <w:r>
        <w:rPr>
          <w:sz w:val="18"/>
        </w:rPr>
        <w:t>sign</w:t>
      </w:r>
      <w:r>
        <w:rPr>
          <w:spacing w:val="-1"/>
          <w:sz w:val="18"/>
        </w:rPr>
        <w:t xml:space="preserve"> </w:t>
      </w:r>
      <w:r>
        <w:rPr>
          <w:sz w:val="18"/>
        </w:rPr>
        <w:t>a</w:t>
      </w:r>
      <w:r>
        <w:rPr>
          <w:spacing w:val="-4"/>
          <w:sz w:val="18"/>
        </w:rPr>
        <w:t xml:space="preserve"> </w:t>
      </w:r>
      <w:r>
        <w:rPr>
          <w:sz w:val="18"/>
        </w:rPr>
        <w:t>contract</w:t>
      </w:r>
      <w:r>
        <w:rPr>
          <w:spacing w:val="-3"/>
          <w:sz w:val="18"/>
        </w:rPr>
        <w:t xml:space="preserve"> </w:t>
      </w:r>
      <w:r>
        <w:rPr>
          <w:sz w:val="18"/>
        </w:rPr>
        <w:t>for</w:t>
      </w:r>
      <w:r>
        <w:rPr>
          <w:spacing w:val="-1"/>
          <w:sz w:val="18"/>
        </w:rPr>
        <w:t xml:space="preserve"> </w:t>
      </w:r>
      <w:r>
        <w:rPr>
          <w:sz w:val="18"/>
        </w:rPr>
        <w:t>the</w:t>
      </w:r>
      <w:r>
        <w:rPr>
          <w:spacing w:val="-1"/>
          <w:sz w:val="18"/>
        </w:rPr>
        <w:t xml:space="preserve"> </w:t>
      </w:r>
      <w:r>
        <w:rPr>
          <w:sz w:val="18"/>
        </w:rPr>
        <w:t>provision</w:t>
      </w:r>
      <w:r>
        <w:rPr>
          <w:spacing w:val="-1"/>
          <w:sz w:val="18"/>
        </w:rPr>
        <w:t xml:space="preserve"> </w:t>
      </w:r>
      <w:r>
        <w:rPr>
          <w:sz w:val="18"/>
        </w:rPr>
        <w:t>of</w:t>
      </w:r>
      <w:r>
        <w:rPr>
          <w:spacing w:val="-2"/>
          <w:sz w:val="18"/>
        </w:rPr>
        <w:t xml:space="preserve"> </w:t>
      </w:r>
      <w:r>
        <w:rPr>
          <w:sz w:val="18"/>
        </w:rPr>
        <w:t>finance,</w:t>
      </w:r>
      <w:r>
        <w:rPr>
          <w:spacing w:val="-1"/>
          <w:sz w:val="18"/>
        </w:rPr>
        <w:t xml:space="preserve"> </w:t>
      </w:r>
      <w:r>
        <w:rPr>
          <w:sz w:val="18"/>
        </w:rPr>
        <w:t>a</w:t>
      </w:r>
      <w:r>
        <w:rPr>
          <w:spacing w:val="-3"/>
          <w:sz w:val="18"/>
        </w:rPr>
        <w:t xml:space="preserve"> </w:t>
      </w:r>
      <w:r>
        <w:rPr>
          <w:sz w:val="18"/>
        </w:rPr>
        <w:t>loan</w:t>
      </w:r>
      <w:r>
        <w:rPr>
          <w:spacing w:val="-1"/>
          <w:sz w:val="18"/>
        </w:rPr>
        <w:t xml:space="preserve"> </w:t>
      </w:r>
      <w:r>
        <w:rPr>
          <w:sz w:val="18"/>
        </w:rPr>
        <w:t>or</w:t>
      </w:r>
      <w:r>
        <w:rPr>
          <w:spacing w:val="-3"/>
          <w:sz w:val="18"/>
        </w:rPr>
        <w:t xml:space="preserve"> </w:t>
      </w:r>
      <w:r>
        <w:rPr>
          <w:spacing w:val="-2"/>
          <w:sz w:val="18"/>
        </w:rPr>
        <w:t>credit;</w:t>
      </w:r>
    </w:p>
    <w:p w14:paraId="19366F27" w14:textId="77777777" w:rsidR="006B5232" w:rsidRDefault="006B5232" w:rsidP="00706CA6">
      <w:pPr>
        <w:pStyle w:val="ListParagraph"/>
        <w:widowControl w:val="0"/>
        <w:numPr>
          <w:ilvl w:val="2"/>
          <w:numId w:val="158"/>
        </w:numPr>
        <w:tabs>
          <w:tab w:val="left" w:pos="2370"/>
          <w:tab w:val="left" w:pos="2371"/>
        </w:tabs>
        <w:autoSpaceDE w:val="0"/>
        <w:autoSpaceDN w:val="0"/>
        <w:spacing w:before="118" w:after="0"/>
        <w:ind w:hanging="568"/>
        <w:rPr>
          <w:sz w:val="18"/>
        </w:rPr>
      </w:pPr>
      <w:r>
        <w:rPr>
          <w:sz w:val="18"/>
        </w:rPr>
        <w:t>coercing</w:t>
      </w:r>
      <w:r>
        <w:rPr>
          <w:spacing w:val="-3"/>
          <w:sz w:val="18"/>
        </w:rPr>
        <w:t xml:space="preserve"> </w:t>
      </w:r>
      <w:r>
        <w:rPr>
          <w:sz w:val="18"/>
        </w:rPr>
        <w:t>a</w:t>
      </w:r>
      <w:r>
        <w:rPr>
          <w:spacing w:val="-1"/>
          <w:sz w:val="18"/>
        </w:rPr>
        <w:t xml:space="preserve"> </w:t>
      </w:r>
      <w:r>
        <w:rPr>
          <w:sz w:val="18"/>
        </w:rPr>
        <w:t>person to</w:t>
      </w:r>
      <w:r>
        <w:rPr>
          <w:spacing w:val="-3"/>
          <w:sz w:val="18"/>
        </w:rPr>
        <w:t xml:space="preserve"> </w:t>
      </w:r>
      <w:r>
        <w:rPr>
          <w:sz w:val="18"/>
        </w:rPr>
        <w:t>sign</w:t>
      </w:r>
      <w:r>
        <w:rPr>
          <w:spacing w:val="-1"/>
          <w:sz w:val="18"/>
        </w:rPr>
        <w:t xml:space="preserve"> </w:t>
      </w:r>
      <w:r>
        <w:rPr>
          <w:sz w:val="18"/>
        </w:rPr>
        <w:t>a</w:t>
      </w:r>
      <w:r>
        <w:rPr>
          <w:spacing w:val="-2"/>
          <w:sz w:val="18"/>
        </w:rPr>
        <w:t xml:space="preserve"> </w:t>
      </w:r>
      <w:r>
        <w:rPr>
          <w:sz w:val="18"/>
        </w:rPr>
        <w:t>contract</w:t>
      </w:r>
      <w:r>
        <w:rPr>
          <w:spacing w:val="-3"/>
          <w:sz w:val="18"/>
        </w:rPr>
        <w:t xml:space="preserve"> </w:t>
      </w:r>
      <w:r>
        <w:rPr>
          <w:sz w:val="18"/>
        </w:rPr>
        <w:t xml:space="preserve">of </w:t>
      </w:r>
      <w:r>
        <w:rPr>
          <w:spacing w:val="-2"/>
          <w:sz w:val="18"/>
        </w:rPr>
        <w:t>guarantee;</w:t>
      </w:r>
    </w:p>
    <w:p w14:paraId="5852EFBA" w14:textId="77777777" w:rsidR="006B5232" w:rsidRDefault="006B5232" w:rsidP="00706CA6">
      <w:pPr>
        <w:pStyle w:val="ListParagraph"/>
        <w:widowControl w:val="0"/>
        <w:numPr>
          <w:ilvl w:val="2"/>
          <w:numId w:val="158"/>
        </w:numPr>
        <w:tabs>
          <w:tab w:val="left" w:pos="2370"/>
          <w:tab w:val="left" w:pos="2371"/>
        </w:tabs>
        <w:autoSpaceDE w:val="0"/>
        <w:autoSpaceDN w:val="0"/>
        <w:spacing w:before="120" w:after="0"/>
        <w:ind w:right="122"/>
        <w:rPr>
          <w:sz w:val="18"/>
        </w:rPr>
      </w:pPr>
      <w:r>
        <w:rPr>
          <w:sz w:val="18"/>
        </w:rPr>
        <w:t>coercing a person to sign any legal document for the establishment or operation</w:t>
      </w:r>
      <w:r>
        <w:rPr>
          <w:spacing w:val="40"/>
          <w:sz w:val="18"/>
        </w:rPr>
        <w:t xml:space="preserve"> </w:t>
      </w:r>
      <w:r>
        <w:rPr>
          <w:sz w:val="18"/>
        </w:rPr>
        <w:t>of a business.</w:t>
      </w:r>
    </w:p>
    <w:p w14:paraId="00C39422" w14:textId="77777777" w:rsidR="006B5232" w:rsidRDefault="006B5232" w:rsidP="006B5232">
      <w:pPr>
        <w:rPr>
          <w:sz w:val="18"/>
        </w:rPr>
        <w:sectPr w:rsidR="006B5232">
          <w:pgSz w:w="11910" w:h="16840"/>
          <w:pgMar w:top="1320" w:right="1300" w:bottom="480" w:left="1600" w:header="0" w:footer="282" w:gutter="0"/>
          <w:cols w:space="720"/>
        </w:sectPr>
      </w:pPr>
    </w:p>
    <w:p w14:paraId="7BB2EB0D" w14:textId="7BF4F6A0" w:rsidR="006B5232" w:rsidRPr="006B5232" w:rsidRDefault="006B5232" w:rsidP="006B5232">
      <w:pPr>
        <w:pStyle w:val="Heading4"/>
        <w:numPr>
          <w:ilvl w:val="0"/>
          <w:numId w:val="0"/>
        </w:numPr>
      </w:pPr>
      <w:bookmarkStart w:id="137" w:name="_bookmark2"/>
      <w:bookmarkEnd w:id="137"/>
      <w:r>
        <w:lastRenderedPageBreak/>
        <w:t>Meaning</w:t>
      </w:r>
      <w:r>
        <w:rPr>
          <w:spacing w:val="-4"/>
        </w:rPr>
        <w:t xml:space="preserve"> </w:t>
      </w:r>
      <w:r>
        <w:t>of</w:t>
      </w:r>
      <w:r>
        <w:rPr>
          <w:spacing w:val="-4"/>
        </w:rPr>
        <w:t xml:space="preserve"> </w:t>
      </w:r>
      <w:r>
        <w:t>emotional</w:t>
      </w:r>
      <w:r>
        <w:rPr>
          <w:spacing w:val="-3"/>
        </w:rPr>
        <w:t xml:space="preserve"> </w:t>
      </w:r>
      <w:r>
        <w:t>or</w:t>
      </w:r>
      <w:r>
        <w:rPr>
          <w:spacing w:val="-3"/>
        </w:rPr>
        <w:t xml:space="preserve"> </w:t>
      </w:r>
      <w:r>
        <w:t>psychological</w:t>
      </w:r>
      <w:r>
        <w:rPr>
          <w:spacing w:val="-1"/>
        </w:rPr>
        <w:t xml:space="preserve"> </w:t>
      </w:r>
      <w:r>
        <w:rPr>
          <w:spacing w:val="-2"/>
        </w:rPr>
        <w:t>abuse</w:t>
      </w:r>
    </w:p>
    <w:p w14:paraId="3386A2A4" w14:textId="46D1F1D6" w:rsidR="006B5232" w:rsidRDefault="006B5232" w:rsidP="00706CA6">
      <w:pPr>
        <w:pStyle w:val="ListParagraph"/>
        <w:widowControl w:val="0"/>
        <w:numPr>
          <w:ilvl w:val="0"/>
          <w:numId w:val="157"/>
        </w:numPr>
        <w:tabs>
          <w:tab w:val="left" w:pos="669"/>
        </w:tabs>
        <w:autoSpaceDE w:val="0"/>
        <w:autoSpaceDN w:val="0"/>
        <w:spacing w:after="0"/>
        <w:ind w:right="200"/>
        <w:jc w:val="both"/>
      </w:pPr>
      <w:r>
        <w:t>For</w:t>
      </w:r>
      <w:r>
        <w:rPr>
          <w:spacing w:val="-1"/>
        </w:rPr>
        <w:t xml:space="preserve"> </w:t>
      </w:r>
      <w:r>
        <w:t>the purposes</w:t>
      </w:r>
      <w:r>
        <w:rPr>
          <w:spacing w:val="-2"/>
        </w:rPr>
        <w:t xml:space="preserve"> </w:t>
      </w:r>
      <w:r>
        <w:t>of</w:t>
      </w:r>
      <w:r>
        <w:rPr>
          <w:spacing w:val="-1"/>
        </w:rPr>
        <w:t xml:space="preserve"> </w:t>
      </w:r>
      <w:r>
        <w:t>this</w:t>
      </w:r>
      <w:r>
        <w:rPr>
          <w:spacing w:val="-2"/>
        </w:rPr>
        <w:t xml:space="preserve"> </w:t>
      </w:r>
      <w:r>
        <w:t>Act,</w:t>
      </w:r>
      <w:r>
        <w:rPr>
          <w:spacing w:val="-1"/>
        </w:rPr>
        <w:t xml:space="preserve"> </w:t>
      </w:r>
      <w:r>
        <w:t>emotional</w:t>
      </w:r>
      <w:r>
        <w:rPr>
          <w:spacing w:val="-1"/>
        </w:rPr>
        <w:t xml:space="preserve"> </w:t>
      </w:r>
      <w:r>
        <w:t>or</w:t>
      </w:r>
      <w:r>
        <w:rPr>
          <w:spacing w:val="-1"/>
        </w:rPr>
        <w:t xml:space="preserve"> </w:t>
      </w:r>
      <w:r>
        <w:t>psychological</w:t>
      </w:r>
      <w:r>
        <w:rPr>
          <w:spacing w:val="-1"/>
        </w:rPr>
        <w:t xml:space="preserve"> </w:t>
      </w:r>
      <w:r>
        <w:t>abuse means</w:t>
      </w:r>
      <w:r>
        <w:rPr>
          <w:spacing w:val="-2"/>
        </w:rPr>
        <w:t xml:space="preserve"> </w:t>
      </w:r>
      <w:r>
        <w:t>behaviour by a</w:t>
      </w:r>
      <w:r>
        <w:rPr>
          <w:spacing w:val="-3"/>
        </w:rPr>
        <w:t xml:space="preserve"> </w:t>
      </w:r>
      <w:r>
        <w:t>person</w:t>
      </w:r>
      <w:r>
        <w:rPr>
          <w:spacing w:val="-5"/>
        </w:rPr>
        <w:t xml:space="preserve"> </w:t>
      </w:r>
      <w:r>
        <w:t>towards</w:t>
      </w:r>
      <w:r>
        <w:rPr>
          <w:spacing w:val="-3"/>
        </w:rPr>
        <w:t xml:space="preserve"> </w:t>
      </w:r>
      <w:r>
        <w:t>another</w:t>
      </w:r>
      <w:r>
        <w:rPr>
          <w:spacing w:val="-2"/>
        </w:rPr>
        <w:t xml:space="preserve"> </w:t>
      </w:r>
      <w:r>
        <w:t>person</w:t>
      </w:r>
      <w:r>
        <w:rPr>
          <w:spacing w:val="-5"/>
        </w:rPr>
        <w:t xml:space="preserve"> </w:t>
      </w:r>
      <w:r>
        <w:t>that</w:t>
      </w:r>
      <w:r>
        <w:rPr>
          <w:spacing w:val="-4"/>
        </w:rPr>
        <w:t xml:space="preserve"> </w:t>
      </w:r>
      <w:r>
        <w:t>torments, coerces,</w:t>
      </w:r>
      <w:r>
        <w:rPr>
          <w:spacing w:val="-4"/>
        </w:rPr>
        <w:t xml:space="preserve"> </w:t>
      </w:r>
      <w:r>
        <w:t>intimidates,</w:t>
      </w:r>
      <w:r>
        <w:rPr>
          <w:spacing w:val="-4"/>
        </w:rPr>
        <w:t xml:space="preserve"> </w:t>
      </w:r>
      <w:r>
        <w:t>harasses</w:t>
      </w:r>
      <w:r>
        <w:rPr>
          <w:spacing w:val="-3"/>
        </w:rPr>
        <w:t xml:space="preserve"> </w:t>
      </w:r>
      <w:r>
        <w:t>or</w:t>
      </w:r>
      <w:r>
        <w:rPr>
          <w:spacing w:val="-2"/>
        </w:rPr>
        <w:t xml:space="preserve"> </w:t>
      </w:r>
      <w:r>
        <w:t>is offensive to the other person.</w:t>
      </w:r>
    </w:p>
    <w:p w14:paraId="7F37664C" w14:textId="77777777" w:rsidR="006B5232" w:rsidRPr="006B5232" w:rsidRDefault="006B5232" w:rsidP="006B5232">
      <w:pPr>
        <w:pStyle w:val="ListParagraph"/>
        <w:widowControl w:val="0"/>
        <w:tabs>
          <w:tab w:val="left" w:pos="669"/>
        </w:tabs>
        <w:autoSpaceDE w:val="0"/>
        <w:autoSpaceDN w:val="0"/>
        <w:spacing w:after="0"/>
        <w:ind w:left="668" w:right="200"/>
        <w:jc w:val="both"/>
      </w:pPr>
    </w:p>
    <w:p w14:paraId="4F1A42D9" w14:textId="77777777" w:rsidR="006B5232" w:rsidRDefault="006B5232" w:rsidP="006B5232">
      <w:pPr>
        <w:ind w:left="1234"/>
        <w:rPr>
          <w:b/>
          <w:sz w:val="18"/>
        </w:rPr>
      </w:pPr>
      <w:r>
        <w:rPr>
          <w:b/>
          <w:sz w:val="18"/>
        </w:rPr>
        <w:t>Examples</w:t>
      </w:r>
      <w:r>
        <w:rPr>
          <w:b/>
          <w:spacing w:val="-2"/>
          <w:sz w:val="18"/>
        </w:rPr>
        <w:t xml:space="preserve"> </w:t>
      </w:r>
      <w:r>
        <w:rPr>
          <w:b/>
          <w:sz w:val="18"/>
        </w:rPr>
        <w:t>include</w:t>
      </w:r>
      <w:r>
        <w:rPr>
          <w:b/>
          <w:spacing w:val="-3"/>
          <w:sz w:val="18"/>
        </w:rPr>
        <w:t xml:space="preserve"> </w:t>
      </w:r>
      <w:r>
        <w:rPr>
          <w:b/>
          <w:sz w:val="18"/>
        </w:rPr>
        <w:t>but</w:t>
      </w:r>
      <w:r>
        <w:rPr>
          <w:b/>
          <w:spacing w:val="-1"/>
          <w:sz w:val="18"/>
        </w:rPr>
        <w:t xml:space="preserve"> </w:t>
      </w:r>
      <w:r>
        <w:rPr>
          <w:b/>
          <w:sz w:val="18"/>
        </w:rPr>
        <w:t>are</w:t>
      </w:r>
      <w:r>
        <w:rPr>
          <w:b/>
          <w:spacing w:val="-1"/>
          <w:sz w:val="18"/>
        </w:rPr>
        <w:t xml:space="preserve"> </w:t>
      </w:r>
      <w:r>
        <w:rPr>
          <w:b/>
          <w:sz w:val="18"/>
        </w:rPr>
        <w:t>not</w:t>
      </w:r>
      <w:r>
        <w:rPr>
          <w:b/>
          <w:spacing w:val="-1"/>
          <w:sz w:val="18"/>
        </w:rPr>
        <w:t xml:space="preserve"> </w:t>
      </w:r>
      <w:r>
        <w:rPr>
          <w:b/>
          <w:sz w:val="18"/>
        </w:rPr>
        <w:t>limited</w:t>
      </w:r>
      <w:r>
        <w:rPr>
          <w:b/>
          <w:spacing w:val="-3"/>
          <w:sz w:val="18"/>
        </w:rPr>
        <w:t xml:space="preserve"> </w:t>
      </w:r>
      <w:r>
        <w:rPr>
          <w:b/>
          <w:spacing w:val="-5"/>
          <w:sz w:val="18"/>
        </w:rPr>
        <w:t>to—</w:t>
      </w:r>
    </w:p>
    <w:p w14:paraId="3D834D6F" w14:textId="77777777" w:rsidR="006B5232" w:rsidRDefault="006B5232" w:rsidP="00706CA6">
      <w:pPr>
        <w:pStyle w:val="ListParagraph"/>
        <w:widowControl w:val="0"/>
        <w:numPr>
          <w:ilvl w:val="1"/>
          <w:numId w:val="157"/>
        </w:numPr>
        <w:tabs>
          <w:tab w:val="left" w:pos="2370"/>
          <w:tab w:val="left" w:pos="2371"/>
        </w:tabs>
        <w:autoSpaceDE w:val="0"/>
        <w:autoSpaceDN w:val="0"/>
        <w:spacing w:before="122" w:after="0"/>
        <w:ind w:hanging="568"/>
        <w:rPr>
          <w:sz w:val="18"/>
        </w:rPr>
      </w:pPr>
      <w:r>
        <w:rPr>
          <w:sz w:val="18"/>
        </w:rPr>
        <w:t>repeated</w:t>
      </w:r>
      <w:r>
        <w:rPr>
          <w:spacing w:val="-3"/>
          <w:sz w:val="18"/>
        </w:rPr>
        <w:t xml:space="preserve"> </w:t>
      </w:r>
      <w:r>
        <w:rPr>
          <w:sz w:val="18"/>
        </w:rPr>
        <w:t>derogatory</w:t>
      </w:r>
      <w:r>
        <w:rPr>
          <w:spacing w:val="-5"/>
          <w:sz w:val="18"/>
        </w:rPr>
        <w:t xml:space="preserve"> </w:t>
      </w:r>
      <w:r>
        <w:rPr>
          <w:sz w:val="18"/>
        </w:rPr>
        <w:t>taunts,</w:t>
      </w:r>
      <w:r>
        <w:rPr>
          <w:spacing w:val="-4"/>
          <w:sz w:val="18"/>
        </w:rPr>
        <w:t xml:space="preserve"> </w:t>
      </w:r>
      <w:r>
        <w:rPr>
          <w:sz w:val="18"/>
        </w:rPr>
        <w:t>including</w:t>
      </w:r>
      <w:r>
        <w:rPr>
          <w:spacing w:val="-3"/>
          <w:sz w:val="18"/>
        </w:rPr>
        <w:t xml:space="preserve"> </w:t>
      </w:r>
      <w:r>
        <w:rPr>
          <w:sz w:val="18"/>
        </w:rPr>
        <w:t>racial</w:t>
      </w:r>
      <w:r>
        <w:rPr>
          <w:spacing w:val="-4"/>
          <w:sz w:val="18"/>
        </w:rPr>
        <w:t xml:space="preserve"> </w:t>
      </w:r>
      <w:r>
        <w:rPr>
          <w:spacing w:val="-2"/>
          <w:sz w:val="18"/>
        </w:rPr>
        <w:t>taunts;</w:t>
      </w:r>
    </w:p>
    <w:p w14:paraId="713E638D" w14:textId="77777777" w:rsidR="006B5232" w:rsidRDefault="006B5232" w:rsidP="00706CA6">
      <w:pPr>
        <w:pStyle w:val="ListParagraph"/>
        <w:widowControl w:val="0"/>
        <w:numPr>
          <w:ilvl w:val="1"/>
          <w:numId w:val="157"/>
        </w:numPr>
        <w:tabs>
          <w:tab w:val="left" w:pos="2370"/>
          <w:tab w:val="left" w:pos="2371"/>
        </w:tabs>
        <w:autoSpaceDE w:val="0"/>
        <w:autoSpaceDN w:val="0"/>
        <w:spacing w:before="118" w:after="0"/>
        <w:ind w:right="119"/>
        <w:jc w:val="both"/>
        <w:rPr>
          <w:sz w:val="18"/>
        </w:rPr>
      </w:pPr>
      <w:r>
        <w:rPr>
          <w:sz w:val="18"/>
        </w:rPr>
        <w:t>threatening to disclose a person's sexual orientation to the person's friends or family against the person's wishes;</w:t>
      </w:r>
    </w:p>
    <w:p w14:paraId="017E1C53" w14:textId="77777777" w:rsidR="006B5232" w:rsidRDefault="006B5232" w:rsidP="00706CA6">
      <w:pPr>
        <w:pStyle w:val="ListParagraph"/>
        <w:widowControl w:val="0"/>
        <w:numPr>
          <w:ilvl w:val="1"/>
          <w:numId w:val="157"/>
        </w:numPr>
        <w:tabs>
          <w:tab w:val="left" w:pos="2370"/>
          <w:tab w:val="left" w:pos="2371"/>
        </w:tabs>
        <w:autoSpaceDE w:val="0"/>
        <w:autoSpaceDN w:val="0"/>
        <w:spacing w:before="120" w:after="0"/>
        <w:ind w:right="114"/>
        <w:jc w:val="both"/>
        <w:rPr>
          <w:sz w:val="18"/>
        </w:rPr>
      </w:pPr>
      <w:r>
        <w:rPr>
          <w:sz w:val="18"/>
        </w:rPr>
        <w:t>threatening to disclose personal information to a person’s employer or at a person’s workplace;</w:t>
      </w:r>
    </w:p>
    <w:p w14:paraId="5E11589E" w14:textId="77777777" w:rsidR="006B5232" w:rsidRDefault="006B5232" w:rsidP="00706CA6">
      <w:pPr>
        <w:pStyle w:val="ListParagraph"/>
        <w:widowControl w:val="0"/>
        <w:numPr>
          <w:ilvl w:val="1"/>
          <w:numId w:val="157"/>
        </w:numPr>
        <w:tabs>
          <w:tab w:val="left" w:pos="2370"/>
          <w:tab w:val="left" w:pos="2371"/>
        </w:tabs>
        <w:autoSpaceDE w:val="0"/>
        <w:autoSpaceDN w:val="0"/>
        <w:spacing w:before="117" w:after="0"/>
        <w:ind w:hanging="568"/>
        <w:rPr>
          <w:sz w:val="18"/>
        </w:rPr>
      </w:pPr>
      <w:r>
        <w:rPr>
          <w:sz w:val="18"/>
        </w:rPr>
        <w:t>threatening</w:t>
      </w:r>
      <w:r>
        <w:rPr>
          <w:spacing w:val="-4"/>
          <w:sz w:val="18"/>
        </w:rPr>
        <w:t xml:space="preserve"> </w:t>
      </w:r>
      <w:r>
        <w:rPr>
          <w:sz w:val="18"/>
        </w:rPr>
        <w:t>to</w:t>
      </w:r>
      <w:r>
        <w:rPr>
          <w:spacing w:val="-3"/>
          <w:sz w:val="18"/>
        </w:rPr>
        <w:t xml:space="preserve"> </w:t>
      </w:r>
      <w:r>
        <w:rPr>
          <w:sz w:val="18"/>
        </w:rPr>
        <w:t>withhold</w:t>
      </w:r>
      <w:r>
        <w:rPr>
          <w:spacing w:val="-4"/>
          <w:sz w:val="18"/>
        </w:rPr>
        <w:t xml:space="preserve"> </w:t>
      </w:r>
      <w:r>
        <w:rPr>
          <w:sz w:val="18"/>
        </w:rPr>
        <w:t>a</w:t>
      </w:r>
      <w:r>
        <w:rPr>
          <w:spacing w:val="-3"/>
          <w:sz w:val="18"/>
        </w:rPr>
        <w:t xml:space="preserve"> </w:t>
      </w:r>
      <w:r>
        <w:rPr>
          <w:sz w:val="18"/>
        </w:rPr>
        <w:t>person's</w:t>
      </w:r>
      <w:r>
        <w:rPr>
          <w:spacing w:val="-2"/>
          <w:sz w:val="18"/>
        </w:rPr>
        <w:t xml:space="preserve"> medication;</w:t>
      </w:r>
    </w:p>
    <w:p w14:paraId="5A8195A4" w14:textId="77777777" w:rsidR="006B5232" w:rsidRDefault="006B5232" w:rsidP="00706CA6">
      <w:pPr>
        <w:pStyle w:val="ListParagraph"/>
        <w:widowControl w:val="0"/>
        <w:numPr>
          <w:ilvl w:val="1"/>
          <w:numId w:val="157"/>
        </w:numPr>
        <w:tabs>
          <w:tab w:val="left" w:pos="2370"/>
          <w:tab w:val="left" w:pos="2371"/>
        </w:tabs>
        <w:autoSpaceDE w:val="0"/>
        <w:autoSpaceDN w:val="0"/>
        <w:spacing w:before="118" w:after="0"/>
        <w:ind w:right="118"/>
        <w:jc w:val="both"/>
        <w:rPr>
          <w:sz w:val="18"/>
        </w:rPr>
      </w:pPr>
      <w:r>
        <w:rPr>
          <w:sz w:val="18"/>
        </w:rPr>
        <w:t>preventing a</w:t>
      </w:r>
      <w:r>
        <w:rPr>
          <w:spacing w:val="-3"/>
          <w:sz w:val="18"/>
        </w:rPr>
        <w:t xml:space="preserve"> </w:t>
      </w:r>
      <w:r>
        <w:rPr>
          <w:sz w:val="18"/>
        </w:rPr>
        <w:t>person</w:t>
      </w:r>
      <w:r>
        <w:rPr>
          <w:spacing w:val="-3"/>
          <w:sz w:val="18"/>
        </w:rPr>
        <w:t xml:space="preserve"> </w:t>
      </w:r>
      <w:r>
        <w:rPr>
          <w:sz w:val="18"/>
        </w:rPr>
        <w:t>from</w:t>
      </w:r>
      <w:r>
        <w:rPr>
          <w:spacing w:val="-2"/>
          <w:sz w:val="18"/>
        </w:rPr>
        <w:t xml:space="preserve"> </w:t>
      </w:r>
      <w:r>
        <w:rPr>
          <w:sz w:val="18"/>
        </w:rPr>
        <w:t>making or</w:t>
      </w:r>
      <w:r>
        <w:rPr>
          <w:spacing w:val="-3"/>
          <w:sz w:val="18"/>
        </w:rPr>
        <w:t xml:space="preserve"> </w:t>
      </w:r>
      <w:r>
        <w:rPr>
          <w:sz w:val="18"/>
        </w:rPr>
        <w:t>keeping</w:t>
      </w:r>
      <w:r>
        <w:rPr>
          <w:spacing w:val="-3"/>
          <w:sz w:val="18"/>
        </w:rPr>
        <w:t xml:space="preserve"> </w:t>
      </w:r>
      <w:r>
        <w:rPr>
          <w:sz w:val="18"/>
        </w:rPr>
        <w:t>connections with the</w:t>
      </w:r>
      <w:r>
        <w:rPr>
          <w:spacing w:val="-3"/>
          <w:sz w:val="18"/>
        </w:rPr>
        <w:t xml:space="preserve"> </w:t>
      </w:r>
      <w:r>
        <w:rPr>
          <w:sz w:val="18"/>
        </w:rPr>
        <w:t>person's family, friends or culture, including cultural or spiritual ceremonies or practices, or preventing the person from expressing the person's cultural identity;</w:t>
      </w:r>
    </w:p>
    <w:p w14:paraId="38569DA1" w14:textId="77777777" w:rsidR="006B5232" w:rsidRDefault="006B5232" w:rsidP="00706CA6">
      <w:pPr>
        <w:pStyle w:val="ListParagraph"/>
        <w:widowControl w:val="0"/>
        <w:numPr>
          <w:ilvl w:val="1"/>
          <w:numId w:val="157"/>
        </w:numPr>
        <w:tabs>
          <w:tab w:val="left" w:pos="2370"/>
          <w:tab w:val="left" w:pos="2371"/>
        </w:tabs>
        <w:autoSpaceDE w:val="0"/>
        <w:autoSpaceDN w:val="0"/>
        <w:spacing w:before="119" w:after="0"/>
        <w:ind w:right="116"/>
        <w:jc w:val="both"/>
        <w:rPr>
          <w:sz w:val="18"/>
        </w:rPr>
      </w:pPr>
      <w:r>
        <w:rPr>
          <w:sz w:val="18"/>
        </w:rPr>
        <w:t>threatening to commit suicide or self-harm with the intention of tormenting or intimidating</w:t>
      </w:r>
      <w:r>
        <w:rPr>
          <w:spacing w:val="-2"/>
          <w:sz w:val="18"/>
        </w:rPr>
        <w:t xml:space="preserve"> </w:t>
      </w:r>
      <w:r>
        <w:rPr>
          <w:sz w:val="18"/>
        </w:rPr>
        <w:t>a</w:t>
      </w:r>
      <w:r>
        <w:rPr>
          <w:spacing w:val="-2"/>
          <w:sz w:val="18"/>
        </w:rPr>
        <w:t xml:space="preserve"> </w:t>
      </w:r>
      <w:r>
        <w:rPr>
          <w:sz w:val="18"/>
        </w:rPr>
        <w:t>family</w:t>
      </w:r>
      <w:r>
        <w:rPr>
          <w:spacing w:val="-4"/>
          <w:sz w:val="18"/>
        </w:rPr>
        <w:t xml:space="preserve"> </w:t>
      </w:r>
      <w:r>
        <w:rPr>
          <w:sz w:val="18"/>
        </w:rPr>
        <w:t>member,</w:t>
      </w:r>
      <w:r>
        <w:rPr>
          <w:spacing w:val="-4"/>
          <w:sz w:val="18"/>
        </w:rPr>
        <w:t xml:space="preserve"> </w:t>
      </w:r>
      <w:r>
        <w:rPr>
          <w:sz w:val="18"/>
        </w:rPr>
        <w:t>or</w:t>
      </w:r>
      <w:r>
        <w:rPr>
          <w:spacing w:val="-2"/>
          <w:sz w:val="18"/>
        </w:rPr>
        <w:t xml:space="preserve"> </w:t>
      </w:r>
      <w:r>
        <w:rPr>
          <w:sz w:val="18"/>
        </w:rPr>
        <w:t>threatening</w:t>
      </w:r>
      <w:r>
        <w:rPr>
          <w:spacing w:val="-2"/>
          <w:sz w:val="18"/>
        </w:rPr>
        <w:t xml:space="preserve"> </w:t>
      </w:r>
      <w:r>
        <w:rPr>
          <w:sz w:val="18"/>
        </w:rPr>
        <w:t>the</w:t>
      </w:r>
      <w:r>
        <w:rPr>
          <w:spacing w:val="-2"/>
          <w:sz w:val="18"/>
        </w:rPr>
        <w:t xml:space="preserve"> </w:t>
      </w:r>
      <w:r>
        <w:rPr>
          <w:sz w:val="18"/>
        </w:rPr>
        <w:t>death</w:t>
      </w:r>
      <w:r>
        <w:rPr>
          <w:spacing w:val="-2"/>
          <w:sz w:val="18"/>
        </w:rPr>
        <w:t xml:space="preserve"> </w:t>
      </w:r>
      <w:r>
        <w:rPr>
          <w:sz w:val="18"/>
        </w:rPr>
        <w:t>or</w:t>
      </w:r>
      <w:r>
        <w:rPr>
          <w:spacing w:val="-2"/>
          <w:sz w:val="18"/>
        </w:rPr>
        <w:t xml:space="preserve"> </w:t>
      </w:r>
      <w:r>
        <w:rPr>
          <w:sz w:val="18"/>
        </w:rPr>
        <w:t>injury</w:t>
      </w:r>
      <w:r>
        <w:rPr>
          <w:spacing w:val="-1"/>
          <w:sz w:val="18"/>
        </w:rPr>
        <w:t xml:space="preserve"> </w:t>
      </w:r>
      <w:r>
        <w:rPr>
          <w:sz w:val="18"/>
        </w:rPr>
        <w:t>of</w:t>
      </w:r>
      <w:r>
        <w:rPr>
          <w:spacing w:val="-4"/>
          <w:sz w:val="18"/>
        </w:rPr>
        <w:t xml:space="preserve"> </w:t>
      </w:r>
      <w:r>
        <w:rPr>
          <w:sz w:val="18"/>
        </w:rPr>
        <w:t>another</w:t>
      </w:r>
      <w:r>
        <w:rPr>
          <w:spacing w:val="-2"/>
          <w:sz w:val="18"/>
        </w:rPr>
        <w:t xml:space="preserve"> </w:t>
      </w:r>
      <w:r>
        <w:rPr>
          <w:sz w:val="18"/>
        </w:rPr>
        <w:t>person;</w:t>
      </w:r>
    </w:p>
    <w:p w14:paraId="6DE9F64A" w14:textId="77777777" w:rsidR="006B5232" w:rsidRDefault="006B5232" w:rsidP="00706CA6">
      <w:pPr>
        <w:pStyle w:val="ListParagraph"/>
        <w:widowControl w:val="0"/>
        <w:numPr>
          <w:ilvl w:val="1"/>
          <w:numId w:val="157"/>
        </w:numPr>
        <w:tabs>
          <w:tab w:val="left" w:pos="2370"/>
          <w:tab w:val="left" w:pos="2371"/>
        </w:tabs>
        <w:autoSpaceDE w:val="0"/>
        <w:autoSpaceDN w:val="0"/>
        <w:spacing w:before="120" w:after="0"/>
        <w:ind w:right="117"/>
        <w:jc w:val="both"/>
        <w:rPr>
          <w:sz w:val="18"/>
        </w:rPr>
      </w:pPr>
      <w:r>
        <w:rPr>
          <w:sz w:val="18"/>
        </w:rPr>
        <w:t>following a person when the person is out in public, including by vehicle or on</w:t>
      </w:r>
      <w:r>
        <w:rPr>
          <w:spacing w:val="40"/>
          <w:sz w:val="18"/>
        </w:rPr>
        <w:t xml:space="preserve"> </w:t>
      </w:r>
      <w:r>
        <w:rPr>
          <w:spacing w:val="-2"/>
          <w:sz w:val="18"/>
        </w:rPr>
        <w:t>foot;</w:t>
      </w:r>
    </w:p>
    <w:p w14:paraId="439A55B1" w14:textId="77777777" w:rsidR="006B5232" w:rsidRDefault="006B5232" w:rsidP="00706CA6">
      <w:pPr>
        <w:pStyle w:val="ListParagraph"/>
        <w:widowControl w:val="0"/>
        <w:numPr>
          <w:ilvl w:val="1"/>
          <w:numId w:val="157"/>
        </w:numPr>
        <w:tabs>
          <w:tab w:val="left" w:pos="2370"/>
          <w:tab w:val="left" w:pos="2371"/>
        </w:tabs>
        <w:autoSpaceDE w:val="0"/>
        <w:autoSpaceDN w:val="0"/>
        <w:spacing w:before="117" w:after="0"/>
        <w:ind w:hanging="568"/>
        <w:rPr>
          <w:sz w:val="18"/>
        </w:rPr>
      </w:pPr>
      <w:r>
        <w:rPr>
          <w:sz w:val="18"/>
        </w:rPr>
        <w:t>remaining</w:t>
      </w:r>
      <w:r>
        <w:rPr>
          <w:spacing w:val="-3"/>
          <w:sz w:val="18"/>
        </w:rPr>
        <w:t xml:space="preserve"> </w:t>
      </w:r>
      <w:r>
        <w:rPr>
          <w:sz w:val="18"/>
        </w:rPr>
        <w:t>outside</w:t>
      </w:r>
      <w:r>
        <w:rPr>
          <w:spacing w:val="-2"/>
          <w:sz w:val="18"/>
        </w:rPr>
        <w:t xml:space="preserve"> </w:t>
      </w:r>
      <w:r>
        <w:rPr>
          <w:sz w:val="18"/>
        </w:rPr>
        <w:t>a</w:t>
      </w:r>
      <w:r>
        <w:rPr>
          <w:spacing w:val="-3"/>
          <w:sz w:val="18"/>
        </w:rPr>
        <w:t xml:space="preserve"> </w:t>
      </w:r>
      <w:r>
        <w:rPr>
          <w:sz w:val="18"/>
        </w:rPr>
        <w:t>person’s</w:t>
      </w:r>
      <w:r>
        <w:rPr>
          <w:spacing w:val="-2"/>
          <w:sz w:val="18"/>
        </w:rPr>
        <w:t xml:space="preserve"> </w:t>
      </w:r>
      <w:r>
        <w:rPr>
          <w:sz w:val="18"/>
        </w:rPr>
        <w:t>residence</w:t>
      </w:r>
      <w:r>
        <w:rPr>
          <w:spacing w:val="-2"/>
          <w:sz w:val="18"/>
        </w:rPr>
        <w:t xml:space="preserve"> </w:t>
      </w:r>
      <w:r>
        <w:rPr>
          <w:sz w:val="18"/>
        </w:rPr>
        <w:t>or</w:t>
      </w:r>
      <w:r>
        <w:rPr>
          <w:spacing w:val="-4"/>
          <w:sz w:val="18"/>
        </w:rPr>
        <w:t xml:space="preserve"> </w:t>
      </w:r>
      <w:r>
        <w:rPr>
          <w:sz w:val="18"/>
        </w:rPr>
        <w:t>place</w:t>
      </w:r>
      <w:r>
        <w:rPr>
          <w:spacing w:val="-3"/>
          <w:sz w:val="18"/>
        </w:rPr>
        <w:t xml:space="preserve"> </w:t>
      </w:r>
      <w:r>
        <w:rPr>
          <w:sz w:val="18"/>
        </w:rPr>
        <w:t>of</w:t>
      </w:r>
      <w:r>
        <w:rPr>
          <w:spacing w:val="-2"/>
          <w:sz w:val="18"/>
        </w:rPr>
        <w:t xml:space="preserve"> work;</w:t>
      </w:r>
    </w:p>
    <w:p w14:paraId="12D634DB" w14:textId="77777777" w:rsidR="006B5232" w:rsidRDefault="006B5232" w:rsidP="00706CA6">
      <w:pPr>
        <w:pStyle w:val="ListParagraph"/>
        <w:widowControl w:val="0"/>
        <w:numPr>
          <w:ilvl w:val="1"/>
          <w:numId w:val="157"/>
        </w:numPr>
        <w:tabs>
          <w:tab w:val="left" w:pos="2370"/>
          <w:tab w:val="left" w:pos="2371"/>
        </w:tabs>
        <w:autoSpaceDE w:val="0"/>
        <w:autoSpaceDN w:val="0"/>
        <w:spacing w:before="121" w:after="0"/>
        <w:ind w:right="121"/>
        <w:jc w:val="both"/>
        <w:rPr>
          <w:sz w:val="18"/>
        </w:rPr>
      </w:pPr>
      <w:r>
        <w:rPr>
          <w:sz w:val="18"/>
        </w:rPr>
        <w:t>repeatedly contacting a person by telephone, SMS message, email or online or social networking site without the person’s consent;</w:t>
      </w:r>
    </w:p>
    <w:p w14:paraId="3EB668F6" w14:textId="77777777" w:rsidR="006B5232" w:rsidRDefault="006B5232" w:rsidP="00706CA6">
      <w:pPr>
        <w:pStyle w:val="ListParagraph"/>
        <w:widowControl w:val="0"/>
        <w:numPr>
          <w:ilvl w:val="1"/>
          <w:numId w:val="157"/>
        </w:numPr>
        <w:tabs>
          <w:tab w:val="left" w:pos="2370"/>
          <w:tab w:val="left" w:pos="2371"/>
        </w:tabs>
        <w:autoSpaceDE w:val="0"/>
        <w:autoSpaceDN w:val="0"/>
        <w:spacing w:before="117" w:after="0"/>
        <w:ind w:right="122"/>
        <w:jc w:val="both"/>
        <w:rPr>
          <w:sz w:val="18"/>
        </w:rPr>
      </w:pPr>
      <w:r>
        <w:rPr>
          <w:sz w:val="18"/>
        </w:rPr>
        <w:t>giving or sending offensive material to the person, or leaving offensive material where it will be found by, given to or brought to the attention of the person;</w:t>
      </w:r>
    </w:p>
    <w:p w14:paraId="76E57011" w14:textId="77777777" w:rsidR="006B5232" w:rsidRDefault="006B5232" w:rsidP="00706CA6">
      <w:pPr>
        <w:pStyle w:val="ListParagraph"/>
        <w:widowControl w:val="0"/>
        <w:numPr>
          <w:ilvl w:val="1"/>
          <w:numId w:val="157"/>
        </w:numPr>
        <w:tabs>
          <w:tab w:val="left" w:pos="2370"/>
          <w:tab w:val="left" w:pos="2371"/>
        </w:tabs>
        <w:autoSpaceDE w:val="0"/>
        <w:autoSpaceDN w:val="0"/>
        <w:spacing w:before="120" w:after="0"/>
        <w:ind w:right="121"/>
        <w:jc w:val="both"/>
        <w:rPr>
          <w:sz w:val="18"/>
        </w:rPr>
      </w:pPr>
      <w:r>
        <w:rPr>
          <w:sz w:val="18"/>
        </w:rPr>
        <w:t>taking an invasive image of the person and threatening to distribute the image without the person's consent;</w:t>
      </w:r>
    </w:p>
    <w:p w14:paraId="5B09400C" w14:textId="77777777" w:rsidR="006B5232" w:rsidRDefault="006B5232" w:rsidP="00706CA6">
      <w:pPr>
        <w:pStyle w:val="ListParagraph"/>
        <w:widowControl w:val="0"/>
        <w:numPr>
          <w:ilvl w:val="1"/>
          <w:numId w:val="157"/>
        </w:numPr>
        <w:tabs>
          <w:tab w:val="left" w:pos="2370"/>
          <w:tab w:val="left" w:pos="2371"/>
        </w:tabs>
        <w:autoSpaceDE w:val="0"/>
        <w:autoSpaceDN w:val="0"/>
        <w:spacing w:before="117" w:after="0"/>
        <w:ind w:right="118"/>
        <w:jc w:val="both"/>
        <w:rPr>
          <w:sz w:val="18"/>
        </w:rPr>
      </w:pPr>
      <w:r>
        <w:rPr>
          <w:sz w:val="18"/>
        </w:rPr>
        <w:t>publishing or transmitting offensive material by means of the Internet or some other form of electronic communication in such a way that the offensive material will be found by, or brought to the attention of, the person;</w:t>
      </w:r>
    </w:p>
    <w:p w14:paraId="0CEB0094" w14:textId="77777777" w:rsidR="006B5232" w:rsidRDefault="006B5232" w:rsidP="00706CA6">
      <w:pPr>
        <w:pStyle w:val="ListParagraph"/>
        <w:widowControl w:val="0"/>
        <w:numPr>
          <w:ilvl w:val="1"/>
          <w:numId w:val="157"/>
        </w:numPr>
        <w:tabs>
          <w:tab w:val="left" w:pos="2370"/>
          <w:tab w:val="left" w:pos="2371"/>
        </w:tabs>
        <w:autoSpaceDE w:val="0"/>
        <w:autoSpaceDN w:val="0"/>
        <w:spacing w:before="120" w:after="0"/>
        <w:ind w:right="118"/>
        <w:jc w:val="both"/>
        <w:rPr>
          <w:sz w:val="18"/>
        </w:rPr>
      </w:pPr>
      <w:r>
        <w:rPr>
          <w:sz w:val="18"/>
        </w:rPr>
        <w:t>driving a vehicle in a reckless or dangerous manner, or otherwise acting in a reckless or dangerous manner, while the person is a passenger in the vehicle;</w:t>
      </w:r>
    </w:p>
    <w:p w14:paraId="2E81D6AE" w14:textId="77777777" w:rsidR="006B5232" w:rsidRDefault="006B5232" w:rsidP="00706CA6">
      <w:pPr>
        <w:pStyle w:val="ListParagraph"/>
        <w:widowControl w:val="0"/>
        <w:numPr>
          <w:ilvl w:val="1"/>
          <w:numId w:val="157"/>
        </w:numPr>
        <w:tabs>
          <w:tab w:val="left" w:pos="2370"/>
          <w:tab w:val="left" w:pos="2371"/>
        </w:tabs>
        <w:autoSpaceDE w:val="0"/>
        <w:autoSpaceDN w:val="0"/>
        <w:spacing w:before="117" w:after="0"/>
        <w:ind w:hanging="568"/>
        <w:rPr>
          <w:sz w:val="18"/>
        </w:rPr>
      </w:pPr>
      <w:r>
        <w:rPr>
          <w:sz w:val="18"/>
        </w:rPr>
        <w:t>threatening</w:t>
      </w:r>
      <w:r>
        <w:rPr>
          <w:spacing w:val="-3"/>
          <w:sz w:val="18"/>
        </w:rPr>
        <w:t xml:space="preserve"> </w:t>
      </w:r>
      <w:r>
        <w:rPr>
          <w:sz w:val="18"/>
        </w:rPr>
        <w:t>to</w:t>
      </w:r>
      <w:r>
        <w:rPr>
          <w:spacing w:val="-4"/>
          <w:sz w:val="18"/>
        </w:rPr>
        <w:t xml:space="preserve"> </w:t>
      </w:r>
      <w:r>
        <w:rPr>
          <w:sz w:val="18"/>
        </w:rPr>
        <w:t>institutionalise</w:t>
      </w:r>
      <w:r>
        <w:rPr>
          <w:spacing w:val="-5"/>
          <w:sz w:val="18"/>
        </w:rPr>
        <w:t xml:space="preserve"> </w:t>
      </w:r>
      <w:r>
        <w:rPr>
          <w:sz w:val="18"/>
        </w:rPr>
        <w:t>the</w:t>
      </w:r>
      <w:r>
        <w:rPr>
          <w:spacing w:val="-2"/>
          <w:sz w:val="18"/>
        </w:rPr>
        <w:t xml:space="preserve"> person;</w:t>
      </w:r>
    </w:p>
    <w:p w14:paraId="46158B6E" w14:textId="77777777" w:rsidR="006B5232" w:rsidRDefault="006B5232" w:rsidP="00706CA6">
      <w:pPr>
        <w:pStyle w:val="ListParagraph"/>
        <w:widowControl w:val="0"/>
        <w:numPr>
          <w:ilvl w:val="1"/>
          <w:numId w:val="157"/>
        </w:numPr>
        <w:tabs>
          <w:tab w:val="left" w:pos="2370"/>
          <w:tab w:val="left" w:pos="2371"/>
        </w:tabs>
        <w:autoSpaceDE w:val="0"/>
        <w:autoSpaceDN w:val="0"/>
        <w:spacing w:before="120" w:after="0"/>
        <w:ind w:hanging="568"/>
        <w:rPr>
          <w:sz w:val="18"/>
        </w:rPr>
      </w:pPr>
      <w:r>
        <w:rPr>
          <w:sz w:val="18"/>
        </w:rPr>
        <w:t>threatening</w:t>
      </w:r>
      <w:r>
        <w:rPr>
          <w:spacing w:val="-3"/>
          <w:sz w:val="18"/>
        </w:rPr>
        <w:t xml:space="preserve"> </w:t>
      </w:r>
      <w:r>
        <w:rPr>
          <w:sz w:val="18"/>
        </w:rPr>
        <w:t>to</w:t>
      </w:r>
      <w:r>
        <w:rPr>
          <w:spacing w:val="-2"/>
          <w:sz w:val="18"/>
        </w:rPr>
        <w:t xml:space="preserve"> </w:t>
      </w:r>
      <w:r>
        <w:rPr>
          <w:sz w:val="18"/>
        </w:rPr>
        <w:t>withdraw</w:t>
      </w:r>
      <w:r>
        <w:rPr>
          <w:spacing w:val="-3"/>
          <w:sz w:val="18"/>
        </w:rPr>
        <w:t xml:space="preserve"> </w:t>
      </w:r>
      <w:r>
        <w:rPr>
          <w:sz w:val="18"/>
        </w:rPr>
        <w:t>care</w:t>
      </w:r>
      <w:r>
        <w:rPr>
          <w:spacing w:val="-2"/>
          <w:sz w:val="18"/>
        </w:rPr>
        <w:t xml:space="preserve"> </w:t>
      </w:r>
      <w:r>
        <w:rPr>
          <w:sz w:val="18"/>
        </w:rPr>
        <w:t>on</w:t>
      </w:r>
      <w:r>
        <w:rPr>
          <w:spacing w:val="-3"/>
          <w:sz w:val="18"/>
        </w:rPr>
        <w:t xml:space="preserve"> </w:t>
      </w:r>
      <w:r>
        <w:rPr>
          <w:sz w:val="18"/>
        </w:rPr>
        <w:t>which</w:t>
      </w:r>
      <w:r>
        <w:rPr>
          <w:spacing w:val="-2"/>
          <w:sz w:val="18"/>
        </w:rPr>
        <w:t xml:space="preserve"> </w:t>
      </w:r>
      <w:r>
        <w:rPr>
          <w:sz w:val="18"/>
        </w:rPr>
        <w:t>the</w:t>
      </w:r>
      <w:r>
        <w:rPr>
          <w:spacing w:val="-2"/>
          <w:sz w:val="18"/>
        </w:rPr>
        <w:t xml:space="preserve"> </w:t>
      </w:r>
      <w:r>
        <w:rPr>
          <w:sz w:val="18"/>
        </w:rPr>
        <w:t>person</w:t>
      </w:r>
      <w:r>
        <w:rPr>
          <w:spacing w:val="-4"/>
          <w:sz w:val="18"/>
        </w:rPr>
        <w:t xml:space="preserve"> </w:t>
      </w:r>
      <w:r>
        <w:rPr>
          <w:sz w:val="18"/>
        </w:rPr>
        <w:t>is</w:t>
      </w:r>
      <w:r>
        <w:rPr>
          <w:spacing w:val="-4"/>
          <w:sz w:val="18"/>
        </w:rPr>
        <w:t xml:space="preserve"> </w:t>
      </w:r>
      <w:r>
        <w:rPr>
          <w:spacing w:val="-2"/>
          <w:sz w:val="18"/>
        </w:rPr>
        <w:t>dependent;</w:t>
      </w:r>
    </w:p>
    <w:p w14:paraId="4392D9F8" w14:textId="77777777" w:rsidR="006B5232" w:rsidRDefault="006B5232" w:rsidP="00706CA6">
      <w:pPr>
        <w:pStyle w:val="ListParagraph"/>
        <w:widowControl w:val="0"/>
        <w:numPr>
          <w:ilvl w:val="1"/>
          <w:numId w:val="157"/>
        </w:numPr>
        <w:tabs>
          <w:tab w:val="left" w:pos="2370"/>
          <w:tab w:val="left" w:pos="2371"/>
        </w:tabs>
        <w:autoSpaceDE w:val="0"/>
        <w:autoSpaceDN w:val="0"/>
        <w:spacing w:before="118" w:after="0"/>
        <w:ind w:hanging="568"/>
        <w:rPr>
          <w:sz w:val="18"/>
        </w:rPr>
      </w:pPr>
      <w:r>
        <w:rPr>
          <w:sz w:val="18"/>
        </w:rPr>
        <w:t>preventing</w:t>
      </w:r>
      <w:r>
        <w:rPr>
          <w:spacing w:val="-4"/>
          <w:sz w:val="18"/>
        </w:rPr>
        <w:t xml:space="preserve"> </w:t>
      </w:r>
      <w:r>
        <w:rPr>
          <w:sz w:val="18"/>
        </w:rPr>
        <w:t>the</w:t>
      </w:r>
      <w:r>
        <w:rPr>
          <w:spacing w:val="-2"/>
          <w:sz w:val="18"/>
        </w:rPr>
        <w:t xml:space="preserve"> </w:t>
      </w:r>
      <w:r>
        <w:rPr>
          <w:sz w:val="18"/>
        </w:rPr>
        <w:t>person</w:t>
      </w:r>
      <w:r>
        <w:rPr>
          <w:spacing w:val="-3"/>
          <w:sz w:val="18"/>
        </w:rPr>
        <w:t xml:space="preserve"> </w:t>
      </w:r>
      <w:r>
        <w:rPr>
          <w:sz w:val="18"/>
        </w:rPr>
        <w:t>from</w:t>
      </w:r>
      <w:r>
        <w:rPr>
          <w:spacing w:val="-1"/>
          <w:sz w:val="18"/>
        </w:rPr>
        <w:t xml:space="preserve"> </w:t>
      </w:r>
      <w:r>
        <w:rPr>
          <w:sz w:val="18"/>
        </w:rPr>
        <w:t>entering</w:t>
      </w:r>
      <w:r>
        <w:rPr>
          <w:spacing w:val="-4"/>
          <w:sz w:val="18"/>
        </w:rPr>
        <w:t xml:space="preserve"> </w:t>
      </w:r>
      <w:r>
        <w:rPr>
          <w:sz w:val="18"/>
        </w:rPr>
        <w:t>the</w:t>
      </w:r>
      <w:r>
        <w:rPr>
          <w:spacing w:val="-3"/>
          <w:sz w:val="18"/>
        </w:rPr>
        <w:t xml:space="preserve"> </w:t>
      </w:r>
      <w:r>
        <w:rPr>
          <w:sz w:val="18"/>
        </w:rPr>
        <w:t>person's</w:t>
      </w:r>
      <w:r>
        <w:rPr>
          <w:spacing w:val="-3"/>
          <w:sz w:val="18"/>
        </w:rPr>
        <w:t xml:space="preserve"> </w:t>
      </w:r>
      <w:r>
        <w:rPr>
          <w:sz w:val="18"/>
        </w:rPr>
        <w:t>place</w:t>
      </w:r>
      <w:r>
        <w:rPr>
          <w:spacing w:val="-2"/>
          <w:sz w:val="18"/>
        </w:rPr>
        <w:t xml:space="preserve"> </w:t>
      </w:r>
      <w:r>
        <w:rPr>
          <w:sz w:val="18"/>
        </w:rPr>
        <w:t>of</w:t>
      </w:r>
      <w:r>
        <w:rPr>
          <w:spacing w:val="-1"/>
          <w:sz w:val="18"/>
        </w:rPr>
        <w:t xml:space="preserve"> </w:t>
      </w:r>
      <w:r>
        <w:rPr>
          <w:spacing w:val="-2"/>
          <w:sz w:val="18"/>
        </w:rPr>
        <w:t>residence.</w:t>
      </w:r>
    </w:p>
    <w:p w14:paraId="2F80BAAF" w14:textId="77777777" w:rsidR="003201A0" w:rsidRDefault="003201A0" w:rsidP="003201A0">
      <w:pPr>
        <w:ind w:firstLine="284"/>
        <w:rPr>
          <w:lang w:eastAsia="en-AU"/>
        </w:rPr>
      </w:pPr>
    </w:p>
    <w:p w14:paraId="360226A8" w14:textId="4AE1CA43" w:rsidR="002278CD" w:rsidRPr="006B5232" w:rsidRDefault="002278CD">
      <w:pPr>
        <w:rPr>
          <w:rFonts w:ascii="Times New Roman" w:eastAsia="Times New Roman" w:hAnsi="Times New Roman"/>
          <w:b/>
          <w:sz w:val="24"/>
          <w:szCs w:val="24"/>
        </w:rPr>
      </w:pPr>
      <w:r>
        <w:br w:type="page"/>
      </w:r>
    </w:p>
    <w:p w14:paraId="0B91C5E3" w14:textId="6E45CD16" w:rsidR="002278CD" w:rsidRPr="002278CD" w:rsidRDefault="002278CD" w:rsidP="00A60F47">
      <w:pPr>
        <w:pStyle w:val="Heading2"/>
        <w:ind w:left="1134"/>
      </w:pPr>
      <w:bookmarkStart w:id="138" w:name="_Toc112051918"/>
      <w:r w:rsidRPr="002278CD">
        <w:rPr>
          <w:i/>
        </w:rPr>
        <w:lastRenderedPageBreak/>
        <w:t>Evidence Act 1906</w:t>
      </w:r>
      <w:r w:rsidR="00BC0822">
        <w:t xml:space="preserve"> (WA) - </w:t>
      </w:r>
      <w:r>
        <w:t>Jury directions and expert evidence</w:t>
      </w:r>
      <w:bookmarkEnd w:id="138"/>
    </w:p>
    <w:p w14:paraId="72615A8C" w14:textId="77777777" w:rsidR="002278CD" w:rsidRPr="00173C5D" w:rsidRDefault="002278CD" w:rsidP="002278CD">
      <w:pPr>
        <w:pStyle w:val="Heading5"/>
        <w:numPr>
          <w:ilvl w:val="0"/>
          <w:numId w:val="0"/>
        </w:numPr>
        <w:ind w:left="1008" w:hanging="1008"/>
        <w:rPr>
          <w:rFonts w:asciiTheme="minorHAnsi" w:hAnsiTheme="minorHAnsi"/>
          <w:b/>
          <w:color w:val="auto"/>
          <w:sz w:val="20"/>
          <w:szCs w:val="20"/>
        </w:rPr>
      </w:pPr>
      <w:bookmarkStart w:id="139" w:name="_Toc80794366"/>
      <w:r w:rsidRPr="00173C5D">
        <w:rPr>
          <w:rStyle w:val="CharSectno"/>
          <w:rFonts w:asciiTheme="minorHAnsi" w:hAnsiTheme="minorHAnsi"/>
          <w:b/>
          <w:color w:val="auto"/>
          <w:sz w:val="20"/>
          <w:szCs w:val="20"/>
        </w:rPr>
        <w:t>38</w:t>
      </w:r>
      <w:r w:rsidRPr="00173C5D">
        <w:rPr>
          <w:rFonts w:asciiTheme="minorHAnsi" w:hAnsiTheme="minorHAnsi"/>
          <w:b/>
          <w:color w:val="auto"/>
          <w:sz w:val="20"/>
          <w:szCs w:val="20"/>
        </w:rPr>
        <w:t>.</w:t>
      </w:r>
      <w:r w:rsidRPr="00173C5D">
        <w:rPr>
          <w:rFonts w:asciiTheme="minorHAnsi" w:hAnsiTheme="minorHAnsi"/>
          <w:b/>
          <w:color w:val="auto"/>
          <w:sz w:val="20"/>
          <w:szCs w:val="20"/>
        </w:rPr>
        <w:tab/>
        <w:t>What may constitute evidence of family violence</w:t>
      </w:r>
      <w:bookmarkEnd w:id="139"/>
    </w:p>
    <w:p w14:paraId="1BDB98D5"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(1)</w:t>
      </w:r>
      <w:r w:rsidRPr="002278CD">
        <w:rPr>
          <w:rFonts w:asciiTheme="minorHAnsi" w:hAnsiTheme="minorHAnsi"/>
          <w:sz w:val="20"/>
          <w:szCs w:val="20"/>
        </w:rPr>
        <w:tab/>
        <w:t xml:space="preserve">For the purposes of sections 39 to 39G, evidence of family violence, in relation to a person, includes (but is not limited to) evidence of any of the following — </w:t>
      </w:r>
    </w:p>
    <w:p w14:paraId="5282F37A"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(a)</w:t>
      </w:r>
      <w:r w:rsidRPr="002278CD">
        <w:rPr>
          <w:rFonts w:asciiTheme="minorHAnsi" w:hAnsiTheme="minorHAnsi"/>
          <w:sz w:val="20"/>
        </w:rPr>
        <w:tab/>
        <w:t xml:space="preserve">the history of the relationship between the person and a family member, including violence by the family member towards the person, or by the person towards the family member, or by the family member of the person in relation to any other family member; </w:t>
      </w:r>
    </w:p>
    <w:p w14:paraId="04C36FD5"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(b)</w:t>
      </w:r>
      <w:r w:rsidRPr="002278CD">
        <w:rPr>
          <w:rFonts w:asciiTheme="minorHAnsi" w:hAnsiTheme="minorHAnsi"/>
          <w:sz w:val="20"/>
        </w:rPr>
        <w:tab/>
        <w:t>the cumulative effect of family violence, including the psychological effect, on the person or a family member affected by that violence;</w:t>
      </w:r>
    </w:p>
    <w:p w14:paraId="58A5F00E"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(c)</w:t>
      </w:r>
      <w:r w:rsidRPr="002278CD">
        <w:rPr>
          <w:rFonts w:asciiTheme="minorHAnsi" w:hAnsiTheme="minorHAnsi"/>
          <w:sz w:val="20"/>
        </w:rPr>
        <w:tab/>
        <w:t xml:space="preserve">social, cultural or economic factors that impact on the person or a family member who has been affected by family violence; </w:t>
      </w:r>
    </w:p>
    <w:p w14:paraId="70F73355"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(d)</w:t>
      </w:r>
      <w:r w:rsidRPr="002278CD">
        <w:rPr>
          <w:rFonts w:asciiTheme="minorHAnsi" w:hAnsiTheme="minorHAnsi"/>
          <w:sz w:val="20"/>
        </w:rPr>
        <w:tab/>
        <w:t>responses by family, community or agencies to family violence, including further violence that may be used by a family member to prevent, or in retaliation to, any help</w:t>
      </w:r>
      <w:r w:rsidRPr="002278CD">
        <w:rPr>
          <w:rFonts w:asciiTheme="minorHAnsi" w:hAnsiTheme="minorHAnsi"/>
          <w:sz w:val="20"/>
        </w:rPr>
        <w:noBreakHyphen/>
        <w:t>seeking behaviour or use of safety options by the person;</w:t>
      </w:r>
    </w:p>
    <w:p w14:paraId="56793372"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(e)</w:t>
      </w:r>
      <w:r w:rsidRPr="002278CD">
        <w:rPr>
          <w:rFonts w:asciiTheme="minorHAnsi" w:hAnsiTheme="minorHAnsi"/>
          <w:sz w:val="20"/>
        </w:rPr>
        <w:tab/>
        <w:t>ways in which social, cultural, economic or personal factors have affected any help</w:t>
      </w:r>
      <w:r w:rsidRPr="002278CD">
        <w:rPr>
          <w:rFonts w:asciiTheme="minorHAnsi" w:hAnsiTheme="minorHAnsi"/>
          <w:sz w:val="20"/>
        </w:rPr>
        <w:noBreakHyphen/>
        <w:t xml:space="preserve">seeking behaviour undertaken by the person, or the safety options realistically available to the person, in response to family violence; </w:t>
      </w:r>
    </w:p>
    <w:p w14:paraId="02B78817"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(f)</w:t>
      </w:r>
      <w:r w:rsidRPr="002278CD">
        <w:rPr>
          <w:rFonts w:asciiTheme="minorHAnsi" w:hAnsiTheme="minorHAnsi"/>
          <w:sz w:val="20"/>
        </w:rPr>
        <w:tab/>
        <w:t>ways in which violence by the family member towards the person, or the lack of safety options, were exacerbated by inequities experienced by the person, including inequities associated with (but not limited to) race, poverty, gender, disability or age;</w:t>
      </w:r>
    </w:p>
    <w:p w14:paraId="55EC8E81"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(g)</w:t>
      </w:r>
      <w:r w:rsidRPr="002278CD">
        <w:rPr>
          <w:rFonts w:asciiTheme="minorHAnsi" w:hAnsiTheme="minorHAnsi"/>
          <w:sz w:val="20"/>
        </w:rPr>
        <w:tab/>
        <w:t>the general nature and dynamics of relationships affected by family violence, including the possible consequences of separation from a person who commits family violence;</w:t>
      </w:r>
    </w:p>
    <w:p w14:paraId="6F23D4E3"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(h)</w:t>
      </w:r>
      <w:r w:rsidRPr="002278CD">
        <w:rPr>
          <w:rFonts w:asciiTheme="minorHAnsi" w:hAnsiTheme="minorHAnsi"/>
          <w:sz w:val="20"/>
        </w:rPr>
        <w:tab/>
        <w:t xml:space="preserve">the psychological effect of family violence on people who are or have been in a relationship affected by family violence; </w:t>
      </w:r>
    </w:p>
    <w:p w14:paraId="4CAAFA21" w14:textId="77777777" w:rsidR="002278CD" w:rsidRDefault="002278CD" w:rsidP="002278CD">
      <w:pPr>
        <w:pStyle w:val="Indenta"/>
        <w:rPr>
          <w:rFonts w:asciiTheme="minorHAnsi" w:hAnsiTheme="minorHAnsi"/>
          <w:sz w:val="20"/>
        </w:rPr>
      </w:pPr>
      <w:r w:rsidRPr="002278CD">
        <w:rPr>
          <w:rFonts w:asciiTheme="minorHAnsi" w:hAnsiTheme="minorHAnsi"/>
          <w:sz w:val="20"/>
        </w:rPr>
        <w:tab/>
        <w:t>(i)</w:t>
      </w:r>
      <w:r w:rsidRPr="002278CD">
        <w:rPr>
          <w:rFonts w:asciiTheme="minorHAnsi" w:hAnsiTheme="minorHAnsi"/>
          <w:sz w:val="20"/>
        </w:rPr>
        <w:tab/>
        <w:t>social or economic factors that impact on people who are or have been in a relationship affected by family violence.</w:t>
      </w:r>
    </w:p>
    <w:p w14:paraId="564AB2F5" w14:textId="77777777" w:rsidR="00341E46" w:rsidRPr="002278CD" w:rsidRDefault="00341E46" w:rsidP="002278CD">
      <w:pPr>
        <w:pStyle w:val="Indenta"/>
        <w:rPr>
          <w:rFonts w:asciiTheme="minorHAnsi" w:hAnsiTheme="minorHAnsi"/>
          <w:sz w:val="20"/>
        </w:rPr>
      </w:pPr>
    </w:p>
    <w:p w14:paraId="0AC03B39"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(2)</w:t>
      </w:r>
      <w:r w:rsidRPr="002278CD">
        <w:rPr>
          <w:rFonts w:asciiTheme="minorHAnsi" w:hAnsiTheme="minorHAnsi"/>
          <w:sz w:val="20"/>
          <w:szCs w:val="20"/>
        </w:rPr>
        <w:tab/>
        <w:t xml:space="preserve">Subsection (1) does not limit the operation of the </w:t>
      </w:r>
      <w:r w:rsidRPr="002278CD">
        <w:rPr>
          <w:rFonts w:asciiTheme="minorHAnsi" w:hAnsiTheme="minorHAnsi"/>
          <w:i/>
          <w:sz w:val="20"/>
          <w:szCs w:val="20"/>
        </w:rPr>
        <w:t xml:space="preserve">Restraining Orders Act 1997 </w:t>
      </w:r>
      <w:r w:rsidRPr="002278CD">
        <w:rPr>
          <w:rFonts w:asciiTheme="minorHAnsi" w:hAnsiTheme="minorHAnsi"/>
          <w:sz w:val="20"/>
          <w:szCs w:val="20"/>
        </w:rPr>
        <w:t>section 5A(2).</w:t>
      </w:r>
    </w:p>
    <w:p w14:paraId="0BACA17F" w14:textId="77777777" w:rsidR="002278CD" w:rsidRPr="002278CD" w:rsidRDefault="002278CD" w:rsidP="002278CD">
      <w:pPr>
        <w:pStyle w:val="Footnotesection"/>
        <w:rPr>
          <w:rFonts w:asciiTheme="minorHAnsi" w:hAnsiTheme="minorHAnsi"/>
          <w:sz w:val="20"/>
        </w:rPr>
      </w:pPr>
      <w:r w:rsidRPr="002278CD">
        <w:rPr>
          <w:rFonts w:asciiTheme="minorHAnsi" w:hAnsiTheme="minorHAnsi"/>
          <w:sz w:val="20"/>
        </w:rPr>
        <w:tab/>
        <w:t>[Section 38 inserted: No. 30 of 2020 s. 94.]</w:t>
      </w:r>
    </w:p>
    <w:p w14:paraId="78BC49EB" w14:textId="77777777" w:rsidR="002278CD" w:rsidRPr="002278CD" w:rsidRDefault="002278CD" w:rsidP="002278CD">
      <w:pPr>
        <w:pStyle w:val="Footnotesection"/>
        <w:rPr>
          <w:rFonts w:asciiTheme="minorHAnsi" w:hAnsiTheme="minorHAnsi"/>
          <w:sz w:val="20"/>
        </w:rPr>
      </w:pPr>
    </w:p>
    <w:p w14:paraId="6A6CB2D5" w14:textId="77777777" w:rsidR="002278CD" w:rsidRPr="00173C5D" w:rsidRDefault="002278CD" w:rsidP="002278CD">
      <w:pPr>
        <w:pStyle w:val="Heading5"/>
        <w:numPr>
          <w:ilvl w:val="0"/>
          <w:numId w:val="0"/>
        </w:numPr>
        <w:rPr>
          <w:rFonts w:asciiTheme="minorHAnsi" w:hAnsiTheme="minorHAnsi"/>
          <w:b/>
          <w:color w:val="auto"/>
          <w:sz w:val="20"/>
          <w:szCs w:val="20"/>
        </w:rPr>
      </w:pPr>
      <w:bookmarkStart w:id="140" w:name="_Toc80794367"/>
      <w:r w:rsidRPr="00173C5D">
        <w:rPr>
          <w:rStyle w:val="CharSectno"/>
          <w:rFonts w:asciiTheme="minorHAnsi" w:hAnsiTheme="minorHAnsi"/>
          <w:b/>
          <w:color w:val="auto"/>
          <w:sz w:val="20"/>
          <w:szCs w:val="20"/>
        </w:rPr>
        <w:t>39</w:t>
      </w:r>
      <w:r w:rsidRPr="00173C5D">
        <w:rPr>
          <w:rFonts w:asciiTheme="minorHAnsi" w:hAnsiTheme="minorHAnsi"/>
          <w:b/>
          <w:color w:val="auto"/>
          <w:sz w:val="20"/>
          <w:szCs w:val="20"/>
        </w:rPr>
        <w:t>.</w:t>
      </w:r>
      <w:r w:rsidR="00341E46" w:rsidRPr="00173C5D">
        <w:rPr>
          <w:rFonts w:asciiTheme="minorHAnsi" w:hAnsiTheme="minorHAnsi"/>
          <w:b/>
          <w:color w:val="auto"/>
          <w:sz w:val="20"/>
          <w:szCs w:val="20"/>
        </w:rPr>
        <w:tab/>
      </w:r>
      <w:r w:rsidRPr="00173C5D">
        <w:rPr>
          <w:rFonts w:asciiTheme="minorHAnsi" w:hAnsiTheme="minorHAnsi"/>
          <w:b/>
          <w:color w:val="auto"/>
          <w:sz w:val="20"/>
          <w:szCs w:val="20"/>
        </w:rPr>
        <w:tab/>
        <w:t>Expert evidence of family violence</w:t>
      </w:r>
      <w:bookmarkEnd w:id="140"/>
    </w:p>
    <w:p w14:paraId="671575F6"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(1)</w:t>
      </w:r>
      <w:r w:rsidRPr="002278CD">
        <w:rPr>
          <w:rFonts w:asciiTheme="minorHAnsi" w:hAnsiTheme="minorHAnsi"/>
          <w:sz w:val="20"/>
          <w:szCs w:val="20"/>
        </w:rPr>
        <w:tab/>
        <w:t>This section applies to any criminal proceedings where evidence of family violence is relevant to a fact in issue.</w:t>
      </w:r>
    </w:p>
    <w:p w14:paraId="3D5B3D60"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(2)</w:t>
      </w:r>
      <w:r w:rsidRPr="002278CD">
        <w:rPr>
          <w:rFonts w:asciiTheme="minorHAnsi" w:hAnsiTheme="minorHAnsi"/>
          <w:sz w:val="20"/>
          <w:szCs w:val="20"/>
        </w:rPr>
        <w:tab/>
        <w:t>The evidence of an expert on the subject of family violence is admissible in relation to any matter that may constitute evidence of family violence.</w:t>
      </w:r>
    </w:p>
    <w:p w14:paraId="704E7200"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(3)</w:t>
      </w:r>
      <w:r w:rsidRPr="002278CD">
        <w:rPr>
          <w:rFonts w:asciiTheme="minorHAnsi" w:hAnsiTheme="minorHAnsi"/>
          <w:sz w:val="20"/>
          <w:szCs w:val="20"/>
        </w:rPr>
        <w:tab/>
        <w:t xml:space="preserve">Evidence given by the expert may include — </w:t>
      </w:r>
    </w:p>
    <w:p w14:paraId="0C7859F2"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(a)</w:t>
      </w:r>
      <w:r w:rsidRPr="002278CD">
        <w:rPr>
          <w:rFonts w:asciiTheme="minorHAnsi" w:hAnsiTheme="minorHAnsi"/>
          <w:sz w:val="20"/>
        </w:rPr>
        <w:tab/>
        <w:t>evidence about the nature and effects of family violence on any person; and</w:t>
      </w:r>
    </w:p>
    <w:p w14:paraId="001F5AC8" w14:textId="77777777" w:rsidR="002278CD" w:rsidRDefault="002278CD" w:rsidP="002278CD">
      <w:pPr>
        <w:pStyle w:val="Indenta"/>
        <w:rPr>
          <w:rFonts w:asciiTheme="minorHAnsi" w:hAnsiTheme="minorHAnsi"/>
          <w:sz w:val="20"/>
        </w:rPr>
      </w:pPr>
      <w:r w:rsidRPr="002278CD">
        <w:rPr>
          <w:rFonts w:asciiTheme="minorHAnsi" w:hAnsiTheme="minorHAnsi"/>
          <w:sz w:val="20"/>
        </w:rPr>
        <w:tab/>
        <w:t>(b)</w:t>
      </w:r>
      <w:r w:rsidRPr="002278CD">
        <w:rPr>
          <w:rFonts w:asciiTheme="minorHAnsi" w:hAnsiTheme="minorHAnsi"/>
          <w:sz w:val="20"/>
        </w:rPr>
        <w:tab/>
        <w:t>evidence about the effect of family violence on a particular person who has been the subject of family violence.</w:t>
      </w:r>
    </w:p>
    <w:p w14:paraId="4DEA512B" w14:textId="77777777" w:rsidR="00341E46" w:rsidRPr="002278CD" w:rsidRDefault="00341E46" w:rsidP="002278CD">
      <w:pPr>
        <w:pStyle w:val="Indenta"/>
        <w:rPr>
          <w:rFonts w:asciiTheme="minorHAnsi" w:hAnsiTheme="minorHAnsi"/>
          <w:sz w:val="20"/>
        </w:rPr>
      </w:pPr>
    </w:p>
    <w:p w14:paraId="3138C666"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lastRenderedPageBreak/>
        <w:tab/>
        <w:t>(4)</w:t>
      </w:r>
      <w:r w:rsidRPr="002278CD">
        <w:rPr>
          <w:rFonts w:asciiTheme="minorHAnsi" w:hAnsiTheme="minorHAnsi"/>
          <w:sz w:val="20"/>
          <w:szCs w:val="20"/>
        </w:rPr>
        <w:tab/>
        <w:t>For the purposes of this section, an expert on the subject of family violence includes a person who can demonstrate specialised knowledge, gained by training, study or experience, of any matter that may constitute evidence of family violence.</w:t>
      </w:r>
    </w:p>
    <w:p w14:paraId="6A200EDE" w14:textId="77777777" w:rsidR="002278CD" w:rsidRPr="002278CD" w:rsidRDefault="002278CD" w:rsidP="002278CD">
      <w:pPr>
        <w:pStyle w:val="Footnotesection"/>
        <w:rPr>
          <w:rFonts w:asciiTheme="minorHAnsi" w:hAnsiTheme="minorHAnsi"/>
          <w:sz w:val="20"/>
        </w:rPr>
      </w:pPr>
      <w:r w:rsidRPr="002278CD">
        <w:rPr>
          <w:rFonts w:asciiTheme="minorHAnsi" w:hAnsiTheme="minorHAnsi"/>
          <w:sz w:val="20"/>
        </w:rPr>
        <w:tab/>
        <w:t>[Section 39 inserted: No. 30 of 2020 s. 94.]</w:t>
      </w:r>
    </w:p>
    <w:p w14:paraId="6AE7565A" w14:textId="77777777" w:rsidR="002278CD" w:rsidRPr="002278CD" w:rsidRDefault="002278CD" w:rsidP="002278CD">
      <w:pPr>
        <w:rPr>
          <w:rStyle w:val="CharSectno"/>
          <w:rFonts w:asciiTheme="minorHAnsi" w:hAnsiTheme="minorHAnsi"/>
          <w:sz w:val="20"/>
          <w:szCs w:val="20"/>
        </w:rPr>
      </w:pPr>
      <w:bookmarkStart w:id="141" w:name="_Toc80794368"/>
    </w:p>
    <w:p w14:paraId="47E8B6A0" w14:textId="77777777" w:rsidR="002278CD" w:rsidRPr="00173C5D" w:rsidRDefault="002278CD" w:rsidP="002278CD">
      <w:pPr>
        <w:pStyle w:val="Heading5"/>
        <w:numPr>
          <w:ilvl w:val="0"/>
          <w:numId w:val="0"/>
        </w:numPr>
        <w:ind w:left="1008" w:hanging="1008"/>
        <w:rPr>
          <w:rFonts w:asciiTheme="minorHAnsi" w:hAnsiTheme="minorHAnsi"/>
          <w:b/>
          <w:color w:val="auto"/>
          <w:sz w:val="20"/>
          <w:szCs w:val="20"/>
        </w:rPr>
      </w:pPr>
      <w:r w:rsidRPr="00173C5D">
        <w:rPr>
          <w:rStyle w:val="CharSectno"/>
          <w:rFonts w:asciiTheme="minorHAnsi" w:hAnsiTheme="minorHAnsi"/>
          <w:b/>
          <w:color w:val="auto"/>
          <w:sz w:val="20"/>
          <w:szCs w:val="20"/>
        </w:rPr>
        <w:t>39A</w:t>
      </w:r>
      <w:r w:rsidRPr="00173C5D">
        <w:rPr>
          <w:rFonts w:asciiTheme="minorHAnsi" w:hAnsiTheme="minorHAnsi"/>
          <w:b/>
          <w:color w:val="auto"/>
          <w:sz w:val="20"/>
          <w:szCs w:val="20"/>
        </w:rPr>
        <w:t>.</w:t>
      </w:r>
      <w:r w:rsidRPr="00173C5D">
        <w:rPr>
          <w:rFonts w:asciiTheme="minorHAnsi" w:hAnsiTheme="minorHAnsi"/>
          <w:b/>
          <w:color w:val="auto"/>
          <w:sz w:val="20"/>
          <w:szCs w:val="20"/>
        </w:rPr>
        <w:tab/>
        <w:t>Evidence of family violence — general provision</w:t>
      </w:r>
      <w:bookmarkEnd w:id="141"/>
    </w:p>
    <w:p w14:paraId="45B302BF"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r>
      <w:r w:rsidRPr="002278CD">
        <w:rPr>
          <w:rFonts w:asciiTheme="minorHAnsi" w:hAnsiTheme="minorHAnsi"/>
          <w:sz w:val="20"/>
          <w:szCs w:val="20"/>
        </w:rPr>
        <w:tab/>
        <w:t>In proceedings for an offence, evidence of family violence is admissible if family violence is relevant to a fact in issue.</w:t>
      </w:r>
    </w:p>
    <w:p w14:paraId="7F7D456E" w14:textId="77777777" w:rsidR="002278CD" w:rsidRPr="002278CD" w:rsidRDefault="002278CD" w:rsidP="002278CD">
      <w:pPr>
        <w:pStyle w:val="Footnotesection"/>
        <w:rPr>
          <w:rFonts w:asciiTheme="minorHAnsi" w:hAnsiTheme="minorHAnsi"/>
          <w:sz w:val="20"/>
        </w:rPr>
      </w:pPr>
      <w:r w:rsidRPr="002278CD">
        <w:rPr>
          <w:rFonts w:asciiTheme="minorHAnsi" w:hAnsiTheme="minorHAnsi"/>
          <w:sz w:val="20"/>
        </w:rPr>
        <w:tab/>
        <w:t>[Section 39A inserted: No. 30 of 2020 s. 94.]</w:t>
      </w:r>
    </w:p>
    <w:p w14:paraId="03DD8A52" w14:textId="77777777" w:rsidR="002278CD" w:rsidRPr="002278CD" w:rsidRDefault="002278CD" w:rsidP="002278CD">
      <w:pPr>
        <w:rPr>
          <w:rStyle w:val="CharSectno"/>
          <w:rFonts w:asciiTheme="minorHAnsi" w:hAnsiTheme="minorHAnsi"/>
          <w:sz w:val="20"/>
          <w:szCs w:val="20"/>
        </w:rPr>
      </w:pPr>
      <w:bookmarkStart w:id="142" w:name="_Toc80794369"/>
    </w:p>
    <w:p w14:paraId="65101AEB" w14:textId="77777777" w:rsidR="002278CD" w:rsidRPr="00173C5D" w:rsidRDefault="002278CD" w:rsidP="002278CD">
      <w:pPr>
        <w:pStyle w:val="Heading5"/>
        <w:numPr>
          <w:ilvl w:val="0"/>
          <w:numId w:val="0"/>
        </w:numPr>
        <w:ind w:left="1008" w:hanging="1008"/>
        <w:rPr>
          <w:rFonts w:asciiTheme="minorHAnsi" w:hAnsiTheme="minorHAnsi"/>
          <w:b/>
          <w:color w:val="auto"/>
          <w:sz w:val="20"/>
          <w:szCs w:val="20"/>
        </w:rPr>
      </w:pPr>
      <w:r w:rsidRPr="00173C5D">
        <w:rPr>
          <w:rStyle w:val="CharSectno"/>
          <w:rFonts w:asciiTheme="minorHAnsi" w:hAnsiTheme="minorHAnsi"/>
          <w:b/>
          <w:color w:val="auto"/>
          <w:sz w:val="20"/>
          <w:szCs w:val="20"/>
        </w:rPr>
        <w:t>39B</w:t>
      </w:r>
      <w:r w:rsidRPr="00173C5D">
        <w:rPr>
          <w:rFonts w:asciiTheme="minorHAnsi" w:hAnsiTheme="minorHAnsi"/>
          <w:b/>
          <w:color w:val="auto"/>
          <w:sz w:val="20"/>
          <w:szCs w:val="20"/>
        </w:rPr>
        <w:t>.</w:t>
      </w:r>
      <w:r w:rsidRPr="00173C5D">
        <w:rPr>
          <w:rFonts w:asciiTheme="minorHAnsi" w:hAnsiTheme="minorHAnsi"/>
          <w:b/>
          <w:color w:val="auto"/>
          <w:sz w:val="20"/>
          <w:szCs w:val="20"/>
        </w:rPr>
        <w:tab/>
        <w:t>Evidence of family violence — self</w:t>
      </w:r>
      <w:r w:rsidRPr="00173C5D">
        <w:rPr>
          <w:rFonts w:asciiTheme="minorHAnsi" w:hAnsiTheme="minorHAnsi"/>
          <w:b/>
          <w:color w:val="auto"/>
          <w:sz w:val="20"/>
          <w:szCs w:val="20"/>
        </w:rPr>
        <w:noBreakHyphen/>
        <w:t>defence</w:t>
      </w:r>
      <w:bookmarkEnd w:id="142"/>
    </w:p>
    <w:p w14:paraId="35E58CE0"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r>
      <w:r w:rsidRPr="002278CD">
        <w:rPr>
          <w:rFonts w:asciiTheme="minorHAnsi" w:hAnsiTheme="minorHAnsi"/>
          <w:sz w:val="20"/>
          <w:szCs w:val="20"/>
        </w:rPr>
        <w:tab/>
        <w:t>Without limiting any other evidence that may be adduced, in criminal proceedings in which self</w:t>
      </w:r>
      <w:r w:rsidRPr="002278CD">
        <w:rPr>
          <w:rFonts w:asciiTheme="minorHAnsi" w:hAnsiTheme="minorHAnsi"/>
          <w:sz w:val="20"/>
          <w:szCs w:val="20"/>
        </w:rPr>
        <w:noBreakHyphen/>
        <w:t xml:space="preserve">defence in response to family violence is an issue, evidence of family violence may be relevant to determining whether — </w:t>
      </w:r>
    </w:p>
    <w:p w14:paraId="425A4F9B"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(a)</w:t>
      </w:r>
      <w:r w:rsidRPr="002278CD">
        <w:rPr>
          <w:rFonts w:asciiTheme="minorHAnsi" w:hAnsiTheme="minorHAnsi"/>
          <w:sz w:val="20"/>
        </w:rPr>
        <w:tab/>
        <w:t>a person has a belief that an act was necessary to defend the person or another person from a harmful act, including a harmful act that was not imminent; or</w:t>
      </w:r>
    </w:p>
    <w:p w14:paraId="1DACCC2C"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(b)</w:t>
      </w:r>
      <w:r w:rsidRPr="002278CD">
        <w:rPr>
          <w:rFonts w:asciiTheme="minorHAnsi" w:hAnsiTheme="minorHAnsi"/>
          <w:sz w:val="20"/>
        </w:rPr>
        <w:tab/>
        <w:t>a person’s act was a reasonable response by the person in the circumstances as the person believed them to be; or</w:t>
      </w:r>
    </w:p>
    <w:p w14:paraId="092165D1"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(c)</w:t>
      </w:r>
      <w:r w:rsidRPr="002278CD">
        <w:rPr>
          <w:rFonts w:asciiTheme="minorHAnsi" w:hAnsiTheme="minorHAnsi"/>
          <w:sz w:val="20"/>
        </w:rPr>
        <w:tab/>
        <w:t>there are reasonable grounds for a particular belief by a person.</w:t>
      </w:r>
    </w:p>
    <w:p w14:paraId="614BAE62" w14:textId="77777777" w:rsidR="002278CD" w:rsidRPr="002278CD" w:rsidRDefault="002278CD" w:rsidP="002278CD">
      <w:pPr>
        <w:pStyle w:val="Footnotesection"/>
        <w:rPr>
          <w:rFonts w:asciiTheme="minorHAnsi" w:hAnsiTheme="minorHAnsi"/>
          <w:sz w:val="20"/>
        </w:rPr>
      </w:pPr>
      <w:r w:rsidRPr="002278CD">
        <w:rPr>
          <w:rFonts w:asciiTheme="minorHAnsi" w:hAnsiTheme="minorHAnsi"/>
          <w:sz w:val="20"/>
        </w:rPr>
        <w:tab/>
        <w:t>[Section 39B inserted: No. 30 of 2020 s. 94.]</w:t>
      </w:r>
    </w:p>
    <w:p w14:paraId="2F6DCCEE" w14:textId="77777777" w:rsidR="002278CD" w:rsidRPr="002278CD" w:rsidRDefault="002278CD" w:rsidP="002278CD">
      <w:pPr>
        <w:pStyle w:val="Footnotesection"/>
        <w:rPr>
          <w:rFonts w:asciiTheme="minorHAnsi" w:hAnsiTheme="minorHAnsi"/>
          <w:sz w:val="20"/>
        </w:rPr>
      </w:pPr>
    </w:p>
    <w:p w14:paraId="225B8C72" w14:textId="77777777" w:rsidR="002278CD" w:rsidRPr="00173C5D" w:rsidRDefault="002278CD" w:rsidP="002278CD">
      <w:pPr>
        <w:pStyle w:val="Heading5"/>
        <w:numPr>
          <w:ilvl w:val="0"/>
          <w:numId w:val="0"/>
        </w:numPr>
        <w:ind w:left="1008" w:hanging="1008"/>
        <w:rPr>
          <w:rFonts w:asciiTheme="minorHAnsi" w:hAnsiTheme="minorHAnsi"/>
          <w:b/>
          <w:color w:val="auto"/>
          <w:sz w:val="20"/>
          <w:szCs w:val="20"/>
        </w:rPr>
      </w:pPr>
      <w:bookmarkStart w:id="143" w:name="_Toc80794370"/>
      <w:r w:rsidRPr="00173C5D">
        <w:rPr>
          <w:rStyle w:val="CharSectno"/>
          <w:rFonts w:asciiTheme="minorHAnsi" w:hAnsiTheme="minorHAnsi"/>
          <w:b/>
          <w:color w:val="auto"/>
          <w:sz w:val="20"/>
          <w:szCs w:val="20"/>
        </w:rPr>
        <w:t>39C</w:t>
      </w:r>
      <w:r w:rsidRPr="00173C5D">
        <w:rPr>
          <w:rFonts w:asciiTheme="minorHAnsi" w:hAnsiTheme="minorHAnsi"/>
          <w:b/>
          <w:color w:val="auto"/>
          <w:sz w:val="20"/>
          <w:szCs w:val="20"/>
        </w:rPr>
        <w:t>.</w:t>
      </w:r>
      <w:r w:rsidRPr="00173C5D">
        <w:rPr>
          <w:rFonts w:asciiTheme="minorHAnsi" w:hAnsiTheme="minorHAnsi"/>
          <w:b/>
          <w:color w:val="auto"/>
          <w:sz w:val="20"/>
          <w:szCs w:val="20"/>
        </w:rPr>
        <w:tab/>
        <w:t>Request for direction on family violence — self</w:t>
      </w:r>
      <w:r w:rsidRPr="00173C5D">
        <w:rPr>
          <w:rFonts w:asciiTheme="minorHAnsi" w:hAnsiTheme="minorHAnsi"/>
          <w:b/>
          <w:color w:val="auto"/>
          <w:sz w:val="20"/>
          <w:szCs w:val="20"/>
        </w:rPr>
        <w:noBreakHyphen/>
        <w:t>defence</w:t>
      </w:r>
      <w:bookmarkEnd w:id="143"/>
    </w:p>
    <w:p w14:paraId="2D27BDEB" w14:textId="77777777" w:rsidR="002278CD" w:rsidRPr="002278CD" w:rsidRDefault="002278CD" w:rsidP="002278CD">
      <w:pPr>
        <w:pStyle w:val="Subsection"/>
        <w:keepLines/>
        <w:rPr>
          <w:rFonts w:asciiTheme="minorHAnsi" w:hAnsiTheme="minorHAnsi"/>
          <w:sz w:val="20"/>
          <w:szCs w:val="20"/>
        </w:rPr>
      </w:pPr>
      <w:r w:rsidRPr="002278CD">
        <w:rPr>
          <w:rFonts w:asciiTheme="minorHAnsi" w:hAnsiTheme="minorHAnsi"/>
          <w:sz w:val="20"/>
          <w:szCs w:val="20"/>
        </w:rPr>
        <w:tab/>
        <w:t>(1)</w:t>
      </w:r>
      <w:r w:rsidRPr="002278CD">
        <w:rPr>
          <w:rFonts w:asciiTheme="minorHAnsi" w:hAnsiTheme="minorHAnsi"/>
          <w:sz w:val="20"/>
          <w:szCs w:val="20"/>
        </w:rPr>
        <w:tab/>
        <w:t>In criminal proceedings in which self</w:t>
      </w:r>
      <w:r w:rsidRPr="002278CD">
        <w:rPr>
          <w:rFonts w:asciiTheme="minorHAnsi" w:hAnsiTheme="minorHAnsi"/>
          <w:sz w:val="20"/>
          <w:szCs w:val="20"/>
        </w:rPr>
        <w:noBreakHyphen/>
        <w:t>defence in response to family violence is an issue, defence counsel (or, if the accused is unrepresented, the accused) may request at any time that the trial judge direct the jury on family violence in accordance with section 39E and all or specified parts of section 39F.</w:t>
      </w:r>
    </w:p>
    <w:p w14:paraId="68ADA54E"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(2)</w:t>
      </w:r>
      <w:r w:rsidRPr="002278CD">
        <w:rPr>
          <w:rFonts w:asciiTheme="minorHAnsi" w:hAnsiTheme="minorHAnsi"/>
          <w:sz w:val="20"/>
          <w:szCs w:val="20"/>
        </w:rPr>
        <w:tab/>
        <w:t>The trial judge must give the jury a requested direction on family violence, including all or specified parts of section 39F if so requested, unless there are good reasons for not doing so.</w:t>
      </w:r>
    </w:p>
    <w:p w14:paraId="68AB7F5E"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(3)</w:t>
      </w:r>
      <w:r w:rsidRPr="002278CD">
        <w:rPr>
          <w:rFonts w:asciiTheme="minorHAnsi" w:hAnsiTheme="minorHAnsi"/>
          <w:sz w:val="20"/>
          <w:szCs w:val="20"/>
        </w:rPr>
        <w:tab/>
        <w:t>If a direction on family violence is not requested, the trial judge may give the direction if the trial judge considers that it is in the interests of justice to do so.</w:t>
      </w:r>
    </w:p>
    <w:p w14:paraId="164237C8"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(4)</w:t>
      </w:r>
      <w:r w:rsidRPr="002278CD">
        <w:rPr>
          <w:rFonts w:asciiTheme="minorHAnsi" w:hAnsiTheme="minorHAnsi"/>
          <w:sz w:val="20"/>
          <w:szCs w:val="20"/>
        </w:rPr>
        <w:tab/>
        <w:t>The trial judge —</w:t>
      </w:r>
    </w:p>
    <w:p w14:paraId="0562A616"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(a)</w:t>
      </w:r>
      <w:r w:rsidRPr="002278CD">
        <w:rPr>
          <w:rFonts w:asciiTheme="minorHAnsi" w:hAnsiTheme="minorHAnsi"/>
          <w:sz w:val="20"/>
        </w:rPr>
        <w:tab/>
        <w:t>must give the direction as soon as practicable after the request is made; and</w:t>
      </w:r>
    </w:p>
    <w:p w14:paraId="348A56D6" w14:textId="77777777" w:rsidR="002278CD" w:rsidRDefault="002278CD" w:rsidP="002278CD">
      <w:pPr>
        <w:pStyle w:val="Indenta"/>
        <w:rPr>
          <w:rFonts w:asciiTheme="minorHAnsi" w:hAnsiTheme="minorHAnsi"/>
          <w:sz w:val="20"/>
        </w:rPr>
      </w:pPr>
      <w:r w:rsidRPr="002278CD">
        <w:rPr>
          <w:rFonts w:asciiTheme="minorHAnsi" w:hAnsiTheme="minorHAnsi"/>
          <w:sz w:val="20"/>
        </w:rPr>
        <w:tab/>
        <w:t>(b)</w:t>
      </w:r>
      <w:r w:rsidRPr="002278CD">
        <w:rPr>
          <w:rFonts w:asciiTheme="minorHAnsi" w:hAnsiTheme="minorHAnsi"/>
          <w:sz w:val="20"/>
        </w:rPr>
        <w:tab/>
        <w:t>may give the direction before any evidence is adduced in the trial.</w:t>
      </w:r>
    </w:p>
    <w:p w14:paraId="3A32161A" w14:textId="77777777" w:rsidR="00341E46" w:rsidRPr="002278CD" w:rsidRDefault="00341E46" w:rsidP="002278CD">
      <w:pPr>
        <w:pStyle w:val="Indenta"/>
        <w:rPr>
          <w:rFonts w:asciiTheme="minorHAnsi" w:hAnsiTheme="minorHAnsi"/>
          <w:sz w:val="20"/>
        </w:rPr>
      </w:pPr>
    </w:p>
    <w:p w14:paraId="2E86AC6D"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(5)</w:t>
      </w:r>
      <w:r w:rsidRPr="002278CD">
        <w:rPr>
          <w:rFonts w:asciiTheme="minorHAnsi" w:hAnsiTheme="minorHAnsi"/>
          <w:sz w:val="20"/>
          <w:szCs w:val="20"/>
        </w:rPr>
        <w:tab/>
        <w:t>The trial judge may repeat a direction at any time in the trial.</w:t>
      </w:r>
    </w:p>
    <w:p w14:paraId="7F91A849"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(6)</w:t>
      </w:r>
      <w:r w:rsidRPr="002278CD">
        <w:rPr>
          <w:rFonts w:asciiTheme="minorHAnsi" w:hAnsiTheme="minorHAnsi"/>
          <w:sz w:val="20"/>
          <w:szCs w:val="20"/>
        </w:rPr>
        <w:tab/>
        <w:t>This section, and sections 39E and 39F, do not limit what the trial judge may include in any other direction to the jury, including in relation to evidence given by an expert witness.</w:t>
      </w:r>
    </w:p>
    <w:p w14:paraId="11F1FECB" w14:textId="77777777" w:rsidR="002278CD" w:rsidRPr="002278CD" w:rsidRDefault="002278CD" w:rsidP="002278CD">
      <w:pPr>
        <w:pStyle w:val="Footnotesection"/>
        <w:rPr>
          <w:rFonts w:asciiTheme="minorHAnsi" w:hAnsiTheme="minorHAnsi"/>
          <w:sz w:val="20"/>
        </w:rPr>
      </w:pPr>
      <w:r w:rsidRPr="002278CD">
        <w:rPr>
          <w:rFonts w:asciiTheme="minorHAnsi" w:hAnsiTheme="minorHAnsi"/>
          <w:sz w:val="20"/>
        </w:rPr>
        <w:tab/>
        <w:t>[Section 39C inserted: No. 30 of 2020 s. 94.]</w:t>
      </w:r>
    </w:p>
    <w:p w14:paraId="0BC87868" w14:textId="77777777" w:rsidR="002278CD" w:rsidRPr="002278CD" w:rsidRDefault="002278CD" w:rsidP="002278CD">
      <w:pPr>
        <w:pStyle w:val="Footnotesection"/>
        <w:rPr>
          <w:rFonts w:asciiTheme="minorHAnsi" w:hAnsiTheme="minorHAnsi"/>
          <w:sz w:val="20"/>
        </w:rPr>
      </w:pPr>
    </w:p>
    <w:p w14:paraId="24BFEC46" w14:textId="77777777" w:rsidR="002278CD" w:rsidRPr="00173C5D" w:rsidRDefault="002278CD" w:rsidP="002278CD">
      <w:pPr>
        <w:pStyle w:val="Heading5"/>
        <w:numPr>
          <w:ilvl w:val="0"/>
          <w:numId w:val="0"/>
        </w:numPr>
        <w:ind w:left="1008" w:hanging="1008"/>
        <w:rPr>
          <w:rStyle w:val="CharSectno"/>
          <w:b/>
          <w:color w:val="auto"/>
        </w:rPr>
      </w:pPr>
      <w:bookmarkStart w:id="144" w:name="_Toc80794371"/>
      <w:r w:rsidRPr="00173C5D">
        <w:rPr>
          <w:rStyle w:val="CharSectno"/>
          <w:rFonts w:asciiTheme="minorHAnsi" w:hAnsiTheme="minorHAnsi"/>
          <w:b/>
          <w:color w:val="auto"/>
          <w:sz w:val="20"/>
          <w:szCs w:val="20"/>
        </w:rPr>
        <w:t>39D</w:t>
      </w:r>
      <w:r w:rsidRPr="00173C5D">
        <w:rPr>
          <w:rStyle w:val="CharSectno"/>
          <w:b/>
          <w:color w:val="auto"/>
        </w:rPr>
        <w:t>.</w:t>
      </w:r>
      <w:r w:rsidRPr="00173C5D">
        <w:rPr>
          <w:rStyle w:val="CharSectno"/>
          <w:b/>
          <w:color w:val="auto"/>
        </w:rPr>
        <w:tab/>
        <w:t>Request for direction on family violence — general provision</w:t>
      </w:r>
      <w:bookmarkEnd w:id="144"/>
    </w:p>
    <w:p w14:paraId="71D7FFA3"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(1)</w:t>
      </w:r>
      <w:r w:rsidRPr="002278CD">
        <w:rPr>
          <w:rFonts w:asciiTheme="minorHAnsi" w:hAnsiTheme="minorHAnsi"/>
          <w:sz w:val="20"/>
          <w:szCs w:val="20"/>
        </w:rPr>
        <w:tab/>
        <w:t>In criminal proceedings in which family violence is an issue, prosecution or defence counsel (or, if the accused is unrepresented, the accused) may request at any time that the trial judge direct the jury on family violence in accordance with all or specified parts of section 39F.</w:t>
      </w:r>
    </w:p>
    <w:p w14:paraId="0676F1A0"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(2)</w:t>
      </w:r>
      <w:r w:rsidRPr="002278CD">
        <w:rPr>
          <w:rFonts w:asciiTheme="minorHAnsi" w:hAnsiTheme="minorHAnsi"/>
          <w:sz w:val="20"/>
          <w:szCs w:val="20"/>
        </w:rPr>
        <w:tab/>
        <w:t>The trial judge must give the jury a requested direction on family violence, including all or specified parts of section 39F if so requested, unless there are good reasons for not doing so.</w:t>
      </w:r>
    </w:p>
    <w:p w14:paraId="1C203FB3"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(3)</w:t>
      </w:r>
      <w:r w:rsidRPr="002278CD">
        <w:rPr>
          <w:rFonts w:asciiTheme="minorHAnsi" w:hAnsiTheme="minorHAnsi"/>
          <w:sz w:val="20"/>
          <w:szCs w:val="20"/>
        </w:rPr>
        <w:tab/>
        <w:t>If a direction on family violence is not requested, the trial judge may give the direction if the trial judge considers that it is in the interests of justice to do so.</w:t>
      </w:r>
    </w:p>
    <w:p w14:paraId="1C386ED3"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(4)</w:t>
      </w:r>
      <w:r w:rsidRPr="002278CD">
        <w:rPr>
          <w:rFonts w:asciiTheme="minorHAnsi" w:hAnsiTheme="minorHAnsi"/>
          <w:sz w:val="20"/>
          <w:szCs w:val="20"/>
        </w:rPr>
        <w:tab/>
        <w:t>The trial judge —</w:t>
      </w:r>
    </w:p>
    <w:p w14:paraId="3C00625B"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(a)</w:t>
      </w:r>
      <w:r w:rsidRPr="002278CD">
        <w:rPr>
          <w:rFonts w:asciiTheme="minorHAnsi" w:hAnsiTheme="minorHAnsi"/>
          <w:sz w:val="20"/>
        </w:rPr>
        <w:tab/>
        <w:t>must give the direction as soon as practicable after the request is made; and</w:t>
      </w:r>
    </w:p>
    <w:p w14:paraId="75C9FE65" w14:textId="77777777" w:rsidR="002278CD" w:rsidRDefault="002278CD" w:rsidP="002278CD">
      <w:pPr>
        <w:pStyle w:val="Indenta"/>
        <w:rPr>
          <w:rFonts w:asciiTheme="minorHAnsi" w:hAnsiTheme="minorHAnsi"/>
          <w:sz w:val="20"/>
        </w:rPr>
      </w:pPr>
      <w:r w:rsidRPr="002278CD">
        <w:rPr>
          <w:rFonts w:asciiTheme="minorHAnsi" w:hAnsiTheme="minorHAnsi"/>
          <w:sz w:val="20"/>
        </w:rPr>
        <w:tab/>
        <w:t>(b)</w:t>
      </w:r>
      <w:r w:rsidRPr="002278CD">
        <w:rPr>
          <w:rFonts w:asciiTheme="minorHAnsi" w:hAnsiTheme="minorHAnsi"/>
          <w:sz w:val="20"/>
        </w:rPr>
        <w:tab/>
        <w:t>may give the direction before any evidence is adduced in the trial.</w:t>
      </w:r>
    </w:p>
    <w:p w14:paraId="61315184" w14:textId="77777777" w:rsidR="00341E46" w:rsidRPr="002278CD" w:rsidRDefault="00341E46" w:rsidP="002278CD">
      <w:pPr>
        <w:pStyle w:val="Indenta"/>
        <w:rPr>
          <w:rFonts w:asciiTheme="minorHAnsi" w:hAnsiTheme="minorHAnsi"/>
          <w:sz w:val="20"/>
        </w:rPr>
      </w:pPr>
    </w:p>
    <w:p w14:paraId="3C11134A"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(5)</w:t>
      </w:r>
      <w:r w:rsidRPr="002278CD">
        <w:rPr>
          <w:rFonts w:asciiTheme="minorHAnsi" w:hAnsiTheme="minorHAnsi"/>
          <w:sz w:val="20"/>
          <w:szCs w:val="20"/>
        </w:rPr>
        <w:tab/>
        <w:t>The trial judge may repeat a direction at any time in the trial.</w:t>
      </w:r>
    </w:p>
    <w:p w14:paraId="761DCBA8"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(6)</w:t>
      </w:r>
      <w:r w:rsidRPr="002278CD">
        <w:rPr>
          <w:rFonts w:asciiTheme="minorHAnsi" w:hAnsiTheme="minorHAnsi"/>
          <w:sz w:val="20"/>
          <w:szCs w:val="20"/>
        </w:rPr>
        <w:tab/>
        <w:t>This section, and section 39F, do not limit what the trial judge may include in any other direction to the jury, including in relation to evidence given by an expert witness.</w:t>
      </w:r>
    </w:p>
    <w:p w14:paraId="701ADAB3" w14:textId="77777777" w:rsidR="002278CD" w:rsidRPr="002278CD" w:rsidRDefault="002278CD" w:rsidP="002278CD">
      <w:pPr>
        <w:pStyle w:val="Footnotesection"/>
        <w:rPr>
          <w:rFonts w:asciiTheme="minorHAnsi" w:hAnsiTheme="minorHAnsi"/>
          <w:sz w:val="20"/>
        </w:rPr>
      </w:pPr>
      <w:r w:rsidRPr="002278CD">
        <w:rPr>
          <w:rFonts w:asciiTheme="minorHAnsi" w:hAnsiTheme="minorHAnsi"/>
          <w:sz w:val="20"/>
        </w:rPr>
        <w:tab/>
        <w:t>[Section 39D inserted: No. 30 of 2020 s. 94.]</w:t>
      </w:r>
    </w:p>
    <w:p w14:paraId="5144E9CE" w14:textId="77777777" w:rsidR="002278CD" w:rsidRPr="002278CD" w:rsidRDefault="002278CD" w:rsidP="002278CD">
      <w:pPr>
        <w:pStyle w:val="Footnotesection"/>
        <w:rPr>
          <w:rFonts w:asciiTheme="minorHAnsi" w:hAnsiTheme="minorHAnsi"/>
          <w:sz w:val="20"/>
        </w:rPr>
      </w:pPr>
    </w:p>
    <w:p w14:paraId="5BCA6983" w14:textId="77777777" w:rsidR="002278CD" w:rsidRPr="00173C5D" w:rsidRDefault="002278CD" w:rsidP="002278CD">
      <w:pPr>
        <w:pStyle w:val="Heading5"/>
        <w:numPr>
          <w:ilvl w:val="0"/>
          <w:numId w:val="0"/>
        </w:numPr>
        <w:ind w:left="1008" w:hanging="1008"/>
        <w:rPr>
          <w:rStyle w:val="CharSectno"/>
          <w:b/>
          <w:color w:val="auto"/>
        </w:rPr>
      </w:pPr>
      <w:bookmarkStart w:id="145" w:name="_Toc80794372"/>
      <w:r w:rsidRPr="00173C5D">
        <w:rPr>
          <w:rStyle w:val="CharSectno"/>
          <w:rFonts w:asciiTheme="minorHAnsi" w:hAnsiTheme="minorHAnsi"/>
          <w:b/>
          <w:color w:val="auto"/>
          <w:sz w:val="20"/>
          <w:szCs w:val="20"/>
        </w:rPr>
        <w:t>39E</w:t>
      </w:r>
      <w:r w:rsidRPr="00173C5D">
        <w:rPr>
          <w:rStyle w:val="CharSectno"/>
          <w:b/>
          <w:color w:val="auto"/>
        </w:rPr>
        <w:t>.</w:t>
      </w:r>
      <w:r w:rsidRPr="00173C5D">
        <w:rPr>
          <w:rStyle w:val="CharSectno"/>
          <w:b/>
          <w:color w:val="auto"/>
        </w:rPr>
        <w:tab/>
        <w:t>Content of direction on family violence</w:t>
      </w:r>
      <w:bookmarkEnd w:id="145"/>
    </w:p>
    <w:p w14:paraId="7F3EB315"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r>
      <w:r w:rsidRPr="002278CD">
        <w:rPr>
          <w:rFonts w:asciiTheme="minorHAnsi" w:hAnsiTheme="minorHAnsi"/>
          <w:sz w:val="20"/>
          <w:szCs w:val="20"/>
        </w:rPr>
        <w:tab/>
        <w:t>In giving a direction under section 39C, the trial judge must inform the jury that —</w:t>
      </w:r>
    </w:p>
    <w:p w14:paraId="23692D6F"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(a)</w:t>
      </w:r>
      <w:r w:rsidRPr="002278CD">
        <w:rPr>
          <w:rFonts w:asciiTheme="minorHAnsi" w:hAnsiTheme="minorHAnsi"/>
          <w:sz w:val="20"/>
        </w:rPr>
        <w:tab/>
        <w:t>self</w:t>
      </w:r>
      <w:r w:rsidRPr="002278CD">
        <w:rPr>
          <w:rFonts w:asciiTheme="minorHAnsi" w:hAnsiTheme="minorHAnsi"/>
          <w:sz w:val="20"/>
        </w:rPr>
        <w:noBreakHyphen/>
        <w:t>defence is, or is likely to be, an issue in the trial; and</w:t>
      </w:r>
    </w:p>
    <w:p w14:paraId="1500B818"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(b)</w:t>
      </w:r>
      <w:r w:rsidRPr="002278CD">
        <w:rPr>
          <w:rFonts w:asciiTheme="minorHAnsi" w:hAnsiTheme="minorHAnsi"/>
          <w:sz w:val="20"/>
        </w:rPr>
        <w:tab/>
        <w:t>as a matter of law, evidence of family violence may be relevant to determining whether the accused acted in self</w:t>
      </w:r>
      <w:r w:rsidRPr="002278CD">
        <w:rPr>
          <w:rFonts w:asciiTheme="minorHAnsi" w:hAnsiTheme="minorHAnsi"/>
          <w:sz w:val="20"/>
        </w:rPr>
        <w:noBreakHyphen/>
        <w:t>defence; and</w:t>
      </w:r>
    </w:p>
    <w:p w14:paraId="57A3301B"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(c)</w:t>
      </w:r>
      <w:r w:rsidRPr="002278CD">
        <w:rPr>
          <w:rFonts w:asciiTheme="minorHAnsi" w:hAnsiTheme="minorHAnsi"/>
          <w:sz w:val="20"/>
        </w:rPr>
        <w:tab/>
        <w:t>evidence in the trial is likely to include evidence of family violence committed by the victim against the accused or another person whom the accused was defending.</w:t>
      </w:r>
    </w:p>
    <w:p w14:paraId="2A796F46" w14:textId="77777777" w:rsidR="002278CD" w:rsidRPr="002278CD" w:rsidRDefault="002278CD" w:rsidP="002278CD">
      <w:pPr>
        <w:pStyle w:val="Footnotesection"/>
        <w:rPr>
          <w:rFonts w:asciiTheme="minorHAnsi" w:hAnsiTheme="minorHAnsi"/>
          <w:sz w:val="20"/>
        </w:rPr>
      </w:pPr>
      <w:r w:rsidRPr="002278CD">
        <w:rPr>
          <w:rFonts w:asciiTheme="minorHAnsi" w:hAnsiTheme="minorHAnsi"/>
          <w:sz w:val="20"/>
        </w:rPr>
        <w:tab/>
        <w:t>[Section 39E inserted: No. 30 of 2020 s. 94.]</w:t>
      </w:r>
    </w:p>
    <w:p w14:paraId="0FAEA6C0" w14:textId="77777777" w:rsidR="002278CD" w:rsidRPr="002278CD" w:rsidRDefault="002278CD" w:rsidP="002278CD">
      <w:pPr>
        <w:rPr>
          <w:rStyle w:val="CharSectno"/>
          <w:rFonts w:asciiTheme="minorHAnsi" w:hAnsiTheme="minorHAnsi"/>
          <w:sz w:val="20"/>
          <w:szCs w:val="20"/>
        </w:rPr>
      </w:pPr>
      <w:bookmarkStart w:id="146" w:name="_Toc80794373"/>
    </w:p>
    <w:p w14:paraId="3A3FD0D1" w14:textId="77777777" w:rsidR="002278CD" w:rsidRPr="00173C5D" w:rsidRDefault="002278CD" w:rsidP="002278CD">
      <w:pPr>
        <w:pStyle w:val="Heading5"/>
        <w:numPr>
          <w:ilvl w:val="0"/>
          <w:numId w:val="0"/>
        </w:numPr>
        <w:ind w:left="1008" w:hanging="1008"/>
        <w:rPr>
          <w:rStyle w:val="CharSectno"/>
          <w:b/>
          <w:color w:val="auto"/>
        </w:rPr>
      </w:pPr>
      <w:r w:rsidRPr="00173C5D">
        <w:rPr>
          <w:rStyle w:val="CharSectno"/>
          <w:rFonts w:asciiTheme="minorHAnsi" w:hAnsiTheme="minorHAnsi"/>
          <w:b/>
          <w:color w:val="auto"/>
          <w:sz w:val="20"/>
          <w:szCs w:val="20"/>
        </w:rPr>
        <w:t>39F</w:t>
      </w:r>
      <w:r w:rsidRPr="00173C5D">
        <w:rPr>
          <w:rStyle w:val="CharSectno"/>
          <w:b/>
          <w:color w:val="auto"/>
        </w:rPr>
        <w:t>.</w:t>
      </w:r>
      <w:r w:rsidRPr="00173C5D">
        <w:rPr>
          <w:rStyle w:val="CharSectno"/>
          <w:b/>
          <w:color w:val="auto"/>
        </w:rPr>
        <w:tab/>
        <w:t>Additional matters for direction on family violence</w:t>
      </w:r>
      <w:bookmarkEnd w:id="146"/>
    </w:p>
    <w:p w14:paraId="3D3ABD30"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(1)</w:t>
      </w:r>
      <w:r w:rsidRPr="002278CD">
        <w:rPr>
          <w:rFonts w:asciiTheme="minorHAnsi" w:hAnsiTheme="minorHAnsi"/>
          <w:sz w:val="20"/>
          <w:szCs w:val="20"/>
        </w:rPr>
        <w:tab/>
        <w:t>In giving a direction requested under section 39C or 39D, the trial judge may include any of the following matters in the direction —</w:t>
      </w:r>
    </w:p>
    <w:p w14:paraId="1178BD6C"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(a)</w:t>
      </w:r>
      <w:r w:rsidRPr="002278CD">
        <w:rPr>
          <w:rFonts w:asciiTheme="minorHAnsi" w:hAnsiTheme="minorHAnsi"/>
          <w:sz w:val="20"/>
        </w:rPr>
        <w:tab/>
        <w:t>that family violence —</w:t>
      </w:r>
    </w:p>
    <w:p w14:paraId="600789AF" w14:textId="77777777" w:rsidR="002278CD" w:rsidRPr="002278CD" w:rsidRDefault="002278CD" w:rsidP="002278CD">
      <w:pPr>
        <w:pStyle w:val="Indenti"/>
        <w:rPr>
          <w:rFonts w:asciiTheme="minorHAnsi" w:hAnsiTheme="minorHAnsi"/>
          <w:sz w:val="20"/>
        </w:rPr>
      </w:pPr>
      <w:r w:rsidRPr="002278CD">
        <w:rPr>
          <w:rFonts w:asciiTheme="minorHAnsi" w:hAnsiTheme="minorHAnsi"/>
          <w:sz w:val="20"/>
        </w:rPr>
        <w:tab/>
        <w:t>(i)</w:t>
      </w:r>
      <w:r w:rsidRPr="002278CD">
        <w:rPr>
          <w:rFonts w:asciiTheme="minorHAnsi" w:hAnsiTheme="minorHAnsi"/>
          <w:sz w:val="20"/>
        </w:rPr>
        <w:tab/>
        <w:t>is not limited to physical abuse and may, for example, include sexual abuse, psychological abuse or financial abuse;</w:t>
      </w:r>
    </w:p>
    <w:p w14:paraId="1C39FA49" w14:textId="77777777" w:rsidR="002278CD" w:rsidRPr="002278CD" w:rsidRDefault="002278CD" w:rsidP="002278CD">
      <w:pPr>
        <w:pStyle w:val="Indenti"/>
        <w:rPr>
          <w:rFonts w:asciiTheme="minorHAnsi" w:hAnsiTheme="minorHAnsi"/>
          <w:sz w:val="20"/>
        </w:rPr>
      </w:pPr>
      <w:r w:rsidRPr="002278CD">
        <w:rPr>
          <w:rFonts w:asciiTheme="minorHAnsi" w:hAnsiTheme="minorHAnsi"/>
          <w:sz w:val="20"/>
        </w:rPr>
        <w:tab/>
        <w:t>(ii)</w:t>
      </w:r>
      <w:r w:rsidRPr="002278CD">
        <w:rPr>
          <w:rFonts w:asciiTheme="minorHAnsi" w:hAnsiTheme="minorHAnsi"/>
          <w:sz w:val="20"/>
        </w:rPr>
        <w:tab/>
        <w:t>may amount to violence against a person even though it is immediately directed at another person;</w:t>
      </w:r>
    </w:p>
    <w:p w14:paraId="774371B9" w14:textId="77777777" w:rsidR="002278CD" w:rsidRPr="002278CD" w:rsidRDefault="002278CD" w:rsidP="002278CD">
      <w:pPr>
        <w:pStyle w:val="Indenti"/>
        <w:rPr>
          <w:rFonts w:asciiTheme="minorHAnsi" w:hAnsiTheme="minorHAnsi"/>
          <w:sz w:val="20"/>
        </w:rPr>
      </w:pPr>
      <w:r w:rsidRPr="002278CD">
        <w:rPr>
          <w:rFonts w:asciiTheme="minorHAnsi" w:hAnsiTheme="minorHAnsi"/>
          <w:sz w:val="20"/>
        </w:rPr>
        <w:tab/>
        <w:t>(iii)</w:t>
      </w:r>
      <w:r w:rsidRPr="002278CD">
        <w:rPr>
          <w:rFonts w:asciiTheme="minorHAnsi" w:hAnsiTheme="minorHAnsi"/>
          <w:sz w:val="20"/>
        </w:rPr>
        <w:tab/>
        <w:t>may consist of a single act;</w:t>
      </w:r>
    </w:p>
    <w:p w14:paraId="716EB0AD" w14:textId="77777777" w:rsidR="002278CD" w:rsidRPr="002278CD" w:rsidRDefault="002278CD" w:rsidP="002278CD">
      <w:pPr>
        <w:pStyle w:val="Indenti"/>
        <w:rPr>
          <w:rFonts w:asciiTheme="minorHAnsi" w:hAnsiTheme="minorHAnsi"/>
          <w:sz w:val="20"/>
        </w:rPr>
      </w:pPr>
      <w:r w:rsidRPr="002278CD">
        <w:rPr>
          <w:rFonts w:asciiTheme="minorHAnsi" w:hAnsiTheme="minorHAnsi"/>
          <w:sz w:val="20"/>
        </w:rPr>
        <w:lastRenderedPageBreak/>
        <w:tab/>
        <w:t>(iv)</w:t>
      </w:r>
      <w:r w:rsidRPr="002278CD">
        <w:rPr>
          <w:rFonts w:asciiTheme="minorHAnsi" w:hAnsiTheme="minorHAnsi"/>
          <w:sz w:val="20"/>
        </w:rPr>
        <w:tab/>
        <w:t>may consist of separate acts that form part of a pattern of behaviour which can amount to abuse even though some or all of those acts may, when viewed in isolation, appear to be minor or trivial;</w:t>
      </w:r>
    </w:p>
    <w:p w14:paraId="3E7CE165"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(b)</w:t>
      </w:r>
      <w:r w:rsidRPr="002278CD">
        <w:rPr>
          <w:rFonts w:asciiTheme="minorHAnsi" w:hAnsiTheme="minorHAnsi"/>
          <w:sz w:val="20"/>
        </w:rPr>
        <w:tab/>
        <w:t>if relevant, that experience shows that —</w:t>
      </w:r>
    </w:p>
    <w:p w14:paraId="57DFC5F8" w14:textId="77777777" w:rsidR="002278CD" w:rsidRPr="002278CD" w:rsidRDefault="002278CD" w:rsidP="002278CD">
      <w:pPr>
        <w:pStyle w:val="Indenti"/>
        <w:rPr>
          <w:rFonts w:asciiTheme="minorHAnsi" w:hAnsiTheme="minorHAnsi"/>
          <w:sz w:val="20"/>
        </w:rPr>
      </w:pPr>
      <w:r w:rsidRPr="002278CD">
        <w:rPr>
          <w:rFonts w:asciiTheme="minorHAnsi" w:hAnsiTheme="minorHAnsi"/>
          <w:sz w:val="20"/>
        </w:rPr>
        <w:tab/>
        <w:t>(i)</w:t>
      </w:r>
      <w:r w:rsidRPr="002278CD">
        <w:rPr>
          <w:rFonts w:asciiTheme="minorHAnsi" w:hAnsiTheme="minorHAnsi"/>
          <w:sz w:val="20"/>
        </w:rPr>
        <w:tab/>
        <w:t>people may react differently to family violence and there is no typical, proper or normal response to family violence;</w:t>
      </w:r>
    </w:p>
    <w:p w14:paraId="3EBA929C" w14:textId="77777777" w:rsidR="002278CD" w:rsidRPr="002278CD" w:rsidRDefault="002278CD" w:rsidP="002278CD">
      <w:pPr>
        <w:pStyle w:val="Indenti"/>
        <w:rPr>
          <w:rFonts w:asciiTheme="minorHAnsi" w:hAnsiTheme="minorHAnsi"/>
          <w:sz w:val="20"/>
        </w:rPr>
      </w:pPr>
      <w:r w:rsidRPr="002278CD">
        <w:rPr>
          <w:rFonts w:asciiTheme="minorHAnsi" w:hAnsiTheme="minorHAnsi"/>
          <w:sz w:val="20"/>
        </w:rPr>
        <w:tab/>
        <w:t>(ii)</w:t>
      </w:r>
      <w:r w:rsidRPr="002278CD">
        <w:rPr>
          <w:rFonts w:asciiTheme="minorHAnsi" w:hAnsiTheme="minorHAnsi"/>
          <w:sz w:val="20"/>
        </w:rPr>
        <w:tab/>
        <w:t>it is not uncommon for a person who has been subjected to family violence to stay with an abusive partner after the onset of family violence, or to leave and then return to the partner;</w:t>
      </w:r>
    </w:p>
    <w:p w14:paraId="16974A82" w14:textId="77777777" w:rsidR="002278CD" w:rsidRPr="002278CD" w:rsidRDefault="002278CD" w:rsidP="002278CD">
      <w:pPr>
        <w:pStyle w:val="Indenti"/>
        <w:rPr>
          <w:rFonts w:asciiTheme="minorHAnsi" w:hAnsiTheme="minorHAnsi"/>
          <w:sz w:val="20"/>
        </w:rPr>
      </w:pPr>
      <w:r w:rsidRPr="002278CD">
        <w:rPr>
          <w:rFonts w:asciiTheme="minorHAnsi" w:hAnsiTheme="minorHAnsi"/>
          <w:sz w:val="20"/>
        </w:rPr>
        <w:tab/>
        <w:t>(iii)</w:t>
      </w:r>
      <w:r w:rsidRPr="002278CD">
        <w:rPr>
          <w:rFonts w:asciiTheme="minorHAnsi" w:hAnsiTheme="minorHAnsi"/>
          <w:sz w:val="20"/>
        </w:rPr>
        <w:tab/>
        <w:t>it is not uncommon for a person who has been subjected to family violence not to report family violence to police or seek assistance to stop family violence;</w:t>
      </w:r>
    </w:p>
    <w:p w14:paraId="45121CEA" w14:textId="77777777" w:rsidR="002278CD" w:rsidRPr="002278CD" w:rsidRDefault="002278CD" w:rsidP="002278CD">
      <w:pPr>
        <w:pStyle w:val="Indenti"/>
        <w:rPr>
          <w:rFonts w:asciiTheme="minorHAnsi" w:hAnsiTheme="minorHAnsi"/>
          <w:sz w:val="20"/>
        </w:rPr>
      </w:pPr>
      <w:r w:rsidRPr="002278CD">
        <w:rPr>
          <w:rFonts w:asciiTheme="minorHAnsi" w:hAnsiTheme="minorHAnsi"/>
          <w:sz w:val="20"/>
        </w:rPr>
        <w:tab/>
        <w:t>(iv)</w:t>
      </w:r>
      <w:r w:rsidRPr="002278CD">
        <w:rPr>
          <w:rFonts w:asciiTheme="minorHAnsi" w:hAnsiTheme="minorHAnsi"/>
          <w:sz w:val="20"/>
        </w:rPr>
        <w:tab/>
        <w:t>decisions made by a person subjected to family violence about how to address, respond to or avoid family violence may be influenced by a variety of factors;</w:t>
      </w:r>
    </w:p>
    <w:p w14:paraId="62EC25FB" w14:textId="77777777" w:rsidR="002278CD" w:rsidRPr="002278CD" w:rsidRDefault="002278CD" w:rsidP="002278CD">
      <w:pPr>
        <w:pStyle w:val="Indenti"/>
        <w:rPr>
          <w:rFonts w:asciiTheme="minorHAnsi" w:hAnsiTheme="minorHAnsi"/>
          <w:sz w:val="20"/>
        </w:rPr>
      </w:pPr>
      <w:r w:rsidRPr="002278CD">
        <w:rPr>
          <w:rFonts w:asciiTheme="minorHAnsi" w:hAnsiTheme="minorHAnsi"/>
          <w:sz w:val="20"/>
        </w:rPr>
        <w:tab/>
        <w:t>(v)</w:t>
      </w:r>
      <w:r w:rsidRPr="002278CD">
        <w:rPr>
          <w:rFonts w:asciiTheme="minorHAnsi" w:hAnsiTheme="minorHAnsi"/>
          <w:sz w:val="20"/>
        </w:rPr>
        <w:tab/>
        <w:t>it is not uncommon for a decision to leave an abusive partner, or to seek assistance, to increase apprehension about, or the actual risk of, harm;</w:t>
      </w:r>
    </w:p>
    <w:p w14:paraId="1879FA62"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(c)</w:t>
      </w:r>
      <w:r w:rsidRPr="002278CD">
        <w:rPr>
          <w:rFonts w:asciiTheme="minorHAnsi" w:hAnsiTheme="minorHAnsi"/>
          <w:sz w:val="20"/>
        </w:rPr>
        <w:tab/>
        <w:t>in the case of self</w:t>
      </w:r>
      <w:r w:rsidRPr="002278CD">
        <w:rPr>
          <w:rFonts w:asciiTheme="minorHAnsi" w:hAnsiTheme="minorHAnsi"/>
          <w:sz w:val="20"/>
        </w:rPr>
        <w:noBreakHyphen/>
        <w:t>defence, that, as a matter of law, evidence that the accused assaulted the victim on a previous occasion does not mean that the accused could not have been acting in self</w:t>
      </w:r>
      <w:r w:rsidRPr="002278CD">
        <w:rPr>
          <w:rFonts w:asciiTheme="minorHAnsi" w:hAnsiTheme="minorHAnsi"/>
          <w:sz w:val="20"/>
        </w:rPr>
        <w:noBreakHyphen/>
        <w:t>defence in relation to the offence charged.</w:t>
      </w:r>
    </w:p>
    <w:p w14:paraId="1A87402B" w14:textId="77777777" w:rsidR="002278CD" w:rsidRPr="002278CD" w:rsidRDefault="002278CD" w:rsidP="002278CD">
      <w:pPr>
        <w:pStyle w:val="Indenta"/>
        <w:rPr>
          <w:rFonts w:asciiTheme="minorHAnsi" w:hAnsiTheme="minorHAnsi"/>
          <w:sz w:val="20"/>
        </w:rPr>
      </w:pPr>
    </w:p>
    <w:p w14:paraId="51B57ECC"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(2)</w:t>
      </w:r>
      <w:r w:rsidRPr="002278CD">
        <w:rPr>
          <w:rFonts w:asciiTheme="minorHAnsi" w:hAnsiTheme="minorHAnsi"/>
          <w:sz w:val="20"/>
          <w:szCs w:val="20"/>
        </w:rPr>
        <w:tab/>
        <w:t>In making a direction under subsection (1), the trial judge may also indicate that behaviour, or patterns of behaviour, that may constitute family violence may include (but are not limited to) —</w:t>
      </w:r>
    </w:p>
    <w:p w14:paraId="3ACE3565"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(a)</w:t>
      </w:r>
      <w:r w:rsidRPr="002278CD">
        <w:rPr>
          <w:rFonts w:asciiTheme="minorHAnsi" w:hAnsiTheme="minorHAnsi"/>
          <w:sz w:val="20"/>
        </w:rPr>
        <w:tab/>
        <w:t>placing or keeping a person in a dependent or subordinate relationship;</w:t>
      </w:r>
    </w:p>
    <w:p w14:paraId="13E34301"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(b)</w:t>
      </w:r>
      <w:r w:rsidRPr="002278CD">
        <w:rPr>
          <w:rFonts w:asciiTheme="minorHAnsi" w:hAnsiTheme="minorHAnsi"/>
          <w:sz w:val="20"/>
        </w:rPr>
        <w:tab/>
        <w:t>isolating a person from family, friends or other sources of support;</w:t>
      </w:r>
    </w:p>
    <w:p w14:paraId="108E32A4"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(c)</w:t>
      </w:r>
      <w:r w:rsidRPr="002278CD">
        <w:rPr>
          <w:rFonts w:asciiTheme="minorHAnsi" w:hAnsiTheme="minorHAnsi"/>
          <w:sz w:val="20"/>
        </w:rPr>
        <w:tab/>
        <w:t>controlling, regulating or monitoring a person’s day</w:t>
      </w:r>
      <w:r w:rsidRPr="002278CD">
        <w:rPr>
          <w:rFonts w:asciiTheme="minorHAnsi" w:hAnsiTheme="minorHAnsi"/>
          <w:sz w:val="20"/>
        </w:rPr>
        <w:noBreakHyphen/>
        <w:t>to</w:t>
      </w:r>
      <w:r w:rsidRPr="002278CD">
        <w:rPr>
          <w:rFonts w:asciiTheme="minorHAnsi" w:hAnsiTheme="minorHAnsi"/>
          <w:sz w:val="20"/>
        </w:rPr>
        <w:noBreakHyphen/>
        <w:t>day activities;</w:t>
      </w:r>
    </w:p>
    <w:p w14:paraId="3A3976AD"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(d)</w:t>
      </w:r>
      <w:r w:rsidRPr="002278CD">
        <w:rPr>
          <w:rFonts w:asciiTheme="minorHAnsi" w:hAnsiTheme="minorHAnsi"/>
          <w:sz w:val="20"/>
        </w:rPr>
        <w:tab/>
        <w:t>depriving or restricting a person’s freedom of movement or action;</w:t>
      </w:r>
    </w:p>
    <w:p w14:paraId="498A8E0F"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(e)</w:t>
      </w:r>
      <w:r w:rsidRPr="002278CD">
        <w:rPr>
          <w:rFonts w:asciiTheme="minorHAnsi" w:hAnsiTheme="minorHAnsi"/>
          <w:sz w:val="20"/>
        </w:rPr>
        <w:tab/>
        <w:t>restricting a person’s ability to resist violence;</w:t>
      </w:r>
    </w:p>
    <w:p w14:paraId="6378ACAA"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(f)</w:t>
      </w:r>
      <w:r w:rsidRPr="002278CD">
        <w:rPr>
          <w:rFonts w:asciiTheme="minorHAnsi" w:hAnsiTheme="minorHAnsi"/>
          <w:sz w:val="20"/>
        </w:rPr>
        <w:tab/>
        <w:t>frightening, humiliating, degrading or punishing a person, including punishing a person for resisting violence;</w:t>
      </w:r>
    </w:p>
    <w:p w14:paraId="2784E015"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(g)</w:t>
      </w:r>
      <w:r w:rsidRPr="002278CD">
        <w:rPr>
          <w:rFonts w:asciiTheme="minorHAnsi" w:hAnsiTheme="minorHAnsi"/>
          <w:sz w:val="20"/>
        </w:rPr>
        <w:tab/>
        <w:t>compelling a person to engage in unlawful or harmful conduct.</w:t>
      </w:r>
    </w:p>
    <w:p w14:paraId="2F9555CE" w14:textId="77777777" w:rsidR="002278CD" w:rsidRPr="002278CD" w:rsidRDefault="002278CD" w:rsidP="002278CD">
      <w:pPr>
        <w:pStyle w:val="Indenta"/>
        <w:rPr>
          <w:rFonts w:asciiTheme="minorHAnsi" w:hAnsiTheme="minorHAnsi"/>
          <w:sz w:val="20"/>
        </w:rPr>
      </w:pPr>
    </w:p>
    <w:p w14:paraId="0F0980F4"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t>(3)</w:t>
      </w:r>
      <w:r w:rsidRPr="002278CD">
        <w:rPr>
          <w:rFonts w:asciiTheme="minorHAnsi" w:hAnsiTheme="minorHAnsi"/>
          <w:sz w:val="20"/>
          <w:szCs w:val="20"/>
        </w:rPr>
        <w:tab/>
        <w:t>If the trial judge makes a direction that relates to subsection (1)(b)(iv), the trial judge may also indicate that decisions made by a person subjected to family violence about how to address, respond to or avoid family violence may be influenced by such things as the following —</w:t>
      </w:r>
    </w:p>
    <w:p w14:paraId="7AA4BE32"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(a)</w:t>
      </w:r>
      <w:r w:rsidRPr="002278CD">
        <w:rPr>
          <w:rFonts w:asciiTheme="minorHAnsi" w:hAnsiTheme="minorHAnsi"/>
          <w:sz w:val="20"/>
        </w:rPr>
        <w:tab/>
        <w:t>the family violence itself;</w:t>
      </w:r>
    </w:p>
    <w:p w14:paraId="1D216ECA"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(b)</w:t>
      </w:r>
      <w:r w:rsidRPr="002278CD">
        <w:rPr>
          <w:rFonts w:asciiTheme="minorHAnsi" w:hAnsiTheme="minorHAnsi"/>
          <w:sz w:val="20"/>
        </w:rPr>
        <w:tab/>
        <w:t xml:space="preserve">social, cultural, economic or personal factors, or inequities experienced by the person, including inequities associated with (but not limited to) race, poverty, gender, disability or age; </w:t>
      </w:r>
    </w:p>
    <w:p w14:paraId="26A40125"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(c)</w:t>
      </w:r>
      <w:r w:rsidRPr="002278CD">
        <w:rPr>
          <w:rFonts w:asciiTheme="minorHAnsi" w:hAnsiTheme="minorHAnsi"/>
          <w:sz w:val="20"/>
        </w:rPr>
        <w:tab/>
        <w:t>responses by family, community or agencies to the family violence or to any help</w:t>
      </w:r>
      <w:r w:rsidRPr="002278CD">
        <w:rPr>
          <w:rFonts w:asciiTheme="minorHAnsi" w:hAnsiTheme="minorHAnsi"/>
          <w:sz w:val="20"/>
        </w:rPr>
        <w:noBreakHyphen/>
        <w:t>seeking behaviour or use of safety options by the person;</w:t>
      </w:r>
    </w:p>
    <w:p w14:paraId="7CCCA009"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(d)</w:t>
      </w:r>
      <w:r w:rsidRPr="002278CD">
        <w:rPr>
          <w:rFonts w:asciiTheme="minorHAnsi" w:hAnsiTheme="minorHAnsi"/>
          <w:sz w:val="20"/>
        </w:rPr>
        <w:tab/>
        <w:t xml:space="preserve">the provision of, or failure in the provision of, safety options that might realistically have provided ongoing safety to the person, and the person’s perceptions of how effective those safety options might have been to prevent further harm; </w:t>
      </w:r>
    </w:p>
    <w:p w14:paraId="512470EE" w14:textId="77777777" w:rsidR="002278CD" w:rsidRPr="002278CD" w:rsidRDefault="002278CD" w:rsidP="002278CD">
      <w:pPr>
        <w:pStyle w:val="Indenta"/>
        <w:rPr>
          <w:rFonts w:asciiTheme="minorHAnsi" w:hAnsiTheme="minorHAnsi"/>
          <w:sz w:val="20"/>
        </w:rPr>
      </w:pPr>
      <w:r w:rsidRPr="002278CD">
        <w:rPr>
          <w:rFonts w:asciiTheme="minorHAnsi" w:hAnsiTheme="minorHAnsi"/>
          <w:sz w:val="20"/>
        </w:rPr>
        <w:tab/>
        <w:t>(e)</w:t>
      </w:r>
      <w:r w:rsidRPr="002278CD">
        <w:rPr>
          <w:rFonts w:asciiTheme="minorHAnsi" w:hAnsiTheme="minorHAnsi"/>
          <w:sz w:val="20"/>
        </w:rPr>
        <w:tab/>
        <w:t>further violence, or the threat of further violence, used by a family member to prevent, or in retaliation to, any help</w:t>
      </w:r>
      <w:r w:rsidRPr="002278CD">
        <w:rPr>
          <w:rFonts w:asciiTheme="minorHAnsi" w:hAnsiTheme="minorHAnsi"/>
          <w:sz w:val="20"/>
        </w:rPr>
        <w:noBreakHyphen/>
        <w:t>seeking behaviour or use of safety options by the person.</w:t>
      </w:r>
    </w:p>
    <w:p w14:paraId="7E0D3772" w14:textId="77777777" w:rsidR="002278CD" w:rsidRPr="002278CD" w:rsidRDefault="002278CD" w:rsidP="002278CD">
      <w:pPr>
        <w:pStyle w:val="Footnotesection"/>
        <w:rPr>
          <w:rFonts w:asciiTheme="minorHAnsi" w:hAnsiTheme="minorHAnsi"/>
          <w:sz w:val="20"/>
        </w:rPr>
      </w:pPr>
      <w:r w:rsidRPr="002278CD">
        <w:rPr>
          <w:rFonts w:asciiTheme="minorHAnsi" w:hAnsiTheme="minorHAnsi"/>
          <w:sz w:val="20"/>
        </w:rPr>
        <w:lastRenderedPageBreak/>
        <w:tab/>
        <w:t>[Section 39F inserted: No. 30 of 2020 s. 94.]</w:t>
      </w:r>
    </w:p>
    <w:p w14:paraId="5C14FA36" w14:textId="77777777" w:rsidR="002278CD" w:rsidRPr="002278CD" w:rsidRDefault="002278CD" w:rsidP="002278CD">
      <w:pPr>
        <w:rPr>
          <w:rStyle w:val="CharSectno"/>
          <w:rFonts w:asciiTheme="minorHAnsi" w:hAnsiTheme="minorHAnsi"/>
          <w:sz w:val="20"/>
          <w:szCs w:val="20"/>
        </w:rPr>
      </w:pPr>
      <w:bookmarkStart w:id="147" w:name="_Toc80794374"/>
    </w:p>
    <w:p w14:paraId="2BCFD5BE" w14:textId="77777777" w:rsidR="002278CD" w:rsidRPr="00173C5D" w:rsidRDefault="002278CD" w:rsidP="002278CD">
      <w:pPr>
        <w:pStyle w:val="Heading5"/>
        <w:numPr>
          <w:ilvl w:val="0"/>
          <w:numId w:val="0"/>
        </w:numPr>
        <w:ind w:left="1008" w:hanging="1008"/>
        <w:rPr>
          <w:rStyle w:val="CharSectno"/>
          <w:b/>
          <w:color w:val="auto"/>
        </w:rPr>
      </w:pPr>
      <w:r w:rsidRPr="00173C5D">
        <w:rPr>
          <w:rStyle w:val="CharSectno"/>
          <w:rFonts w:asciiTheme="minorHAnsi" w:hAnsiTheme="minorHAnsi"/>
          <w:b/>
          <w:color w:val="auto"/>
          <w:sz w:val="20"/>
          <w:szCs w:val="20"/>
        </w:rPr>
        <w:t>39G</w:t>
      </w:r>
      <w:r w:rsidRPr="00173C5D">
        <w:rPr>
          <w:rStyle w:val="CharSectno"/>
          <w:b/>
          <w:color w:val="auto"/>
        </w:rPr>
        <w:t>.</w:t>
      </w:r>
      <w:r w:rsidRPr="00173C5D">
        <w:rPr>
          <w:rStyle w:val="CharSectno"/>
          <w:b/>
          <w:color w:val="auto"/>
        </w:rPr>
        <w:tab/>
        <w:t>Application of s. 39E and 39F to criminal proceedings without juries</w:t>
      </w:r>
      <w:bookmarkEnd w:id="147"/>
    </w:p>
    <w:p w14:paraId="5F47919E" w14:textId="77777777" w:rsidR="002278CD" w:rsidRPr="002278CD" w:rsidRDefault="002278CD" w:rsidP="002278CD">
      <w:pPr>
        <w:pStyle w:val="Subsection"/>
        <w:rPr>
          <w:rFonts w:asciiTheme="minorHAnsi" w:hAnsiTheme="minorHAnsi"/>
          <w:sz w:val="20"/>
          <w:szCs w:val="20"/>
        </w:rPr>
      </w:pPr>
      <w:r w:rsidRPr="002278CD">
        <w:rPr>
          <w:rFonts w:asciiTheme="minorHAnsi" w:hAnsiTheme="minorHAnsi"/>
          <w:sz w:val="20"/>
          <w:szCs w:val="20"/>
        </w:rPr>
        <w:tab/>
      </w:r>
      <w:r w:rsidRPr="002278CD">
        <w:rPr>
          <w:rFonts w:asciiTheme="minorHAnsi" w:hAnsiTheme="minorHAnsi"/>
          <w:sz w:val="20"/>
          <w:szCs w:val="20"/>
        </w:rPr>
        <w:tab/>
        <w:t>If a court is sitting without a jury, the court’s reasoning with respect to any matter in relation to which sections 39E and 39F make provision must, to such extent as the court thinks fit, be consistent with how a jury would be directed in accordance with those sections in the particular case.</w:t>
      </w:r>
    </w:p>
    <w:p w14:paraId="57AA520F" w14:textId="77777777" w:rsidR="00352179" w:rsidRPr="00980983" w:rsidRDefault="002278CD" w:rsidP="00980983">
      <w:pPr>
        <w:pStyle w:val="Footnotesection"/>
        <w:rPr>
          <w:rFonts w:asciiTheme="minorHAnsi" w:hAnsiTheme="minorHAnsi"/>
          <w:sz w:val="20"/>
        </w:rPr>
      </w:pPr>
      <w:r w:rsidRPr="002278CD">
        <w:rPr>
          <w:rFonts w:asciiTheme="minorHAnsi" w:hAnsiTheme="minorHAnsi"/>
          <w:sz w:val="20"/>
        </w:rPr>
        <w:tab/>
        <w:t>[Section 39G inserted: No. 30 of 2020 s. 94.]</w:t>
      </w:r>
      <w:r w:rsidR="00352179">
        <w:rPr>
          <w:rFonts w:asciiTheme="minorHAnsi" w:hAnsiTheme="minorHAnsi"/>
          <w:sz w:val="20"/>
        </w:rPr>
        <w:br w:type="page"/>
      </w:r>
    </w:p>
    <w:p w14:paraId="6F043A40" w14:textId="45C949D8" w:rsidR="00352179" w:rsidRPr="00F3583A" w:rsidRDefault="00F3583A" w:rsidP="00A60F47">
      <w:pPr>
        <w:pStyle w:val="Heading2"/>
        <w:ind w:left="1134"/>
        <w:rPr>
          <w:lang w:eastAsia="en-AU"/>
        </w:rPr>
      </w:pPr>
      <w:bookmarkStart w:id="148" w:name="_Toc528151223"/>
      <w:bookmarkStart w:id="149" w:name="_Toc112051919"/>
      <w:r w:rsidRPr="00FA38BB">
        <w:rPr>
          <w:i/>
        </w:rPr>
        <w:lastRenderedPageBreak/>
        <w:t>Juries Directions Act 2005 (Vic)</w:t>
      </w:r>
      <w:r w:rsidRPr="00F3583A">
        <w:t xml:space="preserve"> – Jury Directions</w:t>
      </w:r>
      <w:bookmarkEnd w:id="149"/>
    </w:p>
    <w:p w14:paraId="103B997F" w14:textId="77777777" w:rsidR="00352179" w:rsidRPr="00173C5D" w:rsidRDefault="00352179" w:rsidP="00352179">
      <w:pPr>
        <w:rPr>
          <w:rFonts w:asciiTheme="minorHAnsi" w:hAnsiTheme="minorHAnsi"/>
          <w:b/>
          <w:caps/>
          <w:lang w:eastAsia="en-AU"/>
        </w:rPr>
      </w:pPr>
      <w:r w:rsidRPr="00173C5D">
        <w:rPr>
          <w:rFonts w:asciiTheme="minorHAnsi" w:hAnsiTheme="minorHAnsi"/>
          <w:b/>
          <w:lang w:eastAsia="en-AU"/>
        </w:rPr>
        <w:t>Part 6—Family violence</w:t>
      </w:r>
      <w:bookmarkEnd w:id="148"/>
    </w:p>
    <w:p w14:paraId="597C5482" w14:textId="77777777" w:rsidR="00352179" w:rsidRPr="00173C5D" w:rsidRDefault="00352179" w:rsidP="00352179">
      <w:pPr>
        <w:pStyle w:val="DraftHeading1"/>
        <w:tabs>
          <w:tab w:val="right" w:pos="680"/>
        </w:tabs>
        <w:ind w:left="850" w:hanging="850"/>
        <w:rPr>
          <w:rFonts w:asciiTheme="minorHAnsi" w:hAnsiTheme="minorHAnsi"/>
          <w:sz w:val="22"/>
          <w:szCs w:val="22"/>
        </w:rPr>
      </w:pPr>
      <w:r w:rsidRPr="00173C5D">
        <w:rPr>
          <w:rFonts w:asciiTheme="minorHAnsi" w:hAnsiTheme="minorHAnsi"/>
          <w:sz w:val="22"/>
          <w:szCs w:val="22"/>
        </w:rPr>
        <w:tab/>
      </w:r>
      <w:bookmarkStart w:id="150" w:name="_Toc528151224"/>
      <w:bookmarkStart w:id="151" w:name="_Toc112051920"/>
      <w:r w:rsidRPr="00173C5D">
        <w:rPr>
          <w:rFonts w:asciiTheme="minorHAnsi" w:hAnsiTheme="minorHAnsi"/>
          <w:sz w:val="22"/>
          <w:szCs w:val="22"/>
        </w:rPr>
        <w:t>55</w:t>
      </w:r>
      <w:r w:rsidRPr="00173C5D">
        <w:rPr>
          <w:rFonts w:asciiTheme="minorHAnsi" w:hAnsiTheme="minorHAnsi"/>
          <w:sz w:val="22"/>
          <w:szCs w:val="22"/>
        </w:rPr>
        <w:tab/>
        <w:t>Application of Part</w:t>
      </w:r>
      <w:bookmarkEnd w:id="150"/>
      <w:bookmarkEnd w:id="151"/>
    </w:p>
    <w:p w14:paraId="11C2E1FC" w14:textId="77777777" w:rsidR="00352179" w:rsidRPr="00173C5D" w:rsidRDefault="00352179" w:rsidP="00352179">
      <w:pPr>
        <w:pStyle w:val="BodySectionSub"/>
        <w:rPr>
          <w:rFonts w:asciiTheme="minorHAnsi" w:hAnsiTheme="minorHAnsi"/>
          <w:sz w:val="22"/>
          <w:szCs w:val="22"/>
        </w:rPr>
      </w:pPr>
      <w:r w:rsidRPr="00173C5D">
        <w:rPr>
          <w:rFonts w:asciiTheme="minorHAnsi" w:hAnsiTheme="minorHAnsi"/>
          <w:sz w:val="22"/>
          <w:szCs w:val="22"/>
        </w:rPr>
        <w:t>This Part applies to a criminal proceeding in which self-defence or duress in the context of family violence is in issue.</w:t>
      </w:r>
    </w:p>
    <w:p w14:paraId="7C644374" w14:textId="77777777" w:rsidR="00352179" w:rsidRPr="00173C5D" w:rsidRDefault="00352179" w:rsidP="00352179">
      <w:pPr>
        <w:pStyle w:val="DraftHeading1"/>
        <w:tabs>
          <w:tab w:val="right" w:pos="680"/>
        </w:tabs>
        <w:ind w:left="850" w:hanging="850"/>
        <w:rPr>
          <w:rFonts w:asciiTheme="minorHAnsi" w:hAnsiTheme="minorHAnsi"/>
          <w:sz w:val="22"/>
          <w:szCs w:val="22"/>
        </w:rPr>
      </w:pPr>
      <w:r w:rsidRPr="00173C5D">
        <w:rPr>
          <w:rFonts w:asciiTheme="minorHAnsi" w:hAnsiTheme="minorHAnsi"/>
          <w:sz w:val="22"/>
          <w:szCs w:val="22"/>
        </w:rPr>
        <w:tab/>
      </w:r>
      <w:bookmarkStart w:id="152" w:name="_Toc528151225"/>
      <w:bookmarkStart w:id="153" w:name="_Toc112051921"/>
      <w:r w:rsidRPr="00173C5D">
        <w:rPr>
          <w:rFonts w:asciiTheme="minorHAnsi" w:hAnsiTheme="minorHAnsi"/>
          <w:sz w:val="22"/>
          <w:szCs w:val="22"/>
        </w:rPr>
        <w:t>56</w:t>
      </w:r>
      <w:r w:rsidRPr="00173C5D">
        <w:rPr>
          <w:rFonts w:asciiTheme="minorHAnsi" w:hAnsiTheme="minorHAnsi"/>
          <w:sz w:val="22"/>
          <w:szCs w:val="22"/>
        </w:rPr>
        <w:tab/>
        <w:t>Part 3 does not apply</w:t>
      </w:r>
      <w:bookmarkEnd w:id="152"/>
      <w:bookmarkEnd w:id="153"/>
    </w:p>
    <w:p w14:paraId="2D7CC136" w14:textId="77777777" w:rsidR="00352179" w:rsidRPr="00173C5D" w:rsidRDefault="00352179" w:rsidP="00352179">
      <w:pPr>
        <w:pStyle w:val="BodySectionSub"/>
        <w:rPr>
          <w:rFonts w:asciiTheme="minorHAnsi" w:hAnsiTheme="minorHAnsi"/>
          <w:sz w:val="22"/>
          <w:szCs w:val="22"/>
        </w:rPr>
      </w:pPr>
      <w:r w:rsidRPr="00173C5D">
        <w:rPr>
          <w:rFonts w:asciiTheme="minorHAnsi" w:hAnsiTheme="minorHAnsi"/>
          <w:sz w:val="22"/>
          <w:szCs w:val="22"/>
        </w:rPr>
        <w:t>Part 3 does not apply to this Part.</w:t>
      </w:r>
    </w:p>
    <w:p w14:paraId="260D0910" w14:textId="77777777" w:rsidR="00352179" w:rsidRPr="00173C5D" w:rsidRDefault="00352179" w:rsidP="00352179">
      <w:pPr>
        <w:pStyle w:val="DraftHeading1"/>
        <w:tabs>
          <w:tab w:val="right" w:pos="680"/>
        </w:tabs>
        <w:ind w:left="850" w:hanging="850"/>
        <w:rPr>
          <w:rFonts w:asciiTheme="minorHAnsi" w:hAnsiTheme="minorHAnsi"/>
          <w:sz w:val="22"/>
          <w:szCs w:val="22"/>
        </w:rPr>
      </w:pPr>
      <w:r w:rsidRPr="00173C5D">
        <w:rPr>
          <w:rFonts w:asciiTheme="minorHAnsi" w:hAnsiTheme="minorHAnsi"/>
          <w:sz w:val="22"/>
          <w:szCs w:val="22"/>
        </w:rPr>
        <w:tab/>
      </w:r>
      <w:bookmarkStart w:id="154" w:name="_Toc528151226"/>
      <w:bookmarkStart w:id="155" w:name="_Toc112051922"/>
      <w:r w:rsidRPr="00173C5D">
        <w:rPr>
          <w:rFonts w:asciiTheme="minorHAnsi" w:hAnsiTheme="minorHAnsi"/>
          <w:sz w:val="22"/>
          <w:szCs w:val="22"/>
        </w:rPr>
        <w:t>57</w:t>
      </w:r>
      <w:r w:rsidRPr="00173C5D">
        <w:rPr>
          <w:rFonts w:asciiTheme="minorHAnsi" w:hAnsiTheme="minorHAnsi"/>
          <w:sz w:val="22"/>
          <w:szCs w:val="22"/>
        </w:rPr>
        <w:tab/>
        <w:t>Definition</w:t>
      </w:r>
      <w:bookmarkEnd w:id="154"/>
      <w:bookmarkEnd w:id="155"/>
    </w:p>
    <w:p w14:paraId="5D21797C" w14:textId="77777777" w:rsidR="00352179" w:rsidRPr="00173C5D" w:rsidRDefault="00352179" w:rsidP="00352179">
      <w:pPr>
        <w:pStyle w:val="BodySectionSub"/>
        <w:rPr>
          <w:rFonts w:asciiTheme="minorHAnsi" w:hAnsiTheme="minorHAnsi"/>
          <w:sz w:val="22"/>
          <w:szCs w:val="22"/>
        </w:rPr>
      </w:pPr>
      <w:r w:rsidRPr="00173C5D">
        <w:rPr>
          <w:rFonts w:asciiTheme="minorHAnsi" w:hAnsiTheme="minorHAnsi"/>
          <w:sz w:val="22"/>
          <w:szCs w:val="22"/>
        </w:rPr>
        <w:t>In this Part—</w:t>
      </w:r>
    </w:p>
    <w:p w14:paraId="683E7F9B" w14:textId="77777777" w:rsidR="00352179" w:rsidRPr="00173C5D" w:rsidRDefault="00352179" w:rsidP="00352179">
      <w:pPr>
        <w:pStyle w:val="DraftDefinition2"/>
        <w:rPr>
          <w:rFonts w:asciiTheme="minorHAnsi" w:hAnsiTheme="minorHAnsi"/>
          <w:sz w:val="22"/>
          <w:szCs w:val="22"/>
        </w:rPr>
      </w:pPr>
      <w:r w:rsidRPr="00173C5D">
        <w:rPr>
          <w:rFonts w:asciiTheme="minorHAnsi" w:hAnsiTheme="minorHAnsi"/>
          <w:b/>
          <w:i/>
          <w:sz w:val="22"/>
          <w:szCs w:val="22"/>
        </w:rPr>
        <w:t>family violence</w:t>
      </w:r>
      <w:r w:rsidRPr="00173C5D">
        <w:rPr>
          <w:rFonts w:asciiTheme="minorHAnsi" w:hAnsiTheme="minorHAnsi"/>
          <w:sz w:val="22"/>
          <w:szCs w:val="22"/>
        </w:rPr>
        <w:t xml:space="preserve"> has the same meaning as in section 322J(2) of the </w:t>
      </w:r>
      <w:r w:rsidRPr="00173C5D">
        <w:rPr>
          <w:rFonts w:asciiTheme="minorHAnsi" w:hAnsiTheme="minorHAnsi"/>
          <w:b/>
          <w:sz w:val="22"/>
          <w:szCs w:val="22"/>
        </w:rPr>
        <w:t>Crimes Act 1958</w:t>
      </w:r>
      <w:r w:rsidRPr="00173C5D">
        <w:rPr>
          <w:rFonts w:asciiTheme="minorHAnsi" w:hAnsiTheme="minorHAnsi"/>
          <w:sz w:val="22"/>
          <w:szCs w:val="22"/>
        </w:rPr>
        <w:t>.</w:t>
      </w:r>
    </w:p>
    <w:p w14:paraId="40B25D49" w14:textId="77777777" w:rsidR="00352179" w:rsidRPr="00173C5D" w:rsidRDefault="00352179" w:rsidP="00352179">
      <w:pPr>
        <w:pStyle w:val="DraftHeading1"/>
        <w:tabs>
          <w:tab w:val="right" w:pos="680"/>
        </w:tabs>
        <w:ind w:left="850" w:hanging="850"/>
        <w:rPr>
          <w:rFonts w:asciiTheme="minorHAnsi" w:hAnsiTheme="minorHAnsi"/>
          <w:sz w:val="22"/>
          <w:szCs w:val="22"/>
        </w:rPr>
      </w:pPr>
      <w:r w:rsidRPr="00173C5D">
        <w:rPr>
          <w:rFonts w:asciiTheme="minorHAnsi" w:hAnsiTheme="minorHAnsi"/>
          <w:sz w:val="22"/>
          <w:szCs w:val="22"/>
        </w:rPr>
        <w:tab/>
      </w:r>
      <w:bookmarkStart w:id="156" w:name="_Toc528151227"/>
      <w:bookmarkStart w:id="157" w:name="_Toc112051923"/>
      <w:r w:rsidRPr="00173C5D">
        <w:rPr>
          <w:rFonts w:asciiTheme="minorHAnsi" w:hAnsiTheme="minorHAnsi"/>
          <w:sz w:val="22"/>
          <w:szCs w:val="22"/>
        </w:rPr>
        <w:t>58</w:t>
      </w:r>
      <w:r w:rsidRPr="00173C5D">
        <w:rPr>
          <w:rFonts w:asciiTheme="minorHAnsi" w:hAnsiTheme="minorHAnsi"/>
          <w:sz w:val="22"/>
          <w:szCs w:val="22"/>
        </w:rPr>
        <w:tab/>
        <w:t>Request for direction on family violence</w:t>
      </w:r>
      <w:bookmarkEnd w:id="156"/>
      <w:bookmarkEnd w:id="157"/>
    </w:p>
    <w:p w14:paraId="15B19CA7" w14:textId="77777777" w:rsidR="00352179" w:rsidRPr="00173C5D" w:rsidRDefault="00352179" w:rsidP="00352179">
      <w:pPr>
        <w:pStyle w:val="DraftHeading2"/>
        <w:tabs>
          <w:tab w:val="right" w:pos="1247"/>
        </w:tabs>
        <w:ind w:left="1361" w:hanging="1361"/>
        <w:rPr>
          <w:rFonts w:asciiTheme="minorHAnsi" w:hAnsiTheme="minorHAnsi"/>
          <w:sz w:val="22"/>
          <w:szCs w:val="22"/>
        </w:rPr>
      </w:pPr>
      <w:r w:rsidRPr="00173C5D">
        <w:rPr>
          <w:rFonts w:asciiTheme="minorHAnsi" w:hAnsiTheme="minorHAnsi"/>
          <w:sz w:val="22"/>
          <w:szCs w:val="22"/>
        </w:rPr>
        <w:tab/>
        <w:t>(1)</w:t>
      </w:r>
      <w:r w:rsidRPr="00173C5D">
        <w:rPr>
          <w:rFonts w:asciiTheme="minorHAnsi" w:hAnsiTheme="minorHAnsi"/>
          <w:sz w:val="22"/>
          <w:szCs w:val="22"/>
        </w:rPr>
        <w:tab/>
        <w:t>Defence counsel (or, if the accused is unrepresented, the accused) may request at any time that the trial judge direct the jury on family violence in accordance with section 59 and all or specified parts of section 60.</w:t>
      </w:r>
    </w:p>
    <w:p w14:paraId="59D3720E" w14:textId="77777777" w:rsidR="00352179" w:rsidRPr="00173C5D" w:rsidRDefault="00352179" w:rsidP="00352179">
      <w:pPr>
        <w:pStyle w:val="DraftHeading2"/>
        <w:tabs>
          <w:tab w:val="right" w:pos="1247"/>
        </w:tabs>
        <w:ind w:left="1361" w:hanging="1361"/>
        <w:rPr>
          <w:rFonts w:asciiTheme="minorHAnsi" w:hAnsiTheme="minorHAnsi"/>
          <w:sz w:val="22"/>
          <w:szCs w:val="22"/>
        </w:rPr>
      </w:pPr>
      <w:r w:rsidRPr="00173C5D">
        <w:rPr>
          <w:rFonts w:asciiTheme="minorHAnsi" w:hAnsiTheme="minorHAnsi"/>
          <w:sz w:val="22"/>
          <w:szCs w:val="22"/>
        </w:rPr>
        <w:tab/>
        <w:t>(2)</w:t>
      </w:r>
      <w:r w:rsidRPr="00173C5D">
        <w:rPr>
          <w:rFonts w:asciiTheme="minorHAnsi" w:hAnsiTheme="minorHAnsi"/>
          <w:sz w:val="22"/>
          <w:szCs w:val="22"/>
        </w:rPr>
        <w:tab/>
        <w:t>The trial judge must give the jury a requested direction on family violence, including all or specified parts of section 60 if so requested, unless there are good reasons for not doing so.</w:t>
      </w:r>
    </w:p>
    <w:p w14:paraId="1FCB768D" w14:textId="77777777" w:rsidR="00352179" w:rsidRPr="00173C5D" w:rsidRDefault="00352179" w:rsidP="00352179">
      <w:pPr>
        <w:pStyle w:val="DraftHeading2"/>
        <w:tabs>
          <w:tab w:val="right" w:pos="1247"/>
        </w:tabs>
        <w:ind w:left="1361" w:hanging="1361"/>
        <w:rPr>
          <w:rFonts w:asciiTheme="minorHAnsi" w:hAnsiTheme="minorHAnsi"/>
          <w:sz w:val="22"/>
          <w:szCs w:val="22"/>
        </w:rPr>
      </w:pPr>
      <w:r w:rsidRPr="00173C5D">
        <w:rPr>
          <w:rFonts w:asciiTheme="minorHAnsi" w:hAnsiTheme="minorHAnsi"/>
          <w:sz w:val="22"/>
          <w:szCs w:val="22"/>
        </w:rPr>
        <w:tab/>
        <w:t>(3)</w:t>
      </w:r>
      <w:r w:rsidRPr="00173C5D">
        <w:rPr>
          <w:rFonts w:asciiTheme="minorHAnsi" w:hAnsiTheme="minorHAnsi"/>
          <w:sz w:val="22"/>
          <w:szCs w:val="22"/>
        </w:rPr>
        <w:tab/>
        <w:t>If the accused is unrepresented and does not request a direction on family violence, the trial judge may give the direction in accordance with this Part if the trial judge considers that it is in the interests of justice to do so.</w:t>
      </w:r>
    </w:p>
    <w:p w14:paraId="5B8FD58A" w14:textId="77777777" w:rsidR="00352179" w:rsidRPr="00173C5D" w:rsidRDefault="00352179" w:rsidP="00352179">
      <w:pPr>
        <w:pStyle w:val="DraftHeading2"/>
        <w:tabs>
          <w:tab w:val="right" w:pos="1247"/>
        </w:tabs>
        <w:ind w:left="1361" w:hanging="1361"/>
        <w:rPr>
          <w:rFonts w:asciiTheme="minorHAnsi" w:hAnsiTheme="minorHAnsi"/>
          <w:sz w:val="22"/>
          <w:szCs w:val="22"/>
        </w:rPr>
      </w:pPr>
      <w:r w:rsidRPr="00173C5D">
        <w:rPr>
          <w:rFonts w:asciiTheme="minorHAnsi" w:hAnsiTheme="minorHAnsi"/>
          <w:sz w:val="22"/>
          <w:szCs w:val="22"/>
        </w:rPr>
        <w:tab/>
        <w:t>(4)</w:t>
      </w:r>
      <w:r w:rsidRPr="00173C5D">
        <w:rPr>
          <w:rFonts w:asciiTheme="minorHAnsi" w:hAnsiTheme="minorHAnsi"/>
          <w:sz w:val="22"/>
          <w:szCs w:val="22"/>
        </w:rPr>
        <w:tab/>
        <w:t>The trial judge—</w:t>
      </w:r>
    </w:p>
    <w:p w14:paraId="37FFF290" w14:textId="77777777" w:rsidR="00352179" w:rsidRPr="00173C5D" w:rsidRDefault="00352179" w:rsidP="00352179">
      <w:pPr>
        <w:pStyle w:val="DraftHeading3"/>
        <w:tabs>
          <w:tab w:val="right" w:pos="1757"/>
        </w:tabs>
        <w:ind w:left="1871" w:hanging="1871"/>
        <w:rPr>
          <w:rFonts w:asciiTheme="minorHAnsi" w:hAnsiTheme="minorHAnsi"/>
          <w:sz w:val="22"/>
          <w:szCs w:val="22"/>
        </w:rPr>
      </w:pPr>
      <w:r w:rsidRPr="00173C5D">
        <w:rPr>
          <w:rFonts w:asciiTheme="minorHAnsi" w:hAnsiTheme="minorHAnsi"/>
          <w:sz w:val="22"/>
          <w:szCs w:val="22"/>
        </w:rPr>
        <w:tab/>
        <w:t>(a)</w:t>
      </w:r>
      <w:r w:rsidRPr="00173C5D">
        <w:rPr>
          <w:rFonts w:asciiTheme="minorHAnsi" w:hAnsiTheme="minorHAnsi"/>
          <w:sz w:val="22"/>
          <w:szCs w:val="22"/>
        </w:rPr>
        <w:tab/>
        <w:t>must give the direction as soon as practicable after the request is made; and</w:t>
      </w:r>
    </w:p>
    <w:p w14:paraId="71095993" w14:textId="77777777" w:rsidR="00352179" w:rsidRPr="00173C5D" w:rsidRDefault="00352179" w:rsidP="00352179">
      <w:pPr>
        <w:pStyle w:val="DraftHeading3"/>
        <w:tabs>
          <w:tab w:val="right" w:pos="1757"/>
        </w:tabs>
        <w:ind w:left="1871" w:hanging="1871"/>
        <w:rPr>
          <w:rFonts w:asciiTheme="minorHAnsi" w:hAnsiTheme="minorHAnsi"/>
          <w:sz w:val="22"/>
          <w:szCs w:val="22"/>
        </w:rPr>
      </w:pPr>
      <w:r w:rsidRPr="00173C5D">
        <w:rPr>
          <w:rFonts w:asciiTheme="minorHAnsi" w:hAnsiTheme="minorHAnsi"/>
          <w:sz w:val="22"/>
          <w:szCs w:val="22"/>
        </w:rPr>
        <w:tab/>
        <w:t>(b)</w:t>
      </w:r>
      <w:r w:rsidRPr="00173C5D">
        <w:rPr>
          <w:rFonts w:asciiTheme="minorHAnsi" w:hAnsiTheme="minorHAnsi"/>
          <w:sz w:val="22"/>
          <w:szCs w:val="22"/>
        </w:rPr>
        <w:tab/>
        <w:t>may give the direction before any evidence is adduced in the trial.</w:t>
      </w:r>
    </w:p>
    <w:p w14:paraId="0EBE3F63" w14:textId="77777777" w:rsidR="00352179" w:rsidRPr="00173C5D" w:rsidRDefault="00352179" w:rsidP="00352179">
      <w:pPr>
        <w:pStyle w:val="DraftHeading2"/>
        <w:tabs>
          <w:tab w:val="right" w:pos="1247"/>
        </w:tabs>
        <w:ind w:left="1361" w:hanging="1361"/>
        <w:rPr>
          <w:rFonts w:asciiTheme="minorHAnsi" w:hAnsiTheme="minorHAnsi"/>
          <w:sz w:val="22"/>
          <w:szCs w:val="22"/>
        </w:rPr>
      </w:pPr>
      <w:r w:rsidRPr="00173C5D">
        <w:rPr>
          <w:rFonts w:asciiTheme="minorHAnsi" w:hAnsiTheme="minorHAnsi"/>
          <w:sz w:val="22"/>
          <w:szCs w:val="22"/>
        </w:rPr>
        <w:tab/>
        <w:t>(5)</w:t>
      </w:r>
      <w:r w:rsidRPr="00173C5D">
        <w:rPr>
          <w:rFonts w:asciiTheme="minorHAnsi" w:hAnsiTheme="minorHAnsi"/>
          <w:sz w:val="22"/>
          <w:szCs w:val="22"/>
        </w:rPr>
        <w:tab/>
        <w:t>The trial judge may repeat a direction under this Part at any time in the trial.</w:t>
      </w:r>
    </w:p>
    <w:p w14:paraId="130C4017" w14:textId="77777777" w:rsidR="00352179" w:rsidRPr="00173C5D" w:rsidRDefault="00352179" w:rsidP="00352179">
      <w:pPr>
        <w:pStyle w:val="DraftHeading2"/>
        <w:tabs>
          <w:tab w:val="right" w:pos="1247"/>
        </w:tabs>
        <w:ind w:left="1361" w:hanging="1361"/>
        <w:rPr>
          <w:rFonts w:asciiTheme="minorHAnsi" w:hAnsiTheme="minorHAnsi"/>
          <w:sz w:val="22"/>
          <w:szCs w:val="22"/>
        </w:rPr>
      </w:pPr>
      <w:r w:rsidRPr="00173C5D">
        <w:rPr>
          <w:rFonts w:asciiTheme="minorHAnsi" w:hAnsiTheme="minorHAnsi"/>
          <w:sz w:val="22"/>
          <w:szCs w:val="22"/>
        </w:rPr>
        <w:tab/>
        <w:t>(6)</w:t>
      </w:r>
      <w:r w:rsidRPr="00173C5D">
        <w:rPr>
          <w:rFonts w:asciiTheme="minorHAnsi" w:hAnsiTheme="minorHAnsi"/>
          <w:sz w:val="22"/>
          <w:szCs w:val="22"/>
        </w:rPr>
        <w:tab/>
        <w:t>This Part does not limit what the trial judge may include in any other direction to the jury in relation to evidence given by an expert witness.</w:t>
      </w:r>
    </w:p>
    <w:p w14:paraId="58035D70" w14:textId="77777777" w:rsidR="00352179" w:rsidRPr="00173C5D" w:rsidRDefault="00352179" w:rsidP="00352179">
      <w:pPr>
        <w:pStyle w:val="DraftHeading1"/>
        <w:tabs>
          <w:tab w:val="right" w:pos="680"/>
        </w:tabs>
        <w:ind w:left="850" w:hanging="850"/>
        <w:rPr>
          <w:rFonts w:asciiTheme="minorHAnsi" w:hAnsiTheme="minorHAnsi"/>
          <w:sz w:val="22"/>
          <w:szCs w:val="22"/>
        </w:rPr>
      </w:pPr>
      <w:r w:rsidRPr="00173C5D">
        <w:rPr>
          <w:rFonts w:asciiTheme="minorHAnsi" w:hAnsiTheme="minorHAnsi"/>
          <w:sz w:val="22"/>
          <w:szCs w:val="22"/>
        </w:rPr>
        <w:tab/>
      </w:r>
      <w:bookmarkStart w:id="158" w:name="_Toc528151228"/>
      <w:bookmarkStart w:id="159" w:name="_Toc112051924"/>
      <w:r w:rsidRPr="00173C5D">
        <w:rPr>
          <w:rFonts w:asciiTheme="minorHAnsi" w:hAnsiTheme="minorHAnsi"/>
          <w:sz w:val="22"/>
          <w:szCs w:val="22"/>
        </w:rPr>
        <w:t>59</w:t>
      </w:r>
      <w:r w:rsidRPr="00173C5D">
        <w:rPr>
          <w:rFonts w:asciiTheme="minorHAnsi" w:hAnsiTheme="minorHAnsi"/>
          <w:sz w:val="22"/>
          <w:szCs w:val="22"/>
        </w:rPr>
        <w:tab/>
        <w:t>Content of direction on family violence</w:t>
      </w:r>
      <w:bookmarkEnd w:id="158"/>
      <w:bookmarkEnd w:id="159"/>
    </w:p>
    <w:p w14:paraId="14247C8A" w14:textId="77777777" w:rsidR="00352179" w:rsidRPr="00173C5D" w:rsidRDefault="00352179" w:rsidP="00352179">
      <w:pPr>
        <w:pStyle w:val="BodySectionSub"/>
        <w:rPr>
          <w:rFonts w:asciiTheme="minorHAnsi" w:hAnsiTheme="minorHAnsi"/>
          <w:sz w:val="22"/>
          <w:szCs w:val="22"/>
        </w:rPr>
      </w:pPr>
      <w:r w:rsidRPr="00173C5D">
        <w:rPr>
          <w:rFonts w:asciiTheme="minorHAnsi" w:hAnsiTheme="minorHAnsi"/>
          <w:sz w:val="22"/>
          <w:szCs w:val="22"/>
        </w:rPr>
        <w:t>In giving a direction under section 58, the trial judge must inform the jury that—</w:t>
      </w:r>
    </w:p>
    <w:p w14:paraId="56CA6E5B" w14:textId="77777777" w:rsidR="00352179" w:rsidRPr="00173C5D" w:rsidRDefault="00352179" w:rsidP="00352179">
      <w:pPr>
        <w:pStyle w:val="DraftHeading3"/>
        <w:tabs>
          <w:tab w:val="right" w:pos="1757"/>
        </w:tabs>
        <w:ind w:left="1871" w:hanging="1871"/>
        <w:rPr>
          <w:rFonts w:asciiTheme="minorHAnsi" w:hAnsiTheme="minorHAnsi"/>
          <w:sz w:val="22"/>
          <w:szCs w:val="22"/>
        </w:rPr>
      </w:pPr>
      <w:r w:rsidRPr="00173C5D">
        <w:rPr>
          <w:rFonts w:asciiTheme="minorHAnsi" w:hAnsiTheme="minorHAnsi"/>
          <w:sz w:val="22"/>
          <w:szCs w:val="22"/>
        </w:rPr>
        <w:tab/>
        <w:t>(a)</w:t>
      </w:r>
      <w:r w:rsidRPr="00173C5D">
        <w:rPr>
          <w:rFonts w:asciiTheme="minorHAnsi" w:hAnsiTheme="minorHAnsi"/>
          <w:sz w:val="22"/>
          <w:szCs w:val="22"/>
        </w:rPr>
        <w:tab/>
        <w:t>self-defence or duress (as the case requires) is, or is likely to be, in issue in the trial; and</w:t>
      </w:r>
    </w:p>
    <w:p w14:paraId="2EF88A0D" w14:textId="77777777" w:rsidR="00352179" w:rsidRPr="00173C5D" w:rsidRDefault="00352179" w:rsidP="00352179">
      <w:pPr>
        <w:pStyle w:val="DraftHeading3"/>
        <w:tabs>
          <w:tab w:val="right" w:pos="1757"/>
        </w:tabs>
        <w:ind w:left="1871" w:hanging="1871"/>
        <w:rPr>
          <w:rFonts w:asciiTheme="minorHAnsi" w:hAnsiTheme="minorHAnsi"/>
          <w:sz w:val="22"/>
          <w:szCs w:val="22"/>
        </w:rPr>
      </w:pPr>
      <w:r w:rsidRPr="00173C5D">
        <w:rPr>
          <w:rFonts w:asciiTheme="minorHAnsi" w:hAnsiTheme="minorHAnsi"/>
          <w:sz w:val="22"/>
          <w:szCs w:val="22"/>
        </w:rPr>
        <w:tab/>
        <w:t>(b)</w:t>
      </w:r>
      <w:r w:rsidRPr="00173C5D">
        <w:rPr>
          <w:rFonts w:asciiTheme="minorHAnsi" w:hAnsiTheme="minorHAnsi"/>
          <w:sz w:val="22"/>
          <w:szCs w:val="22"/>
        </w:rPr>
        <w:tab/>
        <w:t>as a matter of law, evidence of family violence may be relevant to determining whether the accused acted in self-defence or under duress (as the case requires); and</w:t>
      </w:r>
    </w:p>
    <w:p w14:paraId="0FD4EB45" w14:textId="77777777" w:rsidR="00352179" w:rsidRDefault="00352179" w:rsidP="00352179">
      <w:pPr>
        <w:pStyle w:val="DraftHeading3"/>
        <w:tabs>
          <w:tab w:val="right" w:pos="1757"/>
        </w:tabs>
        <w:ind w:left="1871" w:hanging="1871"/>
      </w:pPr>
      <w:r>
        <w:tab/>
        <w:t>(c)</w:t>
      </w:r>
      <w:r>
        <w:tab/>
        <w:t>in the case of self-defence, evidence in the trial is likely to include evidence of family violence committed by the victim against the accused or another person whom the accused was defending; and</w:t>
      </w:r>
    </w:p>
    <w:p w14:paraId="765261AC" w14:textId="77777777" w:rsidR="00352179" w:rsidRPr="00173C5D" w:rsidRDefault="00352179" w:rsidP="00352179">
      <w:pPr>
        <w:pStyle w:val="DraftHeading3"/>
        <w:tabs>
          <w:tab w:val="right" w:pos="1757"/>
        </w:tabs>
        <w:ind w:left="1871" w:hanging="1871"/>
        <w:rPr>
          <w:rFonts w:asciiTheme="minorHAnsi" w:hAnsiTheme="minorHAnsi"/>
          <w:sz w:val="22"/>
          <w:szCs w:val="22"/>
        </w:rPr>
      </w:pPr>
      <w:r>
        <w:tab/>
      </w:r>
      <w:r w:rsidRPr="00173C5D">
        <w:rPr>
          <w:rFonts w:asciiTheme="minorHAnsi" w:hAnsiTheme="minorHAnsi"/>
          <w:sz w:val="22"/>
          <w:szCs w:val="22"/>
        </w:rPr>
        <w:t>(d)</w:t>
      </w:r>
      <w:r w:rsidRPr="00173C5D">
        <w:rPr>
          <w:rFonts w:asciiTheme="minorHAnsi" w:hAnsiTheme="minorHAnsi"/>
          <w:sz w:val="22"/>
          <w:szCs w:val="22"/>
        </w:rPr>
        <w:tab/>
        <w:t>in the case of duress, evidence in the trial is likely to include evidence of family violence committed by another person against the accused or a third person.</w:t>
      </w:r>
    </w:p>
    <w:p w14:paraId="5179F8BF" w14:textId="77777777" w:rsidR="00980983" w:rsidRPr="00173C5D" w:rsidRDefault="00980983" w:rsidP="00A60F47">
      <w:pPr>
        <w:pStyle w:val="DraftHeading1"/>
        <w:keepNext/>
        <w:tabs>
          <w:tab w:val="right" w:pos="680"/>
        </w:tabs>
        <w:ind w:left="851" w:hanging="851"/>
        <w:rPr>
          <w:rFonts w:asciiTheme="minorHAnsi" w:hAnsiTheme="minorHAnsi"/>
          <w:sz w:val="22"/>
          <w:szCs w:val="22"/>
        </w:rPr>
      </w:pPr>
      <w:r w:rsidRPr="00173C5D">
        <w:rPr>
          <w:rFonts w:asciiTheme="minorHAnsi" w:hAnsiTheme="minorHAnsi"/>
          <w:sz w:val="22"/>
          <w:szCs w:val="22"/>
        </w:rPr>
        <w:lastRenderedPageBreak/>
        <w:tab/>
      </w:r>
      <w:bookmarkStart w:id="160" w:name="_Toc528151229"/>
      <w:bookmarkStart w:id="161" w:name="_Toc112051925"/>
      <w:r w:rsidRPr="00173C5D">
        <w:rPr>
          <w:rFonts w:asciiTheme="minorHAnsi" w:hAnsiTheme="minorHAnsi"/>
          <w:sz w:val="22"/>
          <w:szCs w:val="22"/>
        </w:rPr>
        <w:t>60</w:t>
      </w:r>
      <w:r w:rsidRPr="00173C5D">
        <w:rPr>
          <w:rFonts w:asciiTheme="minorHAnsi" w:hAnsiTheme="minorHAnsi"/>
          <w:sz w:val="22"/>
          <w:szCs w:val="22"/>
        </w:rPr>
        <w:tab/>
        <w:t>Additional matters for direction on family violence</w:t>
      </w:r>
      <w:bookmarkEnd w:id="160"/>
      <w:bookmarkEnd w:id="161"/>
    </w:p>
    <w:p w14:paraId="4F489B91" w14:textId="77777777" w:rsidR="00980983" w:rsidRPr="00173C5D" w:rsidRDefault="00980983" w:rsidP="00980983">
      <w:pPr>
        <w:pStyle w:val="BodySectionSub"/>
        <w:rPr>
          <w:rFonts w:asciiTheme="minorHAnsi" w:hAnsiTheme="minorHAnsi"/>
          <w:sz w:val="22"/>
          <w:szCs w:val="22"/>
        </w:rPr>
      </w:pPr>
      <w:r w:rsidRPr="00173C5D">
        <w:rPr>
          <w:rFonts w:asciiTheme="minorHAnsi" w:hAnsiTheme="minorHAnsi"/>
          <w:sz w:val="22"/>
          <w:szCs w:val="22"/>
        </w:rPr>
        <w:t>In giving a direction requested under section 58, the trial judge may include any of the following matters in the direction—</w:t>
      </w:r>
    </w:p>
    <w:p w14:paraId="2F84DDE6" w14:textId="77777777" w:rsidR="00980983" w:rsidRPr="00173C5D" w:rsidRDefault="00980983" w:rsidP="00980983">
      <w:pPr>
        <w:pStyle w:val="DraftHeading3"/>
        <w:tabs>
          <w:tab w:val="right" w:pos="1757"/>
        </w:tabs>
        <w:ind w:left="1871" w:hanging="1871"/>
        <w:rPr>
          <w:rFonts w:asciiTheme="minorHAnsi" w:hAnsiTheme="minorHAnsi"/>
          <w:sz w:val="22"/>
          <w:szCs w:val="22"/>
        </w:rPr>
      </w:pPr>
      <w:r w:rsidRPr="00173C5D">
        <w:rPr>
          <w:rFonts w:asciiTheme="minorHAnsi" w:hAnsiTheme="minorHAnsi"/>
          <w:sz w:val="22"/>
          <w:szCs w:val="22"/>
        </w:rPr>
        <w:tab/>
        <w:t>(a)</w:t>
      </w:r>
      <w:r w:rsidRPr="00173C5D">
        <w:rPr>
          <w:rFonts w:asciiTheme="minorHAnsi" w:hAnsiTheme="minorHAnsi"/>
          <w:sz w:val="22"/>
          <w:szCs w:val="22"/>
        </w:rPr>
        <w:tab/>
        <w:t>that family violence—</w:t>
      </w:r>
    </w:p>
    <w:p w14:paraId="17417A54" w14:textId="77777777" w:rsidR="00980983" w:rsidRPr="00173C5D" w:rsidRDefault="00980983" w:rsidP="00980983">
      <w:pPr>
        <w:pStyle w:val="DraftHeading4"/>
        <w:tabs>
          <w:tab w:val="right" w:pos="2268"/>
        </w:tabs>
        <w:ind w:left="2381" w:hanging="2381"/>
        <w:rPr>
          <w:rFonts w:asciiTheme="minorHAnsi" w:hAnsiTheme="minorHAnsi"/>
          <w:sz w:val="22"/>
          <w:szCs w:val="22"/>
        </w:rPr>
      </w:pPr>
      <w:r w:rsidRPr="00173C5D">
        <w:rPr>
          <w:rFonts w:asciiTheme="minorHAnsi" w:hAnsiTheme="minorHAnsi"/>
          <w:sz w:val="22"/>
          <w:szCs w:val="22"/>
        </w:rPr>
        <w:tab/>
        <w:t>(i)</w:t>
      </w:r>
      <w:r w:rsidRPr="00173C5D">
        <w:rPr>
          <w:rFonts w:asciiTheme="minorHAnsi" w:hAnsiTheme="minorHAnsi"/>
          <w:sz w:val="22"/>
          <w:szCs w:val="22"/>
        </w:rPr>
        <w:tab/>
        <w:t>is not limited to physical abuse and may include sexual abuse and psychological abuse;</w:t>
      </w:r>
    </w:p>
    <w:p w14:paraId="45FE9DB7" w14:textId="77777777" w:rsidR="00980983" w:rsidRPr="00173C5D" w:rsidRDefault="00980983" w:rsidP="00980983">
      <w:pPr>
        <w:pStyle w:val="DraftHeading4"/>
        <w:tabs>
          <w:tab w:val="right" w:pos="2268"/>
        </w:tabs>
        <w:ind w:left="2381" w:hanging="2381"/>
        <w:rPr>
          <w:rFonts w:asciiTheme="minorHAnsi" w:hAnsiTheme="minorHAnsi"/>
          <w:sz w:val="22"/>
          <w:szCs w:val="22"/>
        </w:rPr>
      </w:pPr>
      <w:r w:rsidRPr="00173C5D">
        <w:rPr>
          <w:rFonts w:asciiTheme="minorHAnsi" w:hAnsiTheme="minorHAnsi"/>
          <w:sz w:val="22"/>
          <w:szCs w:val="22"/>
        </w:rPr>
        <w:tab/>
        <w:t>(ii)</w:t>
      </w:r>
      <w:r w:rsidRPr="00173C5D">
        <w:rPr>
          <w:rFonts w:asciiTheme="minorHAnsi" w:hAnsiTheme="minorHAnsi"/>
          <w:sz w:val="22"/>
          <w:szCs w:val="22"/>
        </w:rPr>
        <w:tab/>
        <w:t>may involve intimidation, harassment and threats of abuse;</w:t>
      </w:r>
    </w:p>
    <w:p w14:paraId="53F54DF8" w14:textId="77777777" w:rsidR="00980983" w:rsidRPr="00173C5D" w:rsidRDefault="00980983" w:rsidP="00980983">
      <w:pPr>
        <w:pStyle w:val="DraftHeading4"/>
        <w:tabs>
          <w:tab w:val="right" w:pos="2268"/>
        </w:tabs>
        <w:ind w:left="2381" w:hanging="2381"/>
        <w:rPr>
          <w:rFonts w:asciiTheme="minorHAnsi" w:hAnsiTheme="minorHAnsi"/>
          <w:sz w:val="22"/>
          <w:szCs w:val="22"/>
        </w:rPr>
      </w:pPr>
      <w:r w:rsidRPr="00173C5D">
        <w:rPr>
          <w:rFonts w:asciiTheme="minorHAnsi" w:hAnsiTheme="minorHAnsi"/>
          <w:sz w:val="22"/>
          <w:szCs w:val="22"/>
        </w:rPr>
        <w:tab/>
        <w:t>(iii)</w:t>
      </w:r>
      <w:r w:rsidRPr="00173C5D">
        <w:rPr>
          <w:rFonts w:asciiTheme="minorHAnsi" w:hAnsiTheme="minorHAnsi"/>
          <w:sz w:val="22"/>
          <w:szCs w:val="22"/>
        </w:rPr>
        <w:tab/>
        <w:t>may consist of a single act;</w:t>
      </w:r>
    </w:p>
    <w:p w14:paraId="04BD10CB" w14:textId="77777777" w:rsidR="00980983" w:rsidRPr="00173C5D" w:rsidRDefault="00980983" w:rsidP="00980983">
      <w:pPr>
        <w:pStyle w:val="DraftHeading4"/>
        <w:tabs>
          <w:tab w:val="right" w:pos="2268"/>
        </w:tabs>
        <w:ind w:left="2381" w:hanging="2381"/>
        <w:rPr>
          <w:rFonts w:asciiTheme="minorHAnsi" w:hAnsiTheme="minorHAnsi"/>
          <w:sz w:val="22"/>
          <w:szCs w:val="22"/>
        </w:rPr>
      </w:pPr>
      <w:r w:rsidRPr="00173C5D">
        <w:rPr>
          <w:rFonts w:asciiTheme="minorHAnsi" w:hAnsiTheme="minorHAnsi"/>
          <w:sz w:val="22"/>
          <w:szCs w:val="22"/>
        </w:rPr>
        <w:tab/>
        <w:t>(iv)</w:t>
      </w:r>
      <w:r w:rsidRPr="00173C5D">
        <w:rPr>
          <w:rFonts w:asciiTheme="minorHAnsi" w:hAnsiTheme="minorHAnsi"/>
          <w:sz w:val="22"/>
          <w:szCs w:val="22"/>
        </w:rPr>
        <w:tab/>
        <w:t>may consist of separate acts that form part of a pattern of behaviour which can amount to abuse even though some or all of those acts may, when viewed in isolation, appear to be minor or trivial;</w:t>
      </w:r>
    </w:p>
    <w:p w14:paraId="6439EC39" w14:textId="77777777" w:rsidR="00980983" w:rsidRPr="00173C5D" w:rsidRDefault="00980983" w:rsidP="00980983">
      <w:pPr>
        <w:pStyle w:val="DraftHeading3"/>
        <w:tabs>
          <w:tab w:val="right" w:pos="1757"/>
        </w:tabs>
        <w:ind w:left="1871" w:hanging="1871"/>
        <w:rPr>
          <w:rFonts w:asciiTheme="minorHAnsi" w:hAnsiTheme="minorHAnsi"/>
          <w:sz w:val="22"/>
          <w:szCs w:val="22"/>
        </w:rPr>
      </w:pPr>
      <w:r w:rsidRPr="00173C5D">
        <w:rPr>
          <w:rFonts w:asciiTheme="minorHAnsi" w:hAnsiTheme="minorHAnsi"/>
          <w:sz w:val="22"/>
          <w:szCs w:val="22"/>
        </w:rPr>
        <w:tab/>
        <w:t>(b)</w:t>
      </w:r>
      <w:r w:rsidRPr="00173C5D">
        <w:rPr>
          <w:rFonts w:asciiTheme="minorHAnsi" w:hAnsiTheme="minorHAnsi"/>
          <w:sz w:val="22"/>
          <w:szCs w:val="22"/>
        </w:rPr>
        <w:tab/>
        <w:t>if relevant, that experience shows that—</w:t>
      </w:r>
    </w:p>
    <w:p w14:paraId="1D28348E" w14:textId="77777777" w:rsidR="00980983" w:rsidRPr="00173C5D" w:rsidRDefault="00980983" w:rsidP="00980983">
      <w:pPr>
        <w:pStyle w:val="DraftHeading4"/>
        <w:tabs>
          <w:tab w:val="right" w:pos="2268"/>
        </w:tabs>
        <w:ind w:left="2381" w:hanging="2381"/>
        <w:rPr>
          <w:rFonts w:asciiTheme="minorHAnsi" w:hAnsiTheme="minorHAnsi"/>
          <w:sz w:val="22"/>
          <w:szCs w:val="22"/>
        </w:rPr>
      </w:pPr>
      <w:r w:rsidRPr="00173C5D">
        <w:rPr>
          <w:rFonts w:asciiTheme="minorHAnsi" w:hAnsiTheme="minorHAnsi"/>
          <w:sz w:val="22"/>
          <w:szCs w:val="22"/>
        </w:rPr>
        <w:tab/>
        <w:t>(i)</w:t>
      </w:r>
      <w:r w:rsidRPr="00173C5D">
        <w:rPr>
          <w:rFonts w:asciiTheme="minorHAnsi" w:hAnsiTheme="minorHAnsi"/>
          <w:sz w:val="22"/>
          <w:szCs w:val="22"/>
        </w:rPr>
        <w:tab/>
        <w:t>people may react differently to family violence and there is no typical, proper or normal response to family violence;</w:t>
      </w:r>
    </w:p>
    <w:p w14:paraId="2A74EA01" w14:textId="77777777" w:rsidR="00980983" w:rsidRPr="00173C5D" w:rsidRDefault="00980983" w:rsidP="00980983">
      <w:pPr>
        <w:pStyle w:val="DraftHeading4"/>
        <w:tabs>
          <w:tab w:val="right" w:pos="2268"/>
        </w:tabs>
        <w:ind w:left="2381" w:hanging="2381"/>
        <w:rPr>
          <w:rFonts w:asciiTheme="minorHAnsi" w:hAnsiTheme="minorHAnsi"/>
          <w:sz w:val="22"/>
          <w:szCs w:val="22"/>
        </w:rPr>
      </w:pPr>
      <w:r w:rsidRPr="00173C5D">
        <w:rPr>
          <w:rFonts w:asciiTheme="minorHAnsi" w:hAnsiTheme="minorHAnsi"/>
          <w:sz w:val="22"/>
          <w:szCs w:val="22"/>
        </w:rPr>
        <w:tab/>
        <w:t>(ii)</w:t>
      </w:r>
      <w:r w:rsidRPr="00173C5D">
        <w:rPr>
          <w:rFonts w:asciiTheme="minorHAnsi" w:hAnsiTheme="minorHAnsi"/>
          <w:sz w:val="22"/>
          <w:szCs w:val="22"/>
        </w:rPr>
        <w:tab/>
        <w:t>it is not uncommon for a person who has been subjected to family violence—</w:t>
      </w:r>
    </w:p>
    <w:p w14:paraId="6241E79A" w14:textId="77777777" w:rsidR="00980983" w:rsidRPr="00173C5D" w:rsidRDefault="00980983" w:rsidP="00980983">
      <w:pPr>
        <w:pStyle w:val="DraftHeading5"/>
        <w:tabs>
          <w:tab w:val="right" w:pos="2778"/>
        </w:tabs>
        <w:ind w:left="2891" w:hanging="2891"/>
        <w:rPr>
          <w:rFonts w:asciiTheme="minorHAnsi" w:hAnsiTheme="minorHAnsi"/>
          <w:sz w:val="22"/>
          <w:szCs w:val="22"/>
        </w:rPr>
      </w:pPr>
      <w:r w:rsidRPr="00173C5D">
        <w:rPr>
          <w:rFonts w:asciiTheme="minorHAnsi" w:hAnsiTheme="minorHAnsi"/>
          <w:sz w:val="22"/>
          <w:szCs w:val="22"/>
        </w:rPr>
        <w:tab/>
        <w:t>(A)</w:t>
      </w:r>
      <w:r w:rsidRPr="00173C5D">
        <w:rPr>
          <w:rFonts w:asciiTheme="minorHAnsi" w:hAnsiTheme="minorHAnsi"/>
          <w:sz w:val="22"/>
          <w:szCs w:val="22"/>
        </w:rPr>
        <w:tab/>
        <w:t>to stay with an abusive partner after the onset of family violence, or to leave and then return to the partner;</w:t>
      </w:r>
    </w:p>
    <w:p w14:paraId="155EE47A" w14:textId="77777777" w:rsidR="00980983" w:rsidRPr="00173C5D" w:rsidRDefault="00980983" w:rsidP="00980983">
      <w:pPr>
        <w:pStyle w:val="DraftHeading5"/>
        <w:tabs>
          <w:tab w:val="right" w:pos="2778"/>
        </w:tabs>
        <w:ind w:left="2891" w:hanging="2891"/>
        <w:rPr>
          <w:rFonts w:asciiTheme="minorHAnsi" w:hAnsiTheme="minorHAnsi"/>
          <w:sz w:val="22"/>
          <w:szCs w:val="22"/>
        </w:rPr>
      </w:pPr>
      <w:r w:rsidRPr="00173C5D">
        <w:rPr>
          <w:rFonts w:asciiTheme="minorHAnsi" w:hAnsiTheme="minorHAnsi"/>
          <w:sz w:val="22"/>
          <w:szCs w:val="22"/>
        </w:rPr>
        <w:tab/>
        <w:t>(B)</w:t>
      </w:r>
      <w:r w:rsidRPr="00173C5D">
        <w:rPr>
          <w:rFonts w:asciiTheme="minorHAnsi" w:hAnsiTheme="minorHAnsi"/>
          <w:sz w:val="22"/>
          <w:szCs w:val="22"/>
        </w:rPr>
        <w:tab/>
        <w:t>not to report family violence to police or seek assistance to stop family violence;</w:t>
      </w:r>
    </w:p>
    <w:p w14:paraId="746FD483" w14:textId="77777777" w:rsidR="00980983" w:rsidRPr="00173C5D" w:rsidRDefault="00980983" w:rsidP="00980983">
      <w:pPr>
        <w:pStyle w:val="DraftHeading4"/>
        <w:tabs>
          <w:tab w:val="right" w:pos="2268"/>
        </w:tabs>
        <w:ind w:left="2381" w:hanging="2381"/>
        <w:rPr>
          <w:rFonts w:asciiTheme="minorHAnsi" w:hAnsiTheme="minorHAnsi"/>
          <w:sz w:val="22"/>
          <w:szCs w:val="22"/>
        </w:rPr>
      </w:pPr>
      <w:r w:rsidRPr="00173C5D">
        <w:rPr>
          <w:rFonts w:asciiTheme="minorHAnsi" w:hAnsiTheme="minorHAnsi"/>
          <w:sz w:val="22"/>
          <w:szCs w:val="22"/>
        </w:rPr>
        <w:tab/>
        <w:t>(iii)</w:t>
      </w:r>
      <w:r w:rsidRPr="00173C5D">
        <w:rPr>
          <w:rFonts w:asciiTheme="minorHAnsi" w:hAnsiTheme="minorHAnsi"/>
          <w:sz w:val="22"/>
          <w:szCs w:val="22"/>
        </w:rPr>
        <w:tab/>
        <w:t>decisions made by a person subjected to family violence about how to address, respond to or avoid family violence may be influenced by—</w:t>
      </w:r>
    </w:p>
    <w:p w14:paraId="0138AEA3" w14:textId="77777777" w:rsidR="00980983" w:rsidRPr="00173C5D" w:rsidRDefault="00980983" w:rsidP="00980983">
      <w:pPr>
        <w:pStyle w:val="DraftHeading5"/>
        <w:tabs>
          <w:tab w:val="right" w:pos="2778"/>
        </w:tabs>
        <w:ind w:left="2891" w:hanging="2891"/>
        <w:rPr>
          <w:rFonts w:asciiTheme="minorHAnsi" w:hAnsiTheme="minorHAnsi"/>
          <w:sz w:val="22"/>
          <w:szCs w:val="22"/>
        </w:rPr>
      </w:pPr>
      <w:r w:rsidRPr="00173C5D">
        <w:rPr>
          <w:rFonts w:asciiTheme="minorHAnsi" w:hAnsiTheme="minorHAnsi"/>
          <w:sz w:val="22"/>
          <w:szCs w:val="22"/>
        </w:rPr>
        <w:tab/>
        <w:t>(A)</w:t>
      </w:r>
      <w:r w:rsidRPr="00173C5D">
        <w:rPr>
          <w:rFonts w:asciiTheme="minorHAnsi" w:hAnsiTheme="minorHAnsi"/>
          <w:sz w:val="22"/>
          <w:szCs w:val="22"/>
        </w:rPr>
        <w:tab/>
        <w:t>family violence itself;</w:t>
      </w:r>
    </w:p>
    <w:p w14:paraId="76905F3B" w14:textId="77777777" w:rsidR="00980983" w:rsidRPr="00173C5D" w:rsidRDefault="00980983" w:rsidP="00980983">
      <w:pPr>
        <w:pStyle w:val="DraftHeading5"/>
        <w:tabs>
          <w:tab w:val="right" w:pos="2778"/>
        </w:tabs>
        <w:ind w:left="2891" w:hanging="2891"/>
        <w:rPr>
          <w:rFonts w:asciiTheme="minorHAnsi" w:hAnsiTheme="minorHAnsi"/>
          <w:sz w:val="22"/>
          <w:szCs w:val="22"/>
        </w:rPr>
      </w:pPr>
      <w:r w:rsidRPr="00173C5D">
        <w:rPr>
          <w:rFonts w:asciiTheme="minorHAnsi" w:hAnsiTheme="minorHAnsi"/>
          <w:sz w:val="22"/>
          <w:szCs w:val="22"/>
        </w:rPr>
        <w:tab/>
        <w:t>(B)</w:t>
      </w:r>
      <w:r w:rsidRPr="00173C5D">
        <w:rPr>
          <w:rFonts w:asciiTheme="minorHAnsi" w:hAnsiTheme="minorHAnsi"/>
          <w:sz w:val="22"/>
          <w:szCs w:val="22"/>
        </w:rPr>
        <w:tab/>
        <w:t>cultural, social, economic and personal factors;</w:t>
      </w:r>
    </w:p>
    <w:p w14:paraId="1BA2473C" w14:textId="77777777" w:rsidR="00980983" w:rsidRPr="00173C5D" w:rsidRDefault="00980983" w:rsidP="00980983">
      <w:pPr>
        <w:pStyle w:val="DraftHeading3"/>
        <w:tabs>
          <w:tab w:val="right" w:pos="1757"/>
        </w:tabs>
        <w:ind w:left="1871" w:hanging="1871"/>
        <w:rPr>
          <w:rFonts w:asciiTheme="minorHAnsi" w:hAnsiTheme="minorHAnsi"/>
          <w:sz w:val="22"/>
          <w:szCs w:val="22"/>
        </w:rPr>
      </w:pPr>
      <w:r w:rsidRPr="00173C5D">
        <w:rPr>
          <w:rFonts w:asciiTheme="minorHAnsi" w:hAnsiTheme="minorHAnsi"/>
          <w:sz w:val="22"/>
          <w:szCs w:val="22"/>
        </w:rPr>
        <w:tab/>
        <w:t>(c)</w:t>
      </w:r>
      <w:r w:rsidRPr="00173C5D">
        <w:rPr>
          <w:rFonts w:asciiTheme="minorHAnsi" w:hAnsiTheme="minorHAnsi"/>
          <w:sz w:val="22"/>
          <w:szCs w:val="22"/>
        </w:rPr>
        <w:tab/>
        <w:t>that, as a matter of law, evidence that the accused assaulted the victim on a previous occasion does not mean that the accused could not have been acting in self-defence or under duress (as the case requires) in relation to the offence charged.</w:t>
      </w:r>
    </w:p>
    <w:p w14:paraId="44DB839A" w14:textId="2CCD063E" w:rsidR="00007B36" w:rsidRPr="00173C5D" w:rsidRDefault="00007B36" w:rsidP="003C32E9">
      <w:pPr>
        <w:rPr>
          <w:rFonts w:asciiTheme="minorHAnsi" w:hAnsiTheme="minorHAnsi"/>
        </w:rPr>
      </w:pPr>
    </w:p>
    <w:p w14:paraId="345482EA" w14:textId="5B8F3E26" w:rsidR="00E670E5" w:rsidRDefault="00E670E5">
      <w:pPr>
        <w:rPr>
          <w:lang w:eastAsia="en-AU"/>
        </w:rPr>
      </w:pPr>
      <w:r>
        <w:rPr>
          <w:lang w:eastAsia="en-AU"/>
        </w:rPr>
        <w:br w:type="page"/>
      </w:r>
    </w:p>
    <w:p w14:paraId="76875967" w14:textId="434165E6" w:rsidR="00E670E5" w:rsidRPr="00173C5D" w:rsidRDefault="00E670E5" w:rsidP="00A60F47">
      <w:pPr>
        <w:pStyle w:val="Heading2"/>
        <w:ind w:left="1134"/>
        <w:rPr>
          <w:rFonts w:ascii="Calibri" w:hAnsi="Calibri"/>
        </w:rPr>
      </w:pPr>
      <w:bookmarkStart w:id="162" w:name="_Toc112051926"/>
      <w:r>
        <w:lastRenderedPageBreak/>
        <w:t xml:space="preserve">Orders of indefinite duration – Section 79B </w:t>
      </w:r>
      <w:r w:rsidR="00FA38BB">
        <w:t xml:space="preserve">of the </w:t>
      </w:r>
      <w:r w:rsidRPr="00173C5D">
        <w:rPr>
          <w:i/>
        </w:rPr>
        <w:t>Crimes (Domestic and Personal Violence) Act 2007</w:t>
      </w:r>
      <w:r>
        <w:t xml:space="preserve"> (NSW)</w:t>
      </w:r>
      <w:bookmarkEnd w:id="162"/>
    </w:p>
    <w:p w14:paraId="417DB4F6" w14:textId="77777777" w:rsidR="00E670E5" w:rsidRPr="00A52F2A" w:rsidRDefault="00E670E5" w:rsidP="00E670E5">
      <w:pPr>
        <w:rPr>
          <w:b/>
        </w:rPr>
      </w:pPr>
      <w:r w:rsidRPr="00A52F2A">
        <w:rPr>
          <w:b/>
        </w:rPr>
        <w:t>79B   Apprehended domestic violence orders may be of indefinite duration</w:t>
      </w:r>
    </w:p>
    <w:p w14:paraId="0E94149E" w14:textId="77777777" w:rsidR="00E670E5" w:rsidRDefault="00E670E5" w:rsidP="00E670E5">
      <w:r>
        <w:t>(1)  A court, when determining the period of an apprehended domestic violence order under section 79A, may determine that the order remain in force for an indefinite period (an indefinite order) if the court is satisfied that—</w:t>
      </w:r>
    </w:p>
    <w:p w14:paraId="61E79D4E" w14:textId="77777777" w:rsidR="00E670E5" w:rsidRDefault="00E670E5" w:rsidP="00E670E5">
      <w:pPr>
        <w:ind w:left="720"/>
      </w:pPr>
      <w:r>
        <w:t>(a)  the applicant has sought an indefinite order, and</w:t>
      </w:r>
    </w:p>
    <w:p w14:paraId="0D8AA41D" w14:textId="77777777" w:rsidR="00E670E5" w:rsidRDefault="00E670E5" w:rsidP="00E670E5">
      <w:pPr>
        <w:ind w:left="720"/>
      </w:pPr>
      <w:r>
        <w:t>(b)  the order relates to a defendant who was 18 years of age or older when the application for the order was first made, and</w:t>
      </w:r>
    </w:p>
    <w:p w14:paraId="1AC699CB" w14:textId="77777777" w:rsidR="00E670E5" w:rsidRDefault="00E670E5" w:rsidP="00E670E5">
      <w:pPr>
        <w:ind w:left="720"/>
      </w:pPr>
      <w:r>
        <w:t>(c)  there are circumstances giving rise to a significant and ongoing risk of death or serious physical or psychological harm to the protected person or any dependants of the protected person, and</w:t>
      </w:r>
    </w:p>
    <w:p w14:paraId="5006CF7F" w14:textId="77777777" w:rsidR="00E670E5" w:rsidRDefault="00E670E5" w:rsidP="00E670E5">
      <w:pPr>
        <w:ind w:left="720"/>
      </w:pPr>
      <w:r>
        <w:t>(d)  that risk cannot be adequately mitigated by an order of limited duration.</w:t>
      </w:r>
    </w:p>
    <w:p w14:paraId="3053114E" w14:textId="77777777" w:rsidR="00E670E5" w:rsidRDefault="00E670E5" w:rsidP="00E670E5">
      <w:r>
        <w:t>(2)  In determining whether there are circumstances giving rise to a significant and ongoing risk of death or serious physical or psychological harm to the protected person or any dependants of the protected person, the court must have regard to—</w:t>
      </w:r>
    </w:p>
    <w:p w14:paraId="7DCBB2D3" w14:textId="77777777" w:rsidR="00E670E5" w:rsidRDefault="00E670E5" w:rsidP="00E670E5">
      <w:pPr>
        <w:ind w:left="720"/>
      </w:pPr>
      <w:r>
        <w:t>(a)  any prior conviction of the defendant for a domestic violence offence, including for a contravention of any other apprehended domestic violence order in relation to the protected person or any other person who was the protected person under that order, and</w:t>
      </w:r>
    </w:p>
    <w:p w14:paraId="0A985286" w14:textId="77777777" w:rsidR="00E670E5" w:rsidRDefault="00E670E5" w:rsidP="00E670E5">
      <w:pPr>
        <w:ind w:left="720"/>
      </w:pPr>
      <w:r>
        <w:t>(b)  the conduct of the defendant in respect of the protected person that is relevant to the risk of death or serious physical or psychological harm, such as assaults, stalking, threats to kill or use of weapons, and</w:t>
      </w:r>
    </w:p>
    <w:p w14:paraId="10A29A8D" w14:textId="77777777" w:rsidR="00E670E5" w:rsidRDefault="00E670E5" w:rsidP="00E670E5">
      <w:pPr>
        <w:ind w:left="720"/>
      </w:pPr>
      <w:r>
        <w:t>(c)  the nature, number and timing of the incidents involved in the conduct referred to in paragraphs (a) and (b).</w:t>
      </w:r>
    </w:p>
    <w:p w14:paraId="490FCBB8" w14:textId="77777777" w:rsidR="00E670E5" w:rsidRDefault="00E670E5" w:rsidP="00E670E5">
      <w:r>
        <w:t>(3)  If a court makes an indefinite order, the order remains in force until varied, revoked or set aside on appeal.</w:t>
      </w:r>
    </w:p>
    <w:p w14:paraId="7E072A08" w14:textId="77777777" w:rsidR="00E670E5" w:rsidRDefault="00E670E5" w:rsidP="00E670E5">
      <w:r>
        <w:t>(4)  A person against whom an indefinite order is made may make an application for the variation or revocation of the order only by leave of the court.</w:t>
      </w:r>
    </w:p>
    <w:p w14:paraId="73E46D17" w14:textId="77777777" w:rsidR="00E670E5" w:rsidRDefault="00E670E5" w:rsidP="00E670E5">
      <w:r>
        <w:t>(5)  The court may grant leave to make an application referred to in subsection (4) only if the court is satisfied that—</w:t>
      </w:r>
    </w:p>
    <w:p w14:paraId="1D39F2AF" w14:textId="77777777" w:rsidR="00E670E5" w:rsidRDefault="00E670E5" w:rsidP="00E670E5">
      <w:pPr>
        <w:ind w:left="720"/>
      </w:pPr>
      <w:r>
        <w:t>(a)  there has been a significant change in circumstances since the relevant order was made or last varied, or</w:t>
      </w:r>
    </w:p>
    <w:p w14:paraId="531FE9A2" w14:textId="77777777" w:rsidR="00E670E5" w:rsidRDefault="00E670E5" w:rsidP="00E670E5">
      <w:pPr>
        <w:ind w:left="720"/>
      </w:pPr>
      <w:r>
        <w:t>(b)  it is otherwise in the interests of justice.</w:t>
      </w:r>
    </w:p>
    <w:p w14:paraId="0A52BF53" w14:textId="77777777" w:rsidR="00E670E5" w:rsidRDefault="00E670E5" w:rsidP="00E670E5">
      <w:r>
        <w:t>(6)  Subsections (4) and (5) do not apply in respect of a police-initiated order where the protected person, or 1 of the protected persons, is a child and leave must instead be sought under section 72B.</w:t>
      </w:r>
    </w:p>
    <w:p w14:paraId="4BA0C85A" w14:textId="77777777" w:rsidR="00E670E5" w:rsidRPr="00957E70" w:rsidRDefault="00E670E5" w:rsidP="00957E70">
      <w:pPr>
        <w:ind w:firstLine="284"/>
        <w:rPr>
          <w:lang w:eastAsia="en-AU"/>
        </w:rPr>
      </w:pPr>
    </w:p>
    <w:sectPr w:rsidR="00E670E5" w:rsidRPr="00957E70" w:rsidSect="00500223">
      <w:footerReference w:type="default" r:id="rId32"/>
      <w:headerReference w:type="first" r:id="rId33"/>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27DE7" w14:textId="77777777" w:rsidR="00D746C7" w:rsidRDefault="00D746C7">
      <w:r>
        <w:separator/>
      </w:r>
    </w:p>
  </w:endnote>
  <w:endnote w:type="continuationSeparator" w:id="0">
    <w:p w14:paraId="57BD9D59" w14:textId="77777777" w:rsidR="00D746C7" w:rsidRDefault="00D746C7">
      <w:r>
        <w:continuationSeparator/>
      </w:r>
    </w:p>
  </w:endnote>
  <w:endnote w:type="continuationNotice" w:id="1">
    <w:p w14:paraId="5EE12C38" w14:textId="77777777" w:rsidR="00D746C7" w:rsidRDefault="00D746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862888"/>
      <w:docPartObj>
        <w:docPartGallery w:val="Page Numbers (Bottom of Page)"/>
        <w:docPartUnique/>
      </w:docPartObj>
    </w:sdtPr>
    <w:sdtEndPr/>
    <w:sdtContent>
      <w:sdt>
        <w:sdtPr>
          <w:id w:val="2090114745"/>
          <w:docPartObj>
            <w:docPartGallery w:val="Page Numbers (Top of Page)"/>
            <w:docPartUnique/>
          </w:docPartObj>
        </w:sdtPr>
        <w:sdtEndPr/>
        <w:sdtContent>
          <w:p w14:paraId="7E708CB7" w14:textId="0AC1E7CC" w:rsidR="00BD26A4" w:rsidRDefault="00BD26A4"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2</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155</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0CB3" w14:textId="77777777" w:rsidR="00BD26A4" w:rsidRPr="00F538BD" w:rsidRDefault="00BD26A4" w:rsidP="004E7885">
    <w:pPr>
      <w:spacing w:after="0"/>
      <w:jc w:val="right"/>
      <w:rPr>
        <w:sz w:val="6"/>
        <w:szCs w:val="6"/>
      </w:rPr>
    </w:pPr>
    <w:r w:rsidRPr="001852AF">
      <w:rPr>
        <w:noProof/>
        <w:lang w:eastAsia="en-AU"/>
      </w:rPr>
      <w:drawing>
        <wp:inline distT="0" distB="0" distL="0" distR="0" wp14:anchorId="5EE5F366" wp14:editId="36B769D2">
          <wp:extent cx="1572479" cy="561600"/>
          <wp:effectExtent l="0" t="0" r="8890" b="0"/>
          <wp:docPr id="10" name="Picture 1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564E" w14:textId="77777777" w:rsidR="00BD26A4" w:rsidRDefault="00BD26A4" w:rsidP="00C248C8">
    <w:pPr>
      <w:pBdr>
        <w:top w:val="single" w:sz="4" w:space="1" w:color="auto"/>
      </w:pBdr>
      <w:spacing w:after="0"/>
      <w:rPr>
        <w:rStyle w:val="PageNumber"/>
        <w:b/>
      </w:rPr>
    </w:pPr>
    <w:r>
      <w:rPr>
        <w:rStyle w:val="PageNumber"/>
      </w:rPr>
      <w:t xml:space="preserve">Department of </w:t>
    </w:r>
    <w:r>
      <w:rPr>
        <w:rStyle w:val="PageNumber"/>
        <w:b/>
      </w:rPr>
      <w:t>the Attorney-General and Justice</w:t>
    </w:r>
  </w:p>
  <w:p w14:paraId="3A70BDB0" w14:textId="4309EFD9" w:rsidR="00BD26A4" w:rsidRPr="00CE6614" w:rsidRDefault="00D746C7" w:rsidP="0089579B">
    <w:pPr>
      <w:spacing w:after="0"/>
      <w:rPr>
        <w:rStyle w:val="PageNumber"/>
      </w:rPr>
    </w:pPr>
    <w:sdt>
      <w:sdtPr>
        <w:rPr>
          <w:rStyle w:val="PageNumber"/>
        </w:rPr>
        <w:alias w:val="Date"/>
        <w:tag w:val=""/>
        <w:id w:val="439040145"/>
        <w:placeholder>
          <w:docPart w:val="C5225C5FB39046CEBEA0B9E11B171B68"/>
        </w:placeholder>
        <w:dataBinding w:prefixMappings="xmlns:ns0='http://schemas.microsoft.com/office/2006/coverPageProps' " w:xpath="/ns0:CoverPageProperties[1]/ns0:PublishDate[1]" w:storeItemID="{55AF091B-3C7A-41E3-B477-F2FDAA23CFDA}"/>
        <w15:color w:val="000000"/>
        <w:date w:fullDate="2022-08-22T00:00:00Z">
          <w:dateFormat w:val="d MMMM yyyy"/>
          <w:lid w:val="en-AU"/>
          <w:storeMappedDataAs w:val="dateTime"/>
          <w:calendar w:val="gregorian"/>
        </w:date>
      </w:sdtPr>
      <w:sdtEndPr>
        <w:rPr>
          <w:rStyle w:val="PageNumber"/>
        </w:rPr>
      </w:sdtEndPr>
      <w:sdtContent>
        <w:r w:rsidR="00A9720F">
          <w:rPr>
            <w:rStyle w:val="PageNumber"/>
          </w:rPr>
          <w:t>22 August 2022</w:t>
        </w:r>
      </w:sdtContent>
    </w:sdt>
    <w:r w:rsidR="00A9720F">
      <w:rPr>
        <w:rStyle w:val="PageNumber"/>
      </w:rPr>
      <w:t xml:space="preserve"> | Final for consultation</w:t>
    </w:r>
  </w:p>
  <w:p w14:paraId="13B2E453" w14:textId="3F92679C" w:rsidR="00BD26A4" w:rsidRDefault="00BD26A4" w:rsidP="0089579B">
    <w:pPr>
      <w:pStyle w:val="Hidden"/>
      <w:ind w:firstLine="0"/>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533FD">
      <w:rPr>
        <w:rStyle w:val="PageNumber"/>
        <w:noProof/>
      </w:rPr>
      <w:t>145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533FD">
      <w:rPr>
        <w:rStyle w:val="PageNumber"/>
        <w:noProof/>
      </w:rPr>
      <w:t>154</w:t>
    </w:r>
    <w:r w:rsidRPr="00AC4488">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76FB" w14:textId="77777777" w:rsidR="00BD26A4" w:rsidRPr="00F538BD" w:rsidRDefault="00BD26A4"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5ECD" w14:textId="77777777" w:rsidR="00BD26A4" w:rsidRPr="00A50829" w:rsidRDefault="00BD26A4"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BD26A4" w:rsidRPr="00132658" w14:paraId="004E0DDE" w14:textId="77777777" w:rsidTr="00525890">
      <w:trPr>
        <w:cantSplit/>
        <w:trHeight w:hRule="exact" w:val="850"/>
        <w:tblHeader/>
      </w:trPr>
      <w:tc>
        <w:tcPr>
          <w:tcW w:w="10318" w:type="dxa"/>
          <w:vAlign w:val="bottom"/>
        </w:tcPr>
        <w:p w14:paraId="1162B59E" w14:textId="77777777" w:rsidR="00BD26A4" w:rsidRDefault="00BD26A4" w:rsidP="00A50829">
          <w:pPr>
            <w:spacing w:after="0"/>
            <w:rPr>
              <w:rStyle w:val="PageNumber"/>
              <w:b/>
            </w:rPr>
          </w:pPr>
          <w:r>
            <w:rPr>
              <w:rStyle w:val="PageNumber"/>
            </w:rPr>
            <w:t xml:space="preserve">Department of </w:t>
          </w:r>
          <w:r>
            <w:rPr>
              <w:rStyle w:val="PageNumber"/>
              <w:b/>
            </w:rPr>
            <w:t>the Attorney-General and Justice</w:t>
          </w:r>
        </w:p>
        <w:p w14:paraId="12DE2B65" w14:textId="778E1656" w:rsidR="00BD26A4" w:rsidRPr="00CE6614" w:rsidRDefault="00D746C7" w:rsidP="00A50829">
          <w:pPr>
            <w:spacing w:after="0"/>
            <w:rPr>
              <w:rStyle w:val="PageNumber"/>
            </w:rPr>
          </w:pPr>
          <w:sdt>
            <w:sdtPr>
              <w:rPr>
                <w:rStyle w:val="PageNumber"/>
              </w:rPr>
              <w:alias w:val="Date"/>
              <w:tag w:val=""/>
              <w:id w:val="-1859645309"/>
              <w:placeholder>
                <w:docPart w:val="B0769F38044D4350A5CF176AE3923DC8"/>
              </w:placeholder>
              <w:dataBinding w:prefixMappings="xmlns:ns0='http://schemas.microsoft.com/office/2006/coverPageProps' " w:xpath="/ns0:CoverPageProperties[1]/ns0:PublishDate[1]" w:storeItemID="{55AF091B-3C7A-41E3-B477-F2FDAA23CFDA}"/>
              <w15:color w:val="000000"/>
              <w:date w:fullDate="2022-08-22T00:00:00Z">
                <w:dateFormat w:val="d MMMM yyyy"/>
                <w:lid w:val="en-AU"/>
                <w:storeMappedDataAs w:val="dateTime"/>
                <w:calendar w:val="gregorian"/>
              </w:date>
            </w:sdtPr>
            <w:sdtEndPr>
              <w:rPr>
                <w:rStyle w:val="PageNumber"/>
              </w:rPr>
            </w:sdtEndPr>
            <w:sdtContent>
              <w:r w:rsidR="00F26710">
                <w:rPr>
                  <w:rStyle w:val="PageNumber"/>
                </w:rPr>
                <w:t>22 August 2022</w:t>
              </w:r>
            </w:sdtContent>
          </w:sdt>
          <w:r w:rsidR="00F26710">
            <w:rPr>
              <w:rStyle w:val="PageNumber"/>
            </w:rPr>
            <w:t xml:space="preserve"> | Final for consultation</w:t>
          </w:r>
        </w:p>
        <w:p w14:paraId="70336F9F" w14:textId="21351FB4" w:rsidR="00BD26A4" w:rsidRPr="00AC4488" w:rsidRDefault="00BD26A4"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533FD">
            <w:rPr>
              <w:rStyle w:val="PageNumber"/>
              <w:noProof/>
            </w:rPr>
            <w:t>147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533FD">
            <w:rPr>
              <w:rStyle w:val="PageNumber"/>
              <w:noProof/>
            </w:rPr>
            <w:t>154</w:t>
          </w:r>
          <w:r w:rsidRPr="00AC4488">
            <w:rPr>
              <w:rStyle w:val="PageNumber"/>
            </w:rPr>
            <w:fldChar w:fldCharType="end"/>
          </w:r>
        </w:p>
      </w:tc>
    </w:tr>
  </w:tbl>
  <w:p w14:paraId="4D76AEBA" w14:textId="77777777" w:rsidR="00BD26A4" w:rsidRDefault="00BD26A4" w:rsidP="00AD1B26">
    <w:pPr>
      <w:pStyle w:val="Hidden"/>
      <w:ind w:firstLine="0"/>
    </w:pPr>
  </w:p>
  <w:p w14:paraId="5D19EE6F" w14:textId="77777777" w:rsidR="00BD26A4" w:rsidRDefault="00BD26A4">
    <w:r>
      <w:rPr>
        <w:sz w:val="2"/>
        <w:szCs w:val="2"/>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9B84B" w14:textId="77777777" w:rsidR="00D746C7" w:rsidRDefault="00D746C7">
      <w:r>
        <w:separator/>
      </w:r>
    </w:p>
  </w:footnote>
  <w:footnote w:type="continuationSeparator" w:id="0">
    <w:p w14:paraId="18797ED2" w14:textId="77777777" w:rsidR="00D746C7" w:rsidRDefault="00D746C7">
      <w:r>
        <w:continuationSeparator/>
      </w:r>
    </w:p>
  </w:footnote>
  <w:footnote w:type="continuationNotice" w:id="1">
    <w:p w14:paraId="78124F0E" w14:textId="77777777" w:rsidR="00D746C7" w:rsidRDefault="00D746C7">
      <w:pPr>
        <w:spacing w:after="0"/>
      </w:pPr>
    </w:p>
  </w:footnote>
  <w:footnote w:id="2">
    <w:p w14:paraId="0B5914ED" w14:textId="5597E922" w:rsidR="00BD26A4" w:rsidRDefault="00BD26A4">
      <w:pPr>
        <w:pStyle w:val="FootnoteText"/>
      </w:pPr>
      <w:r>
        <w:rPr>
          <w:rStyle w:val="FootnoteReference"/>
        </w:rPr>
        <w:footnoteRef/>
      </w:r>
      <w:r>
        <w:t xml:space="preserve"> </w:t>
      </w:r>
      <w:r w:rsidRPr="00A36CEB">
        <w:rPr>
          <w:i/>
          <w:iCs/>
        </w:rPr>
        <w:t>Inquest into the death of Roberta Judy Curry [2022] NTLC 010</w:t>
      </w:r>
      <w:r>
        <w:t>, at paragraph 65.</w:t>
      </w:r>
    </w:p>
  </w:footnote>
  <w:footnote w:id="3">
    <w:p w14:paraId="701B94E1" w14:textId="3F27CBD7" w:rsidR="00BD26A4" w:rsidRDefault="00BD26A4" w:rsidP="00DD13CC">
      <w:pPr>
        <w:pStyle w:val="FootnoteText"/>
      </w:pPr>
      <w:r>
        <w:rPr>
          <w:rStyle w:val="FootnoteReference"/>
        </w:rPr>
        <w:footnoteRef/>
      </w:r>
      <w:r>
        <w:t xml:space="preserve"> Personal communication with the Territory Coroner’s Officer 20 June 2022.  Note these figures do not include deaths considered by the Coroner in which there was DFV in the circumstances leading up to the death but it was not identified as being a cause of the death (for example, where there was DFV in the lead up to a person’s death but a victim either took their own life or there was insufficient evidence to determine the cause of the injury that lead to the death).</w:t>
      </w:r>
    </w:p>
  </w:footnote>
  <w:footnote w:id="4">
    <w:p w14:paraId="35637EFF" w14:textId="77777777" w:rsidR="00BD26A4" w:rsidRDefault="00BD26A4">
      <w:pPr>
        <w:pStyle w:val="FootnoteText"/>
      </w:pPr>
      <w:r>
        <w:rPr>
          <w:rStyle w:val="FootnoteReference"/>
        </w:rPr>
        <w:footnoteRef/>
      </w:r>
      <w:r>
        <w:t xml:space="preserve"> Richmond, A (2019) </w:t>
      </w:r>
      <w:r w:rsidRPr="00027C1A">
        <w:rPr>
          <w:i/>
        </w:rPr>
        <w:t>Journey Mapping Workshop Report: Exploring the Voices and Experiences of Victim Survivors in the NT Justice System</w:t>
      </w:r>
      <w:r>
        <w:t>, published by Dawn House for the Domestic Violence Justice Reform Network, February 2019.</w:t>
      </w:r>
    </w:p>
  </w:footnote>
  <w:footnote w:id="5">
    <w:p w14:paraId="42A57680" w14:textId="77777777" w:rsidR="00BD26A4" w:rsidRDefault="00BD26A4" w:rsidP="001E5BC6">
      <w:pPr>
        <w:pStyle w:val="FootnoteText"/>
      </w:pPr>
      <w:r>
        <w:rPr>
          <w:rStyle w:val="FootnoteReference"/>
        </w:rPr>
        <w:footnoteRef/>
      </w:r>
      <w:r>
        <w:t xml:space="preserve"> </w:t>
      </w:r>
      <w:r w:rsidRPr="00693B90">
        <w:t>Data from the 2019/20 financial year provided by the Department of the Attorney-General and Justice Research and Statistics Unit. Extracted from IJIS on 31 July 2020.</w:t>
      </w:r>
      <w:r>
        <w:t xml:space="preserve"> </w:t>
      </w:r>
    </w:p>
  </w:footnote>
  <w:footnote w:id="6">
    <w:p w14:paraId="7571B66D" w14:textId="0A456FCA" w:rsidR="00BD26A4" w:rsidRDefault="00BD26A4" w:rsidP="00161709">
      <w:pPr>
        <w:pStyle w:val="FootnoteText"/>
      </w:pPr>
      <w:r>
        <w:rPr>
          <w:rStyle w:val="FootnoteReference"/>
        </w:rPr>
        <w:footnoteRef/>
      </w:r>
      <w:r>
        <w:t xml:space="preserve"> The review includes sexual violence where the victim and the offender are in a domestic relationship (ie. in DFV circumstances, which is over a third of reported sexual offences). Legislative reforms in relation to sexual offences are being considered separately by the Government, and is a priority action in the NT’s </w:t>
      </w:r>
      <w:r w:rsidRPr="001334AF">
        <w:rPr>
          <w:i/>
        </w:rPr>
        <w:t>Sexual Violence Prevention and Response Framework 2020-2028</w:t>
      </w:r>
      <w:r>
        <w:t>.</w:t>
      </w:r>
    </w:p>
    <w:p w14:paraId="0C3D0892" w14:textId="3A2874E3" w:rsidR="00BD26A4" w:rsidRDefault="00BD26A4">
      <w:pPr>
        <w:pStyle w:val="FootnoteText"/>
      </w:pPr>
    </w:p>
  </w:footnote>
  <w:footnote w:id="7">
    <w:p w14:paraId="1731CF56" w14:textId="63146AE1" w:rsidR="00BD26A4" w:rsidRPr="004D309A" w:rsidRDefault="00BD26A4" w:rsidP="009D13BD">
      <w:pPr>
        <w:spacing w:after="0"/>
        <w:rPr>
          <w:sz w:val="20"/>
          <w:szCs w:val="20"/>
        </w:rPr>
      </w:pPr>
      <w:r>
        <w:rPr>
          <w:rStyle w:val="FootnoteReference"/>
        </w:rPr>
        <w:footnoteRef/>
      </w:r>
      <w:r>
        <w:t xml:space="preserve"> </w:t>
      </w:r>
      <w:r w:rsidRPr="005E1698">
        <w:rPr>
          <w:sz w:val="20"/>
          <w:szCs w:val="20"/>
        </w:rPr>
        <w:t xml:space="preserve">It is noted that some </w:t>
      </w:r>
      <w:r>
        <w:rPr>
          <w:sz w:val="20"/>
          <w:szCs w:val="20"/>
        </w:rPr>
        <w:t>commentators prefer the term ‘domestic abuse’ to reflect the centrality of non-physical abuse in DFV offending. (See Jess Hill</w:t>
      </w:r>
      <w:r w:rsidRPr="005E1698">
        <w:rPr>
          <w:sz w:val="20"/>
          <w:szCs w:val="20"/>
        </w:rPr>
        <w:t xml:space="preserve"> (2019), </w:t>
      </w:r>
      <w:r w:rsidRPr="005E1698">
        <w:rPr>
          <w:i/>
          <w:sz w:val="20"/>
          <w:szCs w:val="20"/>
        </w:rPr>
        <w:t>See What You Made Me Do: Power Control and Domestic Abuse</w:t>
      </w:r>
      <w:r>
        <w:rPr>
          <w:sz w:val="20"/>
          <w:szCs w:val="20"/>
        </w:rPr>
        <w:t>, Black Inc). However, for the purposes of this review consistency with the terminology in the DFVA was considered important.</w:t>
      </w:r>
    </w:p>
  </w:footnote>
  <w:footnote w:id="8">
    <w:p w14:paraId="72B1A8D0" w14:textId="7F57AA0E" w:rsidR="00BD26A4" w:rsidRDefault="00BD26A4" w:rsidP="009D13BD">
      <w:pPr>
        <w:pStyle w:val="FootnoteText"/>
      </w:pPr>
      <w:r>
        <w:rPr>
          <w:rStyle w:val="FootnoteReference"/>
        </w:rPr>
        <w:footnoteRef/>
      </w:r>
      <w:r>
        <w:t xml:space="preserve"> Lesbian, Gay, Bisexual, Transgender, Intersex, Queer (LGBTIQ+)</w:t>
      </w:r>
    </w:p>
  </w:footnote>
  <w:footnote w:id="9">
    <w:p w14:paraId="4028C7C0" w14:textId="758CBCBD" w:rsidR="00BD26A4" w:rsidRPr="00E37508" w:rsidRDefault="00BD26A4" w:rsidP="009D13BD">
      <w:pPr>
        <w:spacing w:after="0"/>
        <w:rPr>
          <w:sz w:val="20"/>
          <w:szCs w:val="20"/>
        </w:rPr>
      </w:pPr>
      <w:r>
        <w:rPr>
          <w:rStyle w:val="FootnoteReference"/>
        </w:rPr>
        <w:footnoteRef/>
      </w:r>
      <w:r>
        <w:t xml:space="preserve"> </w:t>
      </w:r>
      <w:r w:rsidRPr="00E37508">
        <w:rPr>
          <w:sz w:val="20"/>
          <w:szCs w:val="20"/>
        </w:rPr>
        <w:t xml:space="preserve">See the NT’s </w:t>
      </w:r>
      <w:r w:rsidRPr="00E37508">
        <w:rPr>
          <w:i/>
          <w:sz w:val="20"/>
          <w:szCs w:val="20"/>
        </w:rPr>
        <w:t>Domestic and Family Violence Risk Assessment and Management Framework</w:t>
      </w:r>
      <w:r w:rsidRPr="00E37508">
        <w:rPr>
          <w:sz w:val="20"/>
          <w:szCs w:val="20"/>
        </w:rPr>
        <w:t xml:space="preserve"> (2020)</w:t>
      </w:r>
      <w:r w:rsidRPr="00E37508">
        <w:rPr>
          <w:i/>
          <w:sz w:val="20"/>
          <w:szCs w:val="20"/>
        </w:rPr>
        <w:t>.</w:t>
      </w:r>
    </w:p>
    <w:p w14:paraId="7839985A" w14:textId="02B2BEF8" w:rsidR="00BD26A4" w:rsidRPr="00481A52" w:rsidRDefault="00BD26A4" w:rsidP="009D13BD">
      <w:pPr>
        <w:spacing w:after="0"/>
        <w:rPr>
          <w:sz w:val="20"/>
          <w:szCs w:val="20"/>
          <w:lang w:eastAsia="en-AU"/>
        </w:rPr>
      </w:pPr>
      <w:r w:rsidRPr="00481A52">
        <w:rPr>
          <w:sz w:val="20"/>
          <w:szCs w:val="20"/>
          <w:lang w:eastAsia="en-AU"/>
        </w:rPr>
        <w:t>Between 2000 and 2020 there were 160 DFV-related homicides in the NT (101 homicides by former or current partners and 59 homicides by other family members).</w:t>
      </w:r>
      <w:r w:rsidRPr="00481A52">
        <w:rPr>
          <w:rStyle w:val="FootnoteReference"/>
          <w:sz w:val="20"/>
          <w:szCs w:val="20"/>
          <w:lang w:eastAsia="en-AU"/>
        </w:rPr>
        <w:footnoteRef/>
      </w:r>
      <w:r>
        <w:rPr>
          <w:sz w:val="20"/>
          <w:szCs w:val="20"/>
          <w:lang w:eastAsia="en-AU"/>
        </w:rPr>
        <w:t xml:space="preserve"> The Coroner has reported that 65 Aboriginal women were killed by their current or former partner during this period.</w:t>
      </w:r>
    </w:p>
  </w:footnote>
  <w:footnote w:id="10">
    <w:p w14:paraId="79BFDD65" w14:textId="795E9FED" w:rsidR="00BD26A4" w:rsidRDefault="00BD26A4">
      <w:pPr>
        <w:pStyle w:val="FootnoteText"/>
      </w:pPr>
      <w:r>
        <w:rPr>
          <w:rStyle w:val="FootnoteReference"/>
        </w:rPr>
        <w:footnoteRef/>
      </w:r>
      <w:r>
        <w:t xml:space="preserve"> </w:t>
      </w:r>
      <w:hyperlink r:id="rId1" w:history="1">
        <w:r w:rsidRPr="006B5954">
          <w:rPr>
            <w:rStyle w:val="Hyperlink"/>
          </w:rPr>
          <w:t>https://tfhc.nt.gov.au/domestic,-family-and-sexual-violence-reduction/domestic-and-family-violence-reduction-strategy</w:t>
        </w:r>
      </w:hyperlink>
    </w:p>
  </w:footnote>
  <w:footnote w:id="11">
    <w:p w14:paraId="410DA967" w14:textId="6684193A" w:rsidR="00BD26A4" w:rsidRDefault="00BD26A4">
      <w:pPr>
        <w:pStyle w:val="FootnoteText"/>
      </w:pPr>
    </w:p>
  </w:footnote>
  <w:footnote w:id="12">
    <w:p w14:paraId="77134560" w14:textId="77777777" w:rsidR="00BD26A4" w:rsidRDefault="00BD26A4" w:rsidP="00AA6EA2">
      <w:pPr>
        <w:pStyle w:val="FootnoteText"/>
      </w:pPr>
      <w:r>
        <w:rPr>
          <w:rStyle w:val="FootnoteReference"/>
        </w:rPr>
        <w:footnoteRef/>
      </w:r>
      <w:r>
        <w:t xml:space="preserve"> Richmond (2019)</w:t>
      </w:r>
    </w:p>
  </w:footnote>
  <w:footnote w:id="13">
    <w:p w14:paraId="39596C96" w14:textId="77777777" w:rsidR="00BD26A4" w:rsidRPr="003C7781" w:rsidRDefault="00BD26A4" w:rsidP="00AA6EA2">
      <w:pPr>
        <w:rPr>
          <w:i/>
          <w:sz w:val="20"/>
          <w:szCs w:val="20"/>
        </w:rPr>
      </w:pPr>
      <w:r w:rsidRPr="003C7781">
        <w:rPr>
          <w:rStyle w:val="FootnoteReference"/>
          <w:sz w:val="20"/>
          <w:szCs w:val="20"/>
        </w:rPr>
        <w:footnoteRef/>
      </w:r>
      <w:r w:rsidRPr="003C7781">
        <w:rPr>
          <w:sz w:val="20"/>
          <w:szCs w:val="20"/>
        </w:rPr>
        <w:t xml:space="preserve"> Northern Territory Government, Department of the Attorney-General and Justice (2016) </w:t>
      </w:r>
      <w:r w:rsidRPr="003C7781">
        <w:rPr>
          <w:i/>
          <w:sz w:val="20"/>
          <w:szCs w:val="20"/>
        </w:rPr>
        <w:t>Report on Consultation:  Review of the Domestic and Family Violence Act.</w:t>
      </w:r>
    </w:p>
  </w:footnote>
  <w:footnote w:id="14">
    <w:p w14:paraId="4D42B494" w14:textId="372615EC" w:rsidR="00BD26A4" w:rsidRDefault="00BD26A4" w:rsidP="00CC73D2">
      <w:pPr>
        <w:pStyle w:val="FootnoteText"/>
      </w:pPr>
      <w:r>
        <w:rPr>
          <w:rStyle w:val="FootnoteReference"/>
        </w:rPr>
        <w:footnoteRef/>
      </w:r>
      <w:r>
        <w:t xml:space="preserve"> Family Violence Reform Implementation Monitor </w:t>
      </w:r>
      <w:hyperlink r:id="rId2" w:history="1">
        <w:r w:rsidRPr="00313A0F">
          <w:rPr>
            <w:rStyle w:val="Hyperlink"/>
          </w:rPr>
          <w:t>www.fvrim.vic.gov.au</w:t>
        </w:r>
      </w:hyperlink>
    </w:p>
  </w:footnote>
  <w:footnote w:id="15">
    <w:p w14:paraId="13166CE2" w14:textId="77777777" w:rsidR="00BD26A4" w:rsidRPr="00386403" w:rsidRDefault="00BD26A4" w:rsidP="00CC73D2">
      <w:pPr>
        <w:spacing w:after="0"/>
      </w:pPr>
      <w:r w:rsidRPr="00386403">
        <w:rPr>
          <w:rStyle w:val="FootnoteReference"/>
        </w:rPr>
        <w:footnoteRef/>
      </w:r>
      <w:r w:rsidRPr="00386403">
        <w:t xml:space="preserve"> </w:t>
      </w:r>
      <w:r w:rsidRPr="00386403">
        <w:rPr>
          <w:sz w:val="20"/>
          <w:szCs w:val="20"/>
        </w:rPr>
        <w:t xml:space="preserve">Parliament of New South Wales, Joint Select Committee on Coercive Control (2021), </w:t>
      </w:r>
      <w:r w:rsidRPr="00386403">
        <w:rPr>
          <w:i/>
          <w:sz w:val="20"/>
          <w:szCs w:val="20"/>
        </w:rPr>
        <w:t xml:space="preserve">Coercive control in domestic relationships, </w:t>
      </w:r>
      <w:r w:rsidRPr="00386403">
        <w:rPr>
          <w:sz w:val="20"/>
          <w:szCs w:val="20"/>
        </w:rPr>
        <w:t>Report 1/57 – June 2021.</w:t>
      </w:r>
    </w:p>
  </w:footnote>
  <w:footnote w:id="16">
    <w:p w14:paraId="023280B8" w14:textId="0195E219" w:rsidR="00BD26A4" w:rsidRPr="007671BF" w:rsidRDefault="00BD26A4" w:rsidP="007671BF">
      <w:pPr>
        <w:spacing w:after="0"/>
        <w:rPr>
          <w:sz w:val="20"/>
          <w:szCs w:val="20"/>
        </w:rPr>
      </w:pPr>
      <w:r w:rsidRPr="00386403">
        <w:rPr>
          <w:rStyle w:val="FootnoteReference"/>
          <w:sz w:val="20"/>
          <w:szCs w:val="20"/>
        </w:rPr>
        <w:footnoteRef/>
      </w:r>
      <w:r w:rsidRPr="00386403">
        <w:rPr>
          <w:sz w:val="20"/>
          <w:szCs w:val="20"/>
        </w:rPr>
        <w:t xml:space="preserve"> Women’s Safety and Justice Taskforce (2021), </w:t>
      </w:r>
      <w:r w:rsidRPr="00386403">
        <w:rPr>
          <w:i/>
          <w:sz w:val="20"/>
          <w:szCs w:val="20"/>
        </w:rPr>
        <w:t>Hear her voice: Addressing coercive control and domestic violence in Queensland</w:t>
      </w:r>
      <w:r>
        <w:rPr>
          <w:sz w:val="20"/>
          <w:szCs w:val="20"/>
        </w:rPr>
        <w:t xml:space="preserve"> (Volume 1, 2 and 3).</w:t>
      </w:r>
    </w:p>
  </w:footnote>
  <w:footnote w:id="17">
    <w:p w14:paraId="2B075437" w14:textId="11F1CB8B" w:rsidR="00BD26A4" w:rsidRPr="007671BF" w:rsidRDefault="00BD26A4" w:rsidP="007671BF">
      <w:pPr>
        <w:spacing w:after="0"/>
        <w:rPr>
          <w:sz w:val="20"/>
          <w:szCs w:val="20"/>
        </w:rPr>
      </w:pPr>
      <w:r>
        <w:rPr>
          <w:rStyle w:val="FootnoteReference"/>
        </w:rPr>
        <w:footnoteRef/>
      </w:r>
      <w:r>
        <w:t xml:space="preserve"> </w:t>
      </w:r>
      <w:r w:rsidRPr="007671BF">
        <w:rPr>
          <w:sz w:val="20"/>
          <w:szCs w:val="20"/>
        </w:rPr>
        <w:t xml:space="preserve">Government of Western Australia, Office of the Commissioner for Victims of Crime (2022), </w:t>
      </w:r>
      <w:r w:rsidRPr="007671BF">
        <w:rPr>
          <w:i/>
          <w:iCs/>
          <w:sz w:val="20"/>
          <w:szCs w:val="20"/>
          <w:lang w:eastAsia="en-AU"/>
        </w:rPr>
        <w:t>Legislative Responses to Coercive Control in Western Australia: Discussion Paper.</w:t>
      </w:r>
    </w:p>
  </w:footnote>
  <w:footnote w:id="18">
    <w:p w14:paraId="11DEF696" w14:textId="1084F413" w:rsidR="00BD26A4" w:rsidRDefault="00BD26A4" w:rsidP="007671BF">
      <w:pPr>
        <w:pStyle w:val="FootnoteText"/>
      </w:pPr>
      <w:r w:rsidRPr="007671BF">
        <w:rPr>
          <w:rStyle w:val="FootnoteReference"/>
        </w:rPr>
        <w:footnoteRef/>
      </w:r>
      <w:r w:rsidRPr="007671BF">
        <w:t xml:space="preserve"> Government of South Australia, Attorney-General’s Department (2022), </w:t>
      </w:r>
      <w:r w:rsidRPr="007671BF">
        <w:rPr>
          <w:i/>
        </w:rPr>
        <w:t>Discussion Paper: Implementation considerations should coercive control be criminalised in South Australia</w:t>
      </w:r>
      <w:r w:rsidRPr="007671BF">
        <w:t>.</w:t>
      </w:r>
    </w:p>
  </w:footnote>
  <w:footnote w:id="19">
    <w:p w14:paraId="5272641C" w14:textId="2B153331" w:rsidR="00BD26A4" w:rsidRDefault="00BD26A4">
      <w:pPr>
        <w:pStyle w:val="FootnoteText"/>
      </w:pPr>
      <w:r>
        <w:rPr>
          <w:rStyle w:val="FootnoteReference"/>
        </w:rPr>
        <w:footnoteRef/>
      </w:r>
      <w:r>
        <w:t xml:space="preserve"> Parliament of Victoria (2022) </w:t>
      </w:r>
      <w:r w:rsidRPr="00E85BA5">
        <w:rPr>
          <w:i/>
          <w:iCs/>
        </w:rPr>
        <w:t>Research Paper: What is coercive control?</w:t>
      </w:r>
      <w:r>
        <w:t>, March 2022.</w:t>
      </w:r>
    </w:p>
  </w:footnote>
  <w:footnote w:id="20">
    <w:p w14:paraId="1BCA3A81" w14:textId="0F1D5598" w:rsidR="00BD26A4" w:rsidRDefault="00BD26A4">
      <w:pPr>
        <w:pStyle w:val="FootnoteText"/>
      </w:pPr>
      <w:r>
        <w:rPr>
          <w:rStyle w:val="FootnoteReference"/>
        </w:rPr>
        <w:footnoteRef/>
      </w:r>
      <w:r>
        <w:t xml:space="preserve"> See the terms of reference at </w:t>
      </w:r>
      <w:hyperlink r:id="rId3" w:history="1">
        <w:r w:rsidRPr="00AA47FE">
          <w:rPr>
            <w:rStyle w:val="Hyperlink"/>
          </w:rPr>
          <w:t>https://www.ag.gov.au/families-and-marriage/publications/development-national-principles-addressing-coercive-control</w:t>
        </w:r>
      </w:hyperlink>
      <w:r>
        <w:t xml:space="preserve">  </w:t>
      </w:r>
    </w:p>
  </w:footnote>
  <w:footnote w:id="21">
    <w:p w14:paraId="72F09F15" w14:textId="6D5DB96B" w:rsidR="00BD26A4" w:rsidRDefault="00BD26A4" w:rsidP="009D13BD">
      <w:pPr>
        <w:spacing w:after="0"/>
      </w:pPr>
      <w:r>
        <w:rPr>
          <w:rStyle w:val="FootnoteReference"/>
        </w:rPr>
        <w:footnoteRef/>
      </w:r>
      <w:r>
        <w:t xml:space="preserve"> </w:t>
      </w:r>
      <w:r w:rsidRPr="003C48CC">
        <w:rPr>
          <w:sz w:val="20"/>
          <w:szCs w:val="20"/>
        </w:rPr>
        <w:t>See for example,</w:t>
      </w:r>
      <w:r>
        <w:t xml:space="preserve"> </w:t>
      </w:r>
      <w:r w:rsidRPr="003C48CC">
        <w:rPr>
          <w:sz w:val="20"/>
          <w:szCs w:val="20"/>
        </w:rPr>
        <w:t xml:space="preserve">United Kingdom Home Office (2021), Review of Controlling or Coercive Behaviour Offence, Research Report 122, </w:t>
      </w:r>
      <w:hyperlink r:id="rId4" w:history="1">
        <w:r w:rsidRPr="003C48CC">
          <w:rPr>
            <w:rStyle w:val="Hyperlink"/>
            <w:sz w:val="20"/>
            <w:szCs w:val="20"/>
          </w:rPr>
          <w:t>https://www.gov.uk/government/publications/review-of-the-controlling-or-coercive-behaviour-offence</w:t>
        </w:r>
      </w:hyperlink>
    </w:p>
  </w:footnote>
  <w:footnote w:id="22">
    <w:p w14:paraId="190B9513" w14:textId="2B6D1FB6" w:rsidR="00BD26A4" w:rsidRDefault="00BD26A4" w:rsidP="003757DB">
      <w:pPr>
        <w:pStyle w:val="FootnoteText"/>
        <w:spacing w:after="120"/>
      </w:pPr>
      <w:r>
        <w:rPr>
          <w:rStyle w:val="FootnoteReference"/>
        </w:rPr>
        <w:footnoteRef/>
      </w:r>
      <w:r>
        <w:t xml:space="preserve"> Presentations on the </w:t>
      </w:r>
      <w:r w:rsidRPr="003C48CC">
        <w:rPr>
          <w:i/>
        </w:rPr>
        <w:t>Domestic Abuse (Scotland) Act 2018</w:t>
      </w:r>
      <w:r>
        <w:t xml:space="preserve"> provided in 2021 by </w:t>
      </w:r>
      <w:r w:rsidRPr="003C48CC">
        <w:rPr>
          <w:i/>
          <w:iCs/>
        </w:rPr>
        <w:t>Scottish Govern</w:t>
      </w:r>
      <w:r>
        <w:rPr>
          <w:i/>
          <w:iCs/>
        </w:rPr>
        <w:t xml:space="preserve">ment Officials (Patrick Down), </w:t>
      </w:r>
      <w:r w:rsidRPr="003C48CC">
        <w:rPr>
          <w:i/>
          <w:iCs/>
        </w:rPr>
        <w:t>Police (Det Chief Supt Samantha McCluskey and Det Supt Debbie Forrester) and Prosecutors (Moira Price and Alisdair Macleod)</w:t>
      </w:r>
      <w:r>
        <w:rPr>
          <w:i/>
          <w:iCs/>
        </w:rPr>
        <w:t>.</w:t>
      </w:r>
    </w:p>
  </w:footnote>
  <w:footnote w:id="23">
    <w:p w14:paraId="6680C113" w14:textId="77777777" w:rsidR="00BD26A4" w:rsidRDefault="00BD26A4">
      <w:pPr>
        <w:pStyle w:val="FootnoteText"/>
      </w:pPr>
      <w:r>
        <w:rPr>
          <w:rStyle w:val="FootnoteReference"/>
        </w:rPr>
        <w:footnoteRef/>
      </w:r>
      <w:r>
        <w:t xml:space="preserve"> This definition is along the lines of section 5 of the </w:t>
      </w:r>
      <w:r w:rsidRPr="00217F7A">
        <w:rPr>
          <w:i/>
          <w:iCs/>
        </w:rPr>
        <w:t>Family Violence Protection Act 2008</w:t>
      </w:r>
      <w:r>
        <w:t xml:space="preserve"> (Vic), and has recently been adopted as a model definition of family violence by Law Council of Australia.</w:t>
      </w:r>
    </w:p>
  </w:footnote>
  <w:footnote w:id="24">
    <w:p w14:paraId="747BD283" w14:textId="77777777" w:rsidR="00BD26A4" w:rsidRPr="00E069B4" w:rsidRDefault="00BD26A4">
      <w:pPr>
        <w:pStyle w:val="FootnoteText"/>
        <w:rPr>
          <w:b/>
          <w:bCs/>
        </w:rPr>
      </w:pPr>
      <w:r>
        <w:rPr>
          <w:rStyle w:val="FootnoteReference"/>
        </w:rPr>
        <w:footnoteRef/>
      </w:r>
      <w:r>
        <w:t xml:space="preserve"> See section 5(1)(b) of the </w:t>
      </w:r>
      <w:r w:rsidRPr="00217F7A">
        <w:rPr>
          <w:i/>
          <w:iCs/>
        </w:rPr>
        <w:t>Family Violence Protection Act 2008</w:t>
      </w:r>
      <w:r>
        <w:t xml:space="preserve"> (Vic).</w:t>
      </w:r>
    </w:p>
  </w:footnote>
  <w:footnote w:id="25">
    <w:p w14:paraId="76DDC5D9" w14:textId="55EB6D54" w:rsidR="00BD26A4" w:rsidRDefault="00BD26A4">
      <w:pPr>
        <w:pStyle w:val="FootnoteText"/>
      </w:pPr>
      <w:r>
        <w:rPr>
          <w:rStyle w:val="FootnoteReference"/>
        </w:rPr>
        <w:footnoteRef/>
      </w:r>
      <w:r>
        <w:t xml:space="preserve"> In the NT in 2020/21 83% of defendants in DFV-related criminal proceedings are men and 17% are women. Extracted from IJIS on 19 July 2021. </w:t>
      </w:r>
    </w:p>
  </w:footnote>
  <w:footnote w:id="26">
    <w:p w14:paraId="29D8E084" w14:textId="4B197CB5" w:rsidR="00BD26A4" w:rsidRDefault="00BD26A4">
      <w:pPr>
        <w:pStyle w:val="FootnoteText"/>
      </w:pPr>
      <w:r>
        <w:rPr>
          <w:rStyle w:val="FootnoteReference"/>
        </w:rPr>
        <w:footnoteRef/>
      </w:r>
      <w:r>
        <w:t xml:space="preserve"> This includes physical and non-physical abuse.</w:t>
      </w:r>
    </w:p>
  </w:footnote>
  <w:footnote w:id="27">
    <w:p w14:paraId="06D9DA9D" w14:textId="77777777" w:rsidR="00BD26A4" w:rsidRPr="003C1C2F" w:rsidRDefault="00BD26A4" w:rsidP="00D335D7">
      <w:pPr>
        <w:pStyle w:val="FootnoteText"/>
        <w:rPr>
          <w:rFonts w:ascii="Arial" w:hAnsi="Arial" w:cs="Arial"/>
        </w:rPr>
      </w:pPr>
      <w:r w:rsidRPr="003C1C2F">
        <w:rPr>
          <w:rStyle w:val="FootnoteReference"/>
          <w:rFonts w:ascii="Arial" w:hAnsi="Arial" w:cs="Arial"/>
        </w:rPr>
        <w:footnoteRef/>
      </w:r>
      <w:r w:rsidRPr="003C1C2F">
        <w:rPr>
          <w:rFonts w:ascii="Arial" w:hAnsi="Arial" w:cs="Arial"/>
        </w:rPr>
        <w:t xml:space="preserve"> Her Honour Justice Kelly was quoted in</w:t>
      </w:r>
      <w:r w:rsidRPr="003C1C2F">
        <w:rPr>
          <w:rFonts w:ascii="Arial" w:hAnsi="Arial" w:cs="Arial"/>
          <w:i/>
          <w:iCs/>
        </w:rPr>
        <w:t xml:space="preserve"> The Weekend Australian</w:t>
      </w:r>
      <w:r w:rsidRPr="003C1C2F">
        <w:rPr>
          <w:rFonts w:ascii="Arial" w:hAnsi="Arial" w:cs="Arial"/>
        </w:rPr>
        <w:t>, 4-5 June 2022, p. 1 and 2.</w:t>
      </w:r>
    </w:p>
  </w:footnote>
  <w:footnote w:id="28">
    <w:p w14:paraId="33BE7C74" w14:textId="565F3045" w:rsidR="00BD26A4" w:rsidRPr="008B5031" w:rsidRDefault="00BD26A4" w:rsidP="008B5031">
      <w:pPr>
        <w:spacing w:after="0"/>
        <w:rPr>
          <w:rFonts w:ascii="Arial" w:hAnsi="Arial" w:cs="Arial"/>
          <w:sz w:val="20"/>
        </w:rPr>
      </w:pPr>
      <w:r w:rsidRPr="003C1C2F">
        <w:rPr>
          <w:rStyle w:val="FootnoteReference"/>
          <w:rFonts w:ascii="Arial" w:hAnsi="Arial" w:cs="Arial"/>
          <w:sz w:val="20"/>
        </w:rPr>
        <w:footnoteRef/>
      </w:r>
      <w:r w:rsidRPr="003C1C2F">
        <w:rPr>
          <w:rFonts w:ascii="Arial" w:hAnsi="Arial" w:cs="Arial"/>
          <w:sz w:val="20"/>
        </w:rPr>
        <w:t xml:space="preserve"> </w:t>
      </w:r>
      <w:r w:rsidRPr="003C1C2F">
        <w:rPr>
          <w:rFonts w:ascii="Arial" w:hAnsi="Arial" w:cs="Arial"/>
          <w:i/>
          <w:iCs/>
          <w:sz w:val="20"/>
        </w:rPr>
        <w:t>Inquest into the death of Roberta Judy Curry</w:t>
      </w:r>
      <w:r>
        <w:rPr>
          <w:rFonts w:ascii="Arial" w:hAnsi="Arial" w:cs="Arial"/>
          <w:sz w:val="20"/>
        </w:rPr>
        <w:t xml:space="preserve"> [2022] NTLC 101, at paragraph 65, page 20.</w:t>
      </w:r>
    </w:p>
  </w:footnote>
  <w:footnote w:id="29">
    <w:p w14:paraId="5BCBB574" w14:textId="2E2950EA" w:rsidR="00BD26A4" w:rsidRDefault="00BD26A4" w:rsidP="008B5031">
      <w:pPr>
        <w:pStyle w:val="FootnoteText"/>
      </w:pPr>
      <w:r>
        <w:rPr>
          <w:rStyle w:val="FootnoteReference"/>
        </w:rPr>
        <w:footnoteRef/>
      </w:r>
      <w:r>
        <w:t xml:space="preserve"> Australian Bureau of Statistics (ABS), Recorded Crime, Victimisation, Australia (Released 45100DO 005_2019, Released date 9 July 2020). Data is not available for Queensland or Victoria.</w:t>
      </w:r>
    </w:p>
  </w:footnote>
  <w:footnote w:id="30">
    <w:p w14:paraId="56558C77" w14:textId="3D06708B" w:rsidR="00BD26A4" w:rsidRDefault="00BD26A4">
      <w:pPr>
        <w:pStyle w:val="FootnoteText"/>
      </w:pPr>
      <w:r>
        <w:rPr>
          <w:rStyle w:val="FootnoteReference"/>
        </w:rPr>
        <w:footnoteRef/>
      </w:r>
      <w:r>
        <w:t xml:space="preserve"> Australian Bureau of Statistics Recorded Crime Victims 2020 (released on 24 June 2021) </w:t>
      </w:r>
      <w:r w:rsidRPr="003C2CBF">
        <w:t>https://www.abs.gov.au/statistics/people/crime-and-justice/recorded-crime-victims/latest-release#victims-of-family-and-domestic-violence-related-offences</w:t>
      </w:r>
    </w:p>
  </w:footnote>
  <w:footnote w:id="31">
    <w:p w14:paraId="62B8DACB" w14:textId="0795E662" w:rsidR="00BD26A4" w:rsidRDefault="00BD26A4">
      <w:pPr>
        <w:pStyle w:val="FootnoteText"/>
      </w:pPr>
      <w:r>
        <w:rPr>
          <w:rStyle w:val="FootnoteReference"/>
        </w:rPr>
        <w:footnoteRef/>
      </w:r>
      <w:r>
        <w:t xml:space="preserve"> Australian Bureau of Statistics (ABS) Recorded Crime – Victims for 2020 (released on 24 June 2021). </w:t>
      </w:r>
      <w:r w:rsidRPr="00FA36C8">
        <w:t>https://www.abs.gov.au/statistics/people/crime-and-justice/recorded-crime-victims/2020#northern-territory</w:t>
      </w:r>
    </w:p>
  </w:footnote>
  <w:footnote w:id="32">
    <w:p w14:paraId="5EB76DE2" w14:textId="77777777" w:rsidR="00BD26A4" w:rsidRDefault="00BD26A4" w:rsidP="00550EB5">
      <w:pPr>
        <w:pStyle w:val="FootnoteText"/>
      </w:pPr>
      <w:r>
        <w:rPr>
          <w:rStyle w:val="FootnoteReference"/>
        </w:rPr>
        <w:footnoteRef/>
      </w:r>
      <w:r>
        <w:t xml:space="preserve"> Department of Social Services (2016) and Willis (2011) quoted in Langton, M, Smith, K., Eastman, T., O’Neill, L., Cheesman, E. and Rose, M. (2020) </w:t>
      </w:r>
      <w:r w:rsidRPr="005820DE">
        <w:rPr>
          <w:i/>
          <w:iCs/>
        </w:rPr>
        <w:t>Improving family violence legal and support services for Aboriginal and Torres Strait Islander Women</w:t>
      </w:r>
      <w:r>
        <w:t xml:space="preserve"> (Research report, 25/2020), Sydney: ANROWS.</w:t>
      </w:r>
    </w:p>
  </w:footnote>
  <w:footnote w:id="33">
    <w:p w14:paraId="3222D6FF" w14:textId="0328B01C" w:rsidR="00BD26A4" w:rsidRDefault="00BD26A4">
      <w:pPr>
        <w:pStyle w:val="FootnoteText"/>
      </w:pPr>
      <w:r>
        <w:rPr>
          <w:rStyle w:val="FootnoteReference"/>
        </w:rPr>
        <w:footnoteRef/>
      </w:r>
      <w:r>
        <w:t xml:space="preserve"> Australian Bureau of Statistics (ABS) Recorded Crime – Victims for 2020 (released on 24 June 2021). </w:t>
      </w:r>
      <w:r w:rsidRPr="00FA36C8">
        <w:t>https://www.abs.gov.au/statistics/people/crime-and-justice/recorded-crime-victims/2020#northern-territory</w:t>
      </w:r>
      <w:r>
        <w:t>.</w:t>
      </w:r>
    </w:p>
  </w:footnote>
  <w:footnote w:id="34">
    <w:p w14:paraId="6C26AEB9" w14:textId="2816F0F1" w:rsidR="00BD26A4" w:rsidRDefault="00BD26A4" w:rsidP="00A61849">
      <w:pPr>
        <w:pStyle w:val="FootnoteText"/>
      </w:pPr>
      <w:r>
        <w:rPr>
          <w:rStyle w:val="FootnoteReference"/>
        </w:rPr>
        <w:footnoteRef/>
      </w:r>
      <w:r>
        <w:t xml:space="preserve"> Personal communication with the Territory Coroner’s Officer 20 June 2022.  Note these figures do not include deaths considered by the Coroner in which there was DFV in the circumstances leading up to the death but it was not identified as being a cause of the death (for example, where there was DFV in the lead up to a person’s death but a victim either took their own life or there was insufficient evidence to determine the cause of the injury that lead to the death).</w:t>
      </w:r>
    </w:p>
  </w:footnote>
  <w:footnote w:id="35">
    <w:p w14:paraId="5D4956C8" w14:textId="4F22925F" w:rsidR="00BD26A4" w:rsidRDefault="00BD26A4">
      <w:pPr>
        <w:pStyle w:val="FootnoteText"/>
      </w:pPr>
      <w:r>
        <w:rPr>
          <w:rStyle w:val="FootnoteReference"/>
        </w:rPr>
        <w:footnoteRef/>
      </w:r>
      <w:r>
        <w:t xml:space="preserve"> </w:t>
      </w:r>
      <w:hyperlink r:id="rId5" w:history="1">
        <w:r w:rsidRPr="00A07B75">
          <w:rPr>
            <w:rStyle w:val="Hyperlink"/>
          </w:rPr>
          <w:t>https://www.abs.gov.au/statistics/people/crime-and-justice/recorded-crime-victims/2020</w:t>
        </w:r>
      </w:hyperlink>
    </w:p>
  </w:footnote>
  <w:footnote w:id="36">
    <w:p w14:paraId="3F1A9AF8" w14:textId="31676945" w:rsidR="00BD26A4" w:rsidRDefault="00BD26A4">
      <w:pPr>
        <w:pStyle w:val="FootnoteText"/>
      </w:pPr>
      <w:r>
        <w:rPr>
          <w:rStyle w:val="FootnoteReference"/>
        </w:rPr>
        <w:footnoteRef/>
      </w:r>
      <w:r>
        <w:t xml:space="preserve"> Australian Bureau of Statistics (2020). This is consistent with NT Crime Statistics which vary slightly around this figure. </w:t>
      </w:r>
    </w:p>
  </w:footnote>
  <w:footnote w:id="37">
    <w:p w14:paraId="770E7D7F" w14:textId="77777777" w:rsidR="00BD26A4" w:rsidRDefault="00BD26A4">
      <w:pPr>
        <w:pStyle w:val="FootnoteText"/>
      </w:pPr>
      <w:r>
        <w:rPr>
          <w:rStyle w:val="FootnoteReference"/>
        </w:rPr>
        <w:footnoteRef/>
      </w:r>
      <w:r>
        <w:t xml:space="preserve"> Data extracted from Court’s Data Warehouse on 14 July 2021.</w:t>
      </w:r>
    </w:p>
  </w:footnote>
  <w:footnote w:id="38">
    <w:p w14:paraId="061DF225" w14:textId="77777777" w:rsidR="00BD26A4" w:rsidRDefault="00BD26A4" w:rsidP="0017479D">
      <w:pPr>
        <w:pStyle w:val="FootnoteText"/>
      </w:pPr>
      <w:r>
        <w:rPr>
          <w:rStyle w:val="FootnoteReference"/>
        </w:rPr>
        <w:footnoteRef/>
      </w:r>
      <w:r>
        <w:t xml:space="preserve"> From </w:t>
      </w:r>
      <w:r w:rsidRPr="009B4128">
        <w:t xml:space="preserve">CJRSU’s monthly </w:t>
      </w:r>
      <w:r>
        <w:t>prisoner</w:t>
      </w:r>
      <w:r w:rsidRPr="009B4128">
        <w:t xml:space="preserve"> census database.</w:t>
      </w:r>
    </w:p>
  </w:footnote>
  <w:footnote w:id="39">
    <w:p w14:paraId="244E6288" w14:textId="77777777" w:rsidR="00BD26A4" w:rsidRDefault="00BD26A4" w:rsidP="00355DC0">
      <w:pPr>
        <w:pStyle w:val="FootnoteText"/>
      </w:pPr>
      <w:r>
        <w:rPr>
          <w:rStyle w:val="FootnoteReference"/>
        </w:rPr>
        <w:footnoteRef/>
      </w:r>
      <w:r>
        <w:t xml:space="preserve"> </w:t>
      </w:r>
      <w:r w:rsidRPr="00693B90">
        <w:t>Data from the 2019/20 financial year provided by the Department of the Attorney-General and Justice Research and Statistics Unit. Extracted from IJIS on 31 July 2020.</w:t>
      </w:r>
      <w:r>
        <w:t xml:space="preserve"> </w:t>
      </w:r>
    </w:p>
  </w:footnote>
  <w:footnote w:id="40">
    <w:p w14:paraId="6E26CD61" w14:textId="0CEFFBAA" w:rsidR="00BD26A4" w:rsidRDefault="00BD26A4" w:rsidP="00EA1696">
      <w:r>
        <w:rPr>
          <w:rStyle w:val="FootnoteReference"/>
        </w:rPr>
        <w:footnoteRef/>
      </w:r>
      <w:r>
        <w:t xml:space="preserve"> </w:t>
      </w:r>
      <w:r w:rsidRPr="00EA1696">
        <w:rPr>
          <w:sz w:val="20"/>
          <w:szCs w:val="20"/>
        </w:rPr>
        <w:t xml:space="preserve">Richmond, A. (2019), </w:t>
      </w:r>
      <w:r w:rsidRPr="00EA1696">
        <w:rPr>
          <w:i/>
          <w:iCs/>
          <w:sz w:val="20"/>
          <w:szCs w:val="20"/>
        </w:rPr>
        <w:t>Journey Mapping Workshop Report: Exploring the Voices and Experiences of Victim-Survivors of Domestic and Family Violence in NT Justice System</w:t>
      </w:r>
      <w:r w:rsidRPr="00EA1696">
        <w:rPr>
          <w:sz w:val="20"/>
          <w:szCs w:val="20"/>
        </w:rPr>
        <w:t>, Prepared for the Domestic Violence Justice Reform Network and published by Dawn House, February 2019.</w:t>
      </w:r>
    </w:p>
  </w:footnote>
  <w:footnote w:id="41">
    <w:p w14:paraId="61A1E824" w14:textId="77777777" w:rsidR="00BD26A4" w:rsidRDefault="00BD26A4">
      <w:pPr>
        <w:pStyle w:val="FootnoteText"/>
      </w:pPr>
      <w:r>
        <w:rPr>
          <w:rStyle w:val="FootnoteReference"/>
        </w:rPr>
        <w:footnoteRef/>
      </w:r>
      <w:r>
        <w:t xml:space="preserve"> Section 186AA of the NT Criminal Code.</w:t>
      </w:r>
    </w:p>
  </w:footnote>
  <w:footnote w:id="42">
    <w:p w14:paraId="1B53881E" w14:textId="77777777" w:rsidR="00BD26A4" w:rsidRDefault="00BD26A4">
      <w:pPr>
        <w:pStyle w:val="FootnoteText"/>
      </w:pPr>
      <w:r>
        <w:rPr>
          <w:rStyle w:val="FootnoteReference"/>
        </w:rPr>
        <w:footnoteRef/>
      </w:r>
      <w:r>
        <w:t xml:space="preserve"> Section 24 and Part 2.11A of the </w:t>
      </w:r>
      <w:r w:rsidRPr="0089783A">
        <w:rPr>
          <w:i/>
          <w:iCs/>
        </w:rPr>
        <w:t>Domestic and Family Violence Act 2007.</w:t>
      </w:r>
    </w:p>
  </w:footnote>
  <w:footnote w:id="43">
    <w:p w14:paraId="6E99B4F9" w14:textId="77777777" w:rsidR="00BD26A4" w:rsidRDefault="00BD26A4" w:rsidP="008278E4">
      <w:pPr>
        <w:pStyle w:val="FootnoteText"/>
      </w:pPr>
      <w:r>
        <w:rPr>
          <w:rStyle w:val="FootnoteReference"/>
        </w:rPr>
        <w:footnoteRef/>
      </w:r>
      <w:r>
        <w:t xml:space="preserve"> Douglas, H (2021), </w:t>
      </w:r>
      <w:r w:rsidRPr="005A786D">
        <w:rPr>
          <w:i/>
          <w:iCs/>
        </w:rPr>
        <w:t>Women, Intimate Partner Violence, and the Law</w:t>
      </w:r>
      <w:r>
        <w:t>, Oxford University Press.</w:t>
      </w:r>
    </w:p>
  </w:footnote>
  <w:footnote w:id="44">
    <w:p w14:paraId="153C1F08" w14:textId="56032C3F" w:rsidR="00BD26A4" w:rsidRDefault="00BD26A4">
      <w:pPr>
        <w:pStyle w:val="FootnoteText"/>
      </w:pPr>
      <w:r>
        <w:rPr>
          <w:rStyle w:val="FootnoteReference"/>
        </w:rPr>
        <w:footnoteRef/>
      </w:r>
      <w:r>
        <w:t xml:space="preserve"> Langton, M, Smith, K., Eastman, T., O’Neill, L., Cheesman, E. and Rose, M. (2020) </w:t>
      </w:r>
      <w:r w:rsidRPr="005820DE">
        <w:rPr>
          <w:i/>
          <w:iCs/>
        </w:rPr>
        <w:t>Improving family violence legal and support services for Aboriginal and Torres Strait Islander Women</w:t>
      </w:r>
      <w:r>
        <w:t xml:space="preserve"> (Research report, 25/2020), Sydney: ANROWS.</w:t>
      </w:r>
    </w:p>
  </w:footnote>
  <w:footnote w:id="45">
    <w:p w14:paraId="135B7AEC" w14:textId="573328EC" w:rsidR="00BD26A4" w:rsidRDefault="00BD26A4">
      <w:pPr>
        <w:pStyle w:val="FootnoteText"/>
      </w:pPr>
      <w:r>
        <w:rPr>
          <w:rStyle w:val="FootnoteReference"/>
        </w:rPr>
        <w:footnoteRef/>
      </w:r>
      <w:r>
        <w:t xml:space="preserve"> ANROWS (2020) Improving family violence legal and support services for Aboriginal and Torres Strait Islander peoples: Key findings and future directions (Research to policy and practice, 25-26/2020. Sydney: ANROWS, at p. 6.</w:t>
      </w:r>
    </w:p>
  </w:footnote>
  <w:footnote w:id="46">
    <w:p w14:paraId="2E575F2E" w14:textId="468E56F6" w:rsidR="00BD26A4" w:rsidRDefault="00BD26A4">
      <w:pPr>
        <w:pStyle w:val="FootnoteText"/>
      </w:pPr>
      <w:r>
        <w:rPr>
          <w:rStyle w:val="FootnoteReference"/>
        </w:rPr>
        <w:footnoteRef/>
      </w:r>
      <w:r>
        <w:t xml:space="preserve"> </w:t>
      </w:r>
      <w:r w:rsidRPr="00A3492D">
        <w:t xml:space="preserve">Australian Bureau of Statistics (ABS), Recorded Crime, Victimisation, Australia (Released 45100DO 005_2019, Released date 9 July 2020) </w:t>
      </w:r>
    </w:p>
  </w:footnote>
  <w:footnote w:id="47">
    <w:p w14:paraId="33E1735D" w14:textId="4A4896ED" w:rsidR="00BD26A4" w:rsidRDefault="00BD26A4">
      <w:pPr>
        <w:pStyle w:val="FootnoteText"/>
      </w:pPr>
      <w:r>
        <w:rPr>
          <w:rStyle w:val="FootnoteReference"/>
        </w:rPr>
        <w:footnoteRef/>
      </w:r>
      <w:r>
        <w:t xml:space="preserve"> Extracted from IJIS on 2 May 2022.</w:t>
      </w:r>
    </w:p>
  </w:footnote>
  <w:footnote w:id="48">
    <w:p w14:paraId="73BF0245" w14:textId="495C6A8D" w:rsidR="00BD26A4" w:rsidRDefault="00BD26A4">
      <w:pPr>
        <w:pStyle w:val="FootnoteText"/>
      </w:pPr>
      <w:r>
        <w:rPr>
          <w:rStyle w:val="FootnoteReference"/>
        </w:rPr>
        <w:footnoteRef/>
      </w:r>
      <w:r>
        <w:t xml:space="preserve"> </w:t>
      </w:r>
      <w:r w:rsidRPr="005506B7">
        <w:t>Department of Territory Families, Housing and Communities (2020),</w:t>
      </w:r>
      <w:r>
        <w:t xml:space="preserve"> </w:t>
      </w:r>
      <w:r w:rsidRPr="005506B7">
        <w:rPr>
          <w:i/>
        </w:rPr>
        <w:t>Northern Territory Domestic and Family Violence Risk Assessment and Management Framewor</w:t>
      </w:r>
      <w:r w:rsidRPr="005506B7">
        <w:t>k</w:t>
      </w:r>
      <w:r>
        <w:t>.</w:t>
      </w:r>
    </w:p>
  </w:footnote>
  <w:footnote w:id="49">
    <w:p w14:paraId="7E7E708C" w14:textId="77777777" w:rsidR="00BD26A4" w:rsidRPr="001171D3" w:rsidRDefault="00BD26A4" w:rsidP="00EC698A">
      <w:pPr>
        <w:pStyle w:val="FootnoteText"/>
        <w:rPr>
          <w:sz w:val="22"/>
          <w:szCs w:val="22"/>
        </w:rPr>
      </w:pPr>
      <w:r>
        <w:rPr>
          <w:rStyle w:val="FootnoteReference"/>
        </w:rPr>
        <w:footnoteRef/>
      </w:r>
      <w:r>
        <w:t xml:space="preserve"> </w:t>
      </w:r>
      <w:r w:rsidRPr="001171D3">
        <w:t xml:space="preserve">Australian National Research Organisation on Women’s Safety (ANROWS) (2018), </w:t>
      </w:r>
      <w:r w:rsidRPr="001171D3">
        <w:rPr>
          <w:i/>
        </w:rPr>
        <w:t>National Risk Assessment Principles for Family and Domestic Violence: Quick Reference Guide for Practitioners.</w:t>
      </w:r>
      <w:r w:rsidRPr="009F0BE5">
        <w:rPr>
          <w:i/>
          <w:sz w:val="22"/>
          <w:szCs w:val="22"/>
        </w:rPr>
        <w:t xml:space="preserve"> </w:t>
      </w:r>
    </w:p>
  </w:footnote>
  <w:footnote w:id="50">
    <w:p w14:paraId="7ED88683" w14:textId="0D33CC11" w:rsidR="00BD26A4" w:rsidRDefault="00BD26A4" w:rsidP="006726B8">
      <w:pPr>
        <w:pStyle w:val="FootnoteText"/>
      </w:pPr>
      <w:r>
        <w:rPr>
          <w:rStyle w:val="FootnoteReference"/>
        </w:rPr>
        <w:footnoteRef/>
      </w:r>
      <w:r>
        <w:t xml:space="preserve"> These risk factors are not listed in order from highest risk to lowest risk. They are in the order listed in the </w:t>
      </w:r>
      <w:r w:rsidRPr="005506B7">
        <w:rPr>
          <w:i/>
        </w:rPr>
        <w:t>Northern Territory Domestic and Family Violence Risk Assessment and Management Framewor</w:t>
      </w:r>
      <w:r w:rsidRPr="005506B7">
        <w:t>k</w:t>
      </w:r>
      <w:r>
        <w:t xml:space="preserve"> (</w:t>
      </w:r>
      <w:r w:rsidRPr="005506B7">
        <w:t>Department of Territory Families, Housing and Communities</w:t>
      </w:r>
      <w:r>
        <w:t>, 2020)</w:t>
      </w:r>
      <w:r w:rsidRPr="005506B7">
        <w:t>.</w:t>
      </w:r>
    </w:p>
  </w:footnote>
  <w:footnote w:id="51">
    <w:p w14:paraId="6940333F" w14:textId="2F2FED32" w:rsidR="00BD26A4" w:rsidRPr="002B0483" w:rsidRDefault="00BD26A4" w:rsidP="00297DB7">
      <w:pPr>
        <w:spacing w:after="0"/>
        <w:rPr>
          <w:sz w:val="20"/>
          <w:szCs w:val="20"/>
        </w:rPr>
      </w:pPr>
      <w:r>
        <w:rPr>
          <w:rStyle w:val="FootnoteReference"/>
        </w:rPr>
        <w:footnoteRef/>
      </w:r>
      <w:r>
        <w:t xml:space="preserve"> </w:t>
      </w:r>
      <w:r w:rsidRPr="002B0483">
        <w:rPr>
          <w:sz w:val="20"/>
          <w:szCs w:val="20"/>
        </w:rPr>
        <w:t>This was also a key</w:t>
      </w:r>
      <w:r>
        <w:rPr>
          <w:sz w:val="20"/>
          <w:szCs w:val="20"/>
        </w:rPr>
        <w:t xml:space="preserve"> finding of ANROWS research:</w:t>
      </w:r>
      <w:r w:rsidRPr="002B0483">
        <w:rPr>
          <w:sz w:val="20"/>
          <w:szCs w:val="20"/>
        </w:rPr>
        <w:t xml:space="preserve">  Nancarrow, H, Thomas, K., Ringland, V. and Modini, T. (2020), </w:t>
      </w:r>
      <w:r w:rsidRPr="002B0483">
        <w:rPr>
          <w:i/>
          <w:sz w:val="20"/>
          <w:szCs w:val="20"/>
        </w:rPr>
        <w:t xml:space="preserve">Accurately identifying the “person most in need of protection” in domestic and family violence law. </w:t>
      </w:r>
      <w:r w:rsidRPr="002B0483">
        <w:rPr>
          <w:sz w:val="20"/>
          <w:szCs w:val="20"/>
        </w:rPr>
        <w:t>Australian National Research Organisation on Women’s Safety (ANROWS) (Research Report 23/2020).</w:t>
      </w:r>
    </w:p>
  </w:footnote>
  <w:footnote w:id="52">
    <w:p w14:paraId="4778FCB1" w14:textId="62865340" w:rsidR="00BD26A4" w:rsidRDefault="00BD26A4" w:rsidP="00297DB7">
      <w:pPr>
        <w:spacing w:after="0"/>
      </w:pPr>
      <w:r>
        <w:rPr>
          <w:rStyle w:val="FootnoteReference"/>
        </w:rPr>
        <w:footnoteRef/>
      </w:r>
      <w:r>
        <w:t xml:space="preserve"> </w:t>
      </w:r>
      <w:r w:rsidRPr="00AC4007">
        <w:rPr>
          <w:sz w:val="20"/>
          <w:szCs w:val="20"/>
        </w:rPr>
        <w:t xml:space="preserve">See for example </w:t>
      </w:r>
      <w:r>
        <w:rPr>
          <w:sz w:val="20"/>
          <w:szCs w:val="20"/>
        </w:rPr>
        <w:t xml:space="preserve">research by </w:t>
      </w:r>
      <w:r w:rsidRPr="00AC4007">
        <w:rPr>
          <w:sz w:val="20"/>
          <w:szCs w:val="20"/>
        </w:rPr>
        <w:t xml:space="preserve">Nancarrow et al. (2020); </w:t>
      </w:r>
      <w:r>
        <w:rPr>
          <w:sz w:val="20"/>
          <w:szCs w:val="20"/>
        </w:rPr>
        <w:t xml:space="preserve"> Also </w:t>
      </w:r>
      <w:r w:rsidRPr="00AC4007">
        <w:rPr>
          <w:sz w:val="20"/>
          <w:szCs w:val="20"/>
        </w:rPr>
        <w:t xml:space="preserve">Women’s Legal Service Victoria (2018), </w:t>
      </w:r>
      <w:r w:rsidRPr="00AC4007">
        <w:rPr>
          <w:i/>
          <w:sz w:val="20"/>
          <w:szCs w:val="20"/>
        </w:rPr>
        <w:t>“Officer she’s psychotic and I need protection”: Police misidentification of the ‘primary aggressor’ in family violence incidents in Victoria.</w:t>
      </w:r>
    </w:p>
  </w:footnote>
  <w:footnote w:id="53">
    <w:p w14:paraId="3B84B2FA" w14:textId="1F30F112" w:rsidR="00BD26A4" w:rsidRDefault="00BD26A4" w:rsidP="00297DB7">
      <w:pPr>
        <w:pStyle w:val="FootnoteText"/>
      </w:pPr>
      <w:r>
        <w:rPr>
          <w:rStyle w:val="FootnoteReference"/>
        </w:rPr>
        <w:footnoteRef/>
      </w:r>
      <w:r>
        <w:t xml:space="preserve"> Nancarrow et al. (2020)</w:t>
      </w:r>
    </w:p>
  </w:footnote>
  <w:footnote w:id="54">
    <w:p w14:paraId="40D45C53" w14:textId="00C23A98" w:rsidR="00BD26A4" w:rsidRDefault="00BD26A4" w:rsidP="00297DB7">
      <w:pPr>
        <w:pStyle w:val="FootnoteText"/>
      </w:pPr>
      <w:r>
        <w:rPr>
          <w:rStyle w:val="FootnoteReference"/>
        </w:rPr>
        <w:footnoteRef/>
      </w:r>
      <w:r>
        <w:t xml:space="preserve"> </w:t>
      </w:r>
      <w:r w:rsidRPr="005B6BF5">
        <w:t>Richmond (2019)</w:t>
      </w:r>
      <w:r>
        <w:t>; Women’s Legal Service Victoria (2018)</w:t>
      </w:r>
    </w:p>
  </w:footnote>
  <w:footnote w:id="55">
    <w:p w14:paraId="672AC8D3" w14:textId="0E06A224" w:rsidR="00BD26A4" w:rsidRDefault="00BD26A4">
      <w:pPr>
        <w:pStyle w:val="FootnoteText"/>
      </w:pPr>
      <w:r>
        <w:rPr>
          <w:rStyle w:val="FootnoteReference"/>
        </w:rPr>
        <w:footnoteRef/>
      </w:r>
      <w:r>
        <w:t xml:space="preserve"> Nancarrow et al. (2020)</w:t>
      </w:r>
    </w:p>
  </w:footnote>
  <w:footnote w:id="56">
    <w:p w14:paraId="2DE6C49B" w14:textId="52DBDAB2" w:rsidR="00BD26A4" w:rsidRDefault="00BD26A4" w:rsidP="00BC19F2">
      <w:pPr>
        <w:pStyle w:val="FootnoteText"/>
      </w:pPr>
      <w:r>
        <w:rPr>
          <w:rStyle w:val="FootnoteReference"/>
        </w:rPr>
        <w:footnoteRef/>
      </w:r>
      <w:r>
        <w:t xml:space="preserve"> Women’s Legal Service Victoria (2018) </w:t>
      </w:r>
    </w:p>
  </w:footnote>
  <w:footnote w:id="57">
    <w:p w14:paraId="091129BB" w14:textId="4FE97B57" w:rsidR="00BD26A4" w:rsidRDefault="00BD26A4" w:rsidP="00BC19F2">
      <w:pPr>
        <w:pStyle w:val="FootnoteText"/>
      </w:pPr>
      <w:r>
        <w:rPr>
          <w:rStyle w:val="FootnoteReference"/>
        </w:rPr>
        <w:footnoteRef/>
      </w:r>
      <w:r>
        <w:t xml:space="preserve"> Women’s Legal Service Victoria (2018) </w:t>
      </w:r>
    </w:p>
  </w:footnote>
  <w:footnote w:id="58">
    <w:p w14:paraId="727A9FFB" w14:textId="77777777" w:rsidR="00BD26A4" w:rsidRDefault="00BD26A4" w:rsidP="00BC19F2">
      <w:pPr>
        <w:pStyle w:val="FootnoteText"/>
      </w:pPr>
      <w:r>
        <w:rPr>
          <w:rStyle w:val="FootnoteReference"/>
        </w:rPr>
        <w:footnoteRef/>
      </w:r>
      <w:r>
        <w:t xml:space="preserve"> Women’s Legal Service Victoria (2018)</w:t>
      </w:r>
    </w:p>
  </w:footnote>
  <w:footnote w:id="59">
    <w:p w14:paraId="65585119" w14:textId="77777777" w:rsidR="00BD26A4" w:rsidRPr="00257F1C" w:rsidRDefault="00BD26A4" w:rsidP="00BC19F2">
      <w:pPr>
        <w:pStyle w:val="FootnoteText"/>
      </w:pPr>
      <w:r>
        <w:rPr>
          <w:rStyle w:val="FootnoteReference"/>
        </w:rPr>
        <w:footnoteRef/>
      </w:r>
      <w:r>
        <w:t xml:space="preserve"> Nancarrow, H, Thomas K, Ringland, V., and Modini, T. (2020) </w:t>
      </w:r>
      <w:r w:rsidRPr="009D29C0">
        <w:rPr>
          <w:i/>
        </w:rPr>
        <w:t>Accurately identifying the ‘person most in need of protection’ in dome</w:t>
      </w:r>
      <w:r>
        <w:rPr>
          <w:i/>
        </w:rPr>
        <w:t xml:space="preserve">stic and family violence law (Research report 23/2020). </w:t>
      </w:r>
      <w:r w:rsidRPr="009D29C0">
        <w:t>Sydney</w:t>
      </w:r>
      <w:r>
        <w:t>: ANROWS</w:t>
      </w:r>
      <w:r w:rsidRPr="009D29C0">
        <w:t>.</w:t>
      </w:r>
    </w:p>
    <w:p w14:paraId="3F43F60F" w14:textId="17438656" w:rsidR="00BD26A4" w:rsidRPr="00A601D0" w:rsidRDefault="00D746C7" w:rsidP="00A601D0">
      <w:pPr>
        <w:spacing w:after="0" w:line="276" w:lineRule="auto"/>
        <w:jc w:val="both"/>
        <w:rPr>
          <w:sz w:val="20"/>
          <w:szCs w:val="20"/>
        </w:rPr>
      </w:pPr>
      <w:hyperlink r:id="rId6" w:history="1">
        <w:r w:rsidR="00BD26A4" w:rsidRPr="009D29C0">
          <w:rPr>
            <w:rStyle w:val="Hyperlink"/>
            <w:sz w:val="20"/>
            <w:szCs w:val="20"/>
          </w:rPr>
          <w:t>Accurately identifying the ‘person most in need of protection’ in domestic and family violence law - ANROWS - Australia's National Research Organisation for Women's Safety</w:t>
        </w:r>
      </w:hyperlink>
    </w:p>
  </w:footnote>
  <w:footnote w:id="60">
    <w:p w14:paraId="01077FB9" w14:textId="71D551C5" w:rsidR="00BD26A4" w:rsidRDefault="00BD26A4">
      <w:pPr>
        <w:pStyle w:val="FootnoteText"/>
      </w:pPr>
      <w:r>
        <w:rPr>
          <w:rStyle w:val="FootnoteReference"/>
        </w:rPr>
        <w:footnoteRef/>
      </w:r>
      <w:r>
        <w:t xml:space="preserve"> The NT’s </w:t>
      </w:r>
      <w:r w:rsidRPr="00610AFF">
        <w:rPr>
          <w:i/>
        </w:rPr>
        <w:t>DFV Risk Assessment and Management Tool and Framework</w:t>
      </w:r>
      <w:r>
        <w:t>, has been authorised by the Minister in accordance with s124Q of the DFVA. All information sharing entities under Chapter 5A of the DFVA are required to ensure that their policies, procedures, practice guidance and tools relevant to the sharing of information align with the Framework (s124R)</w:t>
      </w:r>
    </w:p>
  </w:footnote>
  <w:footnote w:id="61">
    <w:p w14:paraId="48BAB558" w14:textId="246C9D18" w:rsidR="00BD26A4" w:rsidRDefault="00BD26A4">
      <w:pPr>
        <w:pStyle w:val="FootnoteText"/>
      </w:pPr>
      <w:r>
        <w:rPr>
          <w:rStyle w:val="FootnoteReference"/>
        </w:rPr>
        <w:footnoteRef/>
      </w:r>
      <w:r>
        <w:t xml:space="preserve"> See Our Watch resources on prevention and the drivers of DFV. </w:t>
      </w:r>
      <w:hyperlink r:id="rId7" w:history="1">
        <w:r w:rsidRPr="000C5B19">
          <w:rPr>
            <w:rStyle w:val="Hyperlink"/>
          </w:rPr>
          <w:t>https://www.ourwatch.org.au/resource/change-the-story-summary/</w:t>
        </w:r>
      </w:hyperlink>
    </w:p>
  </w:footnote>
  <w:footnote w:id="62">
    <w:p w14:paraId="0F4551A4" w14:textId="5A93651E" w:rsidR="00BD26A4" w:rsidRDefault="00BD26A4">
      <w:pPr>
        <w:pStyle w:val="FootnoteText"/>
      </w:pPr>
      <w:r>
        <w:rPr>
          <w:rStyle w:val="FootnoteReference"/>
        </w:rPr>
        <w:footnoteRef/>
      </w:r>
      <w:r>
        <w:t xml:space="preserve"> See Our Watch resources on prevention and the drivers of DFV. </w:t>
      </w:r>
      <w:hyperlink r:id="rId8" w:history="1">
        <w:r w:rsidRPr="000C5B19">
          <w:rPr>
            <w:rStyle w:val="Hyperlink"/>
          </w:rPr>
          <w:t>https://www.ourwatch.org.au/resource/change-the-story-summary/</w:t>
        </w:r>
      </w:hyperlink>
    </w:p>
  </w:footnote>
  <w:footnote w:id="63">
    <w:p w14:paraId="5D8A629A" w14:textId="77777777" w:rsidR="00BD26A4" w:rsidRDefault="00BD26A4" w:rsidP="008400EE">
      <w:pPr>
        <w:pStyle w:val="FootnoteText"/>
      </w:pPr>
      <w:r>
        <w:rPr>
          <w:rStyle w:val="FootnoteReference"/>
        </w:rPr>
        <w:footnoteRef/>
      </w:r>
      <w:r>
        <w:t xml:space="preserve"> ANROWS (2020) Improving family violence legal and support services for Aboriginal and Torres Strait Islander peoples: Key findings and future directions (Research to policy and practice, 25-26/2020. Sydney: ANROWS, at p. 6.</w:t>
      </w:r>
    </w:p>
  </w:footnote>
  <w:footnote w:id="64">
    <w:p w14:paraId="5CAFC733" w14:textId="67841E1C" w:rsidR="00BD26A4" w:rsidRDefault="00BD26A4">
      <w:pPr>
        <w:pStyle w:val="FootnoteText"/>
      </w:pPr>
      <w:r>
        <w:rPr>
          <w:rStyle w:val="FootnoteReference"/>
        </w:rPr>
        <w:footnoteRef/>
      </w:r>
      <w:r>
        <w:t xml:space="preserve"> </w:t>
      </w:r>
      <w:hyperlink r:id="rId9" w:history="1">
        <w:r w:rsidRPr="000C5B19">
          <w:rPr>
            <w:rStyle w:val="Hyperlink"/>
          </w:rPr>
          <w:t>https://tfhc.nt.gov.au/social-inclusion-and-interpreting-services/office-of-gender-equity-and-diversity/gender-equality</w:t>
        </w:r>
      </w:hyperlink>
    </w:p>
  </w:footnote>
  <w:footnote w:id="65">
    <w:p w14:paraId="6B5939AA" w14:textId="37ABA15F" w:rsidR="00BD26A4" w:rsidRDefault="00BD26A4">
      <w:pPr>
        <w:pStyle w:val="FootnoteText"/>
      </w:pPr>
      <w:r>
        <w:rPr>
          <w:rStyle w:val="FootnoteReference"/>
        </w:rPr>
        <w:footnoteRef/>
      </w:r>
      <w:r>
        <w:t xml:space="preserve"> </w:t>
      </w:r>
      <w:hyperlink r:id="rId10" w:history="1">
        <w:r w:rsidRPr="000C5B19">
          <w:rPr>
            <w:rStyle w:val="Hyperlink"/>
          </w:rPr>
          <w:t>https://justice.nt.gov.au/attorney-general-and-justice/northern-territory-aboriginal-justice-agreement/the-agreement</w:t>
        </w:r>
      </w:hyperlink>
    </w:p>
    <w:p w14:paraId="5A9D1385" w14:textId="77777777" w:rsidR="00BD26A4" w:rsidRDefault="00BD26A4">
      <w:pPr>
        <w:pStyle w:val="FootnoteText"/>
      </w:pPr>
    </w:p>
  </w:footnote>
  <w:footnote w:id="66">
    <w:p w14:paraId="0CAC7983" w14:textId="1B5B04C6" w:rsidR="00BD26A4" w:rsidRDefault="00BD26A4" w:rsidP="00685FBD">
      <w:pPr>
        <w:pStyle w:val="FootnoteText"/>
      </w:pPr>
      <w:r>
        <w:rPr>
          <w:rStyle w:val="FootnoteReference"/>
        </w:rPr>
        <w:footnoteRef/>
      </w:r>
      <w:r>
        <w:t xml:space="preserve"> </w:t>
      </w:r>
      <w:r w:rsidRPr="00B74E5C">
        <w:t>For example, Jess Hill has described the work of Albert Biderman who documented the use of coercive control techniques in Nor</w:t>
      </w:r>
      <w:r>
        <w:t>th Korean Prisoner of War Camps</w:t>
      </w:r>
      <w:r w:rsidRPr="00B74E5C">
        <w:t>, Hill (2019), pp 14-41.</w:t>
      </w:r>
      <w:r>
        <w:t xml:space="preserve"> Hill has pointed out the similarity of these techniques with DFV.</w:t>
      </w:r>
    </w:p>
  </w:footnote>
  <w:footnote w:id="67">
    <w:p w14:paraId="7ADE15DA" w14:textId="3D0A3C48" w:rsidR="00BD26A4" w:rsidRDefault="00BD26A4">
      <w:pPr>
        <w:pStyle w:val="FootnoteText"/>
      </w:pPr>
      <w:r>
        <w:rPr>
          <w:rStyle w:val="FootnoteReference"/>
        </w:rPr>
        <w:footnoteRef/>
      </w:r>
      <w:r>
        <w:t xml:space="preserve"> The term was coined by Evan Stark in his book </w:t>
      </w:r>
      <w:r w:rsidRPr="00A268FE">
        <w:rPr>
          <w:i/>
          <w:iCs/>
        </w:rPr>
        <w:t>How Men Entrap Women in Personal Life</w:t>
      </w:r>
      <w:r>
        <w:t>, Oxford University Press, 2007, although controlling behaviour has long been recognised as predominant feature of DFV.</w:t>
      </w:r>
    </w:p>
  </w:footnote>
  <w:footnote w:id="68">
    <w:p w14:paraId="635814E0" w14:textId="11E130AB" w:rsidR="00BD26A4" w:rsidRDefault="00BD26A4">
      <w:pPr>
        <w:pStyle w:val="FootnoteText"/>
      </w:pPr>
      <w:r>
        <w:rPr>
          <w:rStyle w:val="FootnoteReference"/>
        </w:rPr>
        <w:footnoteRef/>
      </w:r>
      <w:r>
        <w:t xml:space="preserve"> </w:t>
      </w:r>
      <w:r w:rsidRPr="00AF3B5F">
        <w:t xml:space="preserve">See New South Wales Government (2020) </w:t>
      </w:r>
      <w:r w:rsidRPr="00AF3B5F">
        <w:rPr>
          <w:i/>
          <w:iCs/>
        </w:rPr>
        <w:t>Coercive control – discussion paper</w:t>
      </w:r>
      <w:r w:rsidRPr="00AF3B5F">
        <w:t>, at p. 7</w:t>
      </w:r>
      <w:r w:rsidRPr="00AF3B5F">
        <w:rPr>
          <w:i/>
          <w:iCs/>
        </w:rPr>
        <w:t>.</w:t>
      </w:r>
    </w:p>
  </w:footnote>
  <w:footnote w:id="69">
    <w:p w14:paraId="12971AD4" w14:textId="28639FC2" w:rsidR="00BD26A4" w:rsidRPr="00AF3B5F" w:rsidRDefault="00BD26A4" w:rsidP="00FB5F65">
      <w:pPr>
        <w:spacing w:after="0"/>
        <w:rPr>
          <w:sz w:val="20"/>
          <w:szCs w:val="20"/>
        </w:rPr>
      </w:pPr>
      <w:r>
        <w:rPr>
          <w:rStyle w:val="FootnoteReference"/>
        </w:rPr>
        <w:footnoteRef/>
      </w:r>
      <w:r w:rsidRPr="00AF3B5F">
        <w:rPr>
          <w:sz w:val="20"/>
          <w:szCs w:val="20"/>
        </w:rPr>
        <w:t xml:space="preserve"> ANROWS (202</w:t>
      </w:r>
      <w:r>
        <w:rPr>
          <w:sz w:val="20"/>
          <w:szCs w:val="20"/>
        </w:rPr>
        <w:t>1</w:t>
      </w:r>
      <w:r w:rsidRPr="00AF3B5F">
        <w:rPr>
          <w:sz w:val="20"/>
          <w:szCs w:val="20"/>
        </w:rPr>
        <w:t xml:space="preserve">), </w:t>
      </w:r>
      <w:r w:rsidRPr="00AF3B5F">
        <w:rPr>
          <w:i/>
          <w:sz w:val="20"/>
          <w:szCs w:val="20"/>
        </w:rPr>
        <w:t>Policy Brief: Defining and Responding to Coercive Control</w:t>
      </w:r>
      <w:r>
        <w:rPr>
          <w:i/>
          <w:sz w:val="20"/>
          <w:szCs w:val="20"/>
        </w:rPr>
        <w:t>, at p. 1.</w:t>
      </w:r>
    </w:p>
  </w:footnote>
  <w:footnote w:id="70">
    <w:p w14:paraId="2E8869D3" w14:textId="77777777" w:rsidR="00BD26A4" w:rsidRDefault="00BD26A4" w:rsidP="00FB5F65">
      <w:pPr>
        <w:pStyle w:val="FootnoteText"/>
      </w:pPr>
      <w:r>
        <w:rPr>
          <w:rStyle w:val="FootnoteReference"/>
        </w:rPr>
        <w:footnoteRef/>
      </w:r>
      <w:r>
        <w:t xml:space="preserve"> ANROWS (2021)</w:t>
      </w:r>
    </w:p>
  </w:footnote>
  <w:footnote w:id="71">
    <w:p w14:paraId="425085E4" w14:textId="77777777" w:rsidR="00BD26A4" w:rsidRPr="00EE4D46" w:rsidRDefault="00BD26A4" w:rsidP="00685FBD">
      <w:pPr>
        <w:pStyle w:val="FootnoteText"/>
        <w:rPr>
          <w:i/>
        </w:rPr>
      </w:pPr>
      <w:r>
        <w:rPr>
          <w:rStyle w:val="FootnoteReference"/>
        </w:rPr>
        <w:footnoteRef/>
      </w:r>
      <w:r>
        <w:t xml:space="preserve"> NSW Government (2020), </w:t>
      </w:r>
      <w:r w:rsidRPr="001B62B6">
        <w:rPr>
          <w:i/>
        </w:rPr>
        <w:t>Coercive Control: A Discussion Paper, October 2020</w:t>
      </w:r>
      <w:r>
        <w:rPr>
          <w:i/>
        </w:rPr>
        <w:t>.</w:t>
      </w:r>
      <w:r>
        <w:rPr>
          <w:i/>
        </w:rPr>
        <w:br/>
      </w:r>
      <w:r>
        <w:t xml:space="preserve">Australian National Research Institute on Women’s Safety (ANROWS) (2021) </w:t>
      </w:r>
      <w:r w:rsidRPr="00A854A2">
        <w:rPr>
          <w:i/>
        </w:rPr>
        <w:t>Defining and responding to coercive control: Policy Brief</w:t>
      </w:r>
      <w:r>
        <w:t xml:space="preserve"> (ANROWS Insights, 01/20-21. Sydney: ANROWS.</w:t>
      </w:r>
      <w:r>
        <w:rPr>
          <w:i/>
        </w:rPr>
        <w:t xml:space="preserve"> </w:t>
      </w:r>
    </w:p>
  </w:footnote>
  <w:footnote w:id="72">
    <w:p w14:paraId="262D452F" w14:textId="77777777" w:rsidR="00BD26A4" w:rsidRDefault="00BD26A4" w:rsidP="00685FBD">
      <w:pPr>
        <w:pStyle w:val="FootnoteText"/>
      </w:pPr>
      <w:r>
        <w:rPr>
          <w:rStyle w:val="FootnoteReference"/>
        </w:rPr>
        <w:footnoteRef/>
      </w:r>
      <w:r>
        <w:t xml:space="preserve"> ANROWS (2021)</w:t>
      </w:r>
    </w:p>
  </w:footnote>
  <w:footnote w:id="73">
    <w:p w14:paraId="472CC296" w14:textId="52438615" w:rsidR="00BD26A4" w:rsidRDefault="00BD26A4">
      <w:pPr>
        <w:pStyle w:val="FootnoteText"/>
      </w:pPr>
      <w:r>
        <w:rPr>
          <w:rStyle w:val="FootnoteReference"/>
        </w:rPr>
        <w:footnoteRef/>
      </w:r>
      <w:r>
        <w:t xml:space="preserve"> NSW Government (2020), </w:t>
      </w:r>
      <w:r w:rsidRPr="001B62B6">
        <w:rPr>
          <w:i/>
        </w:rPr>
        <w:t>Coercive Control: A Discussion Paper, October 2020</w:t>
      </w:r>
      <w:r w:rsidRPr="00A268FE">
        <w:rPr>
          <w:iCs/>
        </w:rPr>
        <w:t>, at p.8.</w:t>
      </w:r>
    </w:p>
  </w:footnote>
  <w:footnote w:id="74">
    <w:p w14:paraId="31C3EF3F" w14:textId="77777777" w:rsidR="00BD26A4" w:rsidRPr="007E7734" w:rsidRDefault="00BD26A4" w:rsidP="00685FBD">
      <w:pPr>
        <w:pStyle w:val="FootnoteText"/>
        <w:rPr>
          <w:rFonts w:asciiTheme="minorHAnsi" w:hAnsiTheme="minorHAnsi"/>
        </w:rPr>
      </w:pPr>
      <w:r w:rsidRPr="00F265A7">
        <w:rPr>
          <w:rStyle w:val="FootnoteReference"/>
        </w:rPr>
        <w:footnoteRef/>
      </w:r>
      <w:r w:rsidRPr="00F265A7">
        <w:t xml:space="preserve"> </w:t>
      </w:r>
      <w:r w:rsidRPr="007E7734">
        <w:rPr>
          <w:rStyle w:val="cite-author"/>
          <w:rFonts w:asciiTheme="minorHAnsi" w:hAnsiTheme="minorHAnsi" w:cs="Calibri"/>
          <w:shd w:val="clear" w:color="auto" w:fill="F4F4F4"/>
        </w:rPr>
        <w:t>Boxall H &amp; Morgan A</w:t>
      </w:r>
      <w:r w:rsidRPr="007E7734">
        <w:rPr>
          <w:rFonts w:asciiTheme="minorHAnsi" w:hAnsiTheme="minorHAnsi" w:cs="Calibri"/>
          <w:shd w:val="clear" w:color="auto" w:fill="F4F4F4"/>
        </w:rPr>
        <w:t> 2021. </w:t>
      </w:r>
      <w:r w:rsidRPr="007E7734">
        <w:rPr>
          <w:rStyle w:val="Emphasis"/>
          <w:rFonts w:asciiTheme="minorHAnsi" w:hAnsiTheme="minorHAnsi" w:cs="Calibri"/>
          <w:shd w:val="clear" w:color="auto" w:fill="F4F4F4"/>
        </w:rPr>
        <w:t>Experiences of coercive control among Australian women</w:t>
      </w:r>
      <w:r w:rsidRPr="007E7734">
        <w:rPr>
          <w:rFonts w:asciiTheme="minorHAnsi" w:hAnsiTheme="minorHAnsi" w:cs="Calibri"/>
          <w:shd w:val="clear" w:color="auto" w:fill="F4F4F4"/>
        </w:rPr>
        <w:t xml:space="preserve">. Statistical Bulletin no. 30. Canberra: Australian Institute of Criminology. </w:t>
      </w:r>
      <w:hyperlink r:id="rId11" w:history="1">
        <w:r w:rsidRPr="007E7734">
          <w:rPr>
            <w:rStyle w:val="Hyperlink"/>
            <w:rFonts w:asciiTheme="minorHAnsi" w:hAnsiTheme="minorHAnsi" w:cs="Calibri"/>
            <w:color w:val="auto"/>
            <w:shd w:val="clear" w:color="auto" w:fill="F4F4F4"/>
          </w:rPr>
          <w:t>https://doi.org/10.52922/sb78108</w:t>
        </w:r>
      </w:hyperlink>
      <w:r w:rsidRPr="007E7734">
        <w:rPr>
          <w:rFonts w:asciiTheme="minorHAnsi" w:hAnsiTheme="minorHAnsi" w:cs="Calibri"/>
          <w:shd w:val="clear" w:color="auto" w:fill="F4F4F4"/>
        </w:rPr>
        <w:t xml:space="preserve"> </w:t>
      </w:r>
    </w:p>
  </w:footnote>
  <w:footnote w:id="75">
    <w:p w14:paraId="44BE0F31" w14:textId="77777777" w:rsidR="00BD26A4" w:rsidRDefault="00BD26A4" w:rsidP="00685FBD">
      <w:pPr>
        <w:pStyle w:val="FootnoteText"/>
      </w:pPr>
      <w:r w:rsidRPr="007E7734">
        <w:rPr>
          <w:rStyle w:val="FootnoteReference"/>
          <w:rFonts w:asciiTheme="minorHAnsi" w:hAnsiTheme="minorHAnsi"/>
        </w:rPr>
        <w:footnoteRef/>
      </w:r>
      <w:r w:rsidRPr="007E7734">
        <w:rPr>
          <w:rFonts w:asciiTheme="minorHAnsi" w:hAnsiTheme="minorHAnsi"/>
        </w:rPr>
        <w:t xml:space="preserve"> </w:t>
      </w:r>
      <w:r w:rsidRPr="007E7734">
        <w:rPr>
          <w:rStyle w:val="cite-author"/>
          <w:rFonts w:asciiTheme="minorHAnsi" w:hAnsiTheme="minorHAnsi" w:cs="Calibri"/>
          <w:shd w:val="clear" w:color="auto" w:fill="F4F4F4"/>
        </w:rPr>
        <w:t xml:space="preserve">Boxall </w:t>
      </w:r>
      <w:r>
        <w:rPr>
          <w:rStyle w:val="cite-author"/>
          <w:rFonts w:asciiTheme="minorHAnsi" w:hAnsiTheme="minorHAnsi" w:cs="Calibri"/>
          <w:shd w:val="clear" w:color="auto" w:fill="F4F4F4"/>
        </w:rPr>
        <w:t>and Morgan (2021)</w:t>
      </w:r>
    </w:p>
  </w:footnote>
  <w:footnote w:id="76">
    <w:p w14:paraId="4A599355" w14:textId="77777777" w:rsidR="00BD26A4" w:rsidRDefault="00BD26A4" w:rsidP="00685FBD">
      <w:pPr>
        <w:pStyle w:val="FootnoteText"/>
      </w:pPr>
      <w:r>
        <w:rPr>
          <w:rStyle w:val="FootnoteReference"/>
        </w:rPr>
        <w:footnoteRef/>
      </w:r>
      <w:r>
        <w:t xml:space="preserve"> NSW Government (2020), </w:t>
      </w:r>
      <w:r w:rsidRPr="001B62B6">
        <w:rPr>
          <w:i/>
        </w:rPr>
        <w:t>Coercive Control: A Discussion Paper, October 2020</w:t>
      </w:r>
      <w:r w:rsidRPr="00EE4D46">
        <w:t>, at p.8.</w:t>
      </w:r>
    </w:p>
  </w:footnote>
  <w:footnote w:id="77">
    <w:p w14:paraId="6975F71F" w14:textId="77777777" w:rsidR="00BD26A4" w:rsidRPr="005B5799" w:rsidRDefault="00BD26A4" w:rsidP="009D13BD">
      <w:pPr>
        <w:spacing w:after="0"/>
        <w:rPr>
          <w:sz w:val="20"/>
          <w:szCs w:val="20"/>
        </w:rPr>
      </w:pPr>
      <w:r>
        <w:rPr>
          <w:rStyle w:val="FootnoteReference"/>
        </w:rPr>
        <w:footnoteRef/>
      </w:r>
      <w:r>
        <w:t xml:space="preserve"> </w:t>
      </w:r>
      <w:r w:rsidRPr="005B5799">
        <w:rPr>
          <w:sz w:val="20"/>
          <w:szCs w:val="20"/>
        </w:rPr>
        <w:t xml:space="preserve">Finding 1 - Parliament of New South Wales, Joint Select Committee on Coercive Control (2021), </w:t>
      </w:r>
      <w:r w:rsidRPr="005B5799">
        <w:rPr>
          <w:i/>
          <w:sz w:val="20"/>
          <w:szCs w:val="20"/>
        </w:rPr>
        <w:t xml:space="preserve">Coercive control in domestic relationships, </w:t>
      </w:r>
      <w:r w:rsidRPr="005B5799">
        <w:rPr>
          <w:sz w:val="20"/>
          <w:szCs w:val="20"/>
        </w:rPr>
        <w:t>Report 1/57 – June 2021.</w:t>
      </w:r>
      <w:r>
        <w:rPr>
          <w:sz w:val="20"/>
          <w:szCs w:val="20"/>
        </w:rPr>
        <w:t xml:space="preserve"> (Hereafter NSW Parliamentary Inquiry on Coercive Control)</w:t>
      </w:r>
    </w:p>
  </w:footnote>
  <w:footnote w:id="78">
    <w:p w14:paraId="6D9658E5" w14:textId="77777777" w:rsidR="00BD26A4" w:rsidRDefault="00BD26A4" w:rsidP="009D13BD">
      <w:pPr>
        <w:spacing w:after="0"/>
      </w:pPr>
      <w:r w:rsidRPr="005B5799">
        <w:rPr>
          <w:rStyle w:val="FootnoteReference"/>
        </w:rPr>
        <w:footnoteRef/>
      </w:r>
      <w:r w:rsidRPr="005B5799">
        <w:t xml:space="preserve"> </w:t>
      </w:r>
      <w:r w:rsidRPr="005B5799">
        <w:rPr>
          <w:sz w:val="20"/>
          <w:szCs w:val="20"/>
        </w:rPr>
        <w:t xml:space="preserve">Finding 2 </w:t>
      </w:r>
      <w:r>
        <w:rPr>
          <w:sz w:val="20"/>
          <w:szCs w:val="20"/>
        </w:rPr>
        <w:t>–</w:t>
      </w:r>
      <w:r w:rsidRPr="005B5799">
        <w:rPr>
          <w:sz w:val="20"/>
          <w:szCs w:val="20"/>
        </w:rPr>
        <w:t xml:space="preserve"> </w:t>
      </w:r>
      <w:r>
        <w:rPr>
          <w:sz w:val="20"/>
          <w:szCs w:val="20"/>
        </w:rPr>
        <w:t>NSW Parliamentary Inquiry on Coercive Control (2021).</w:t>
      </w:r>
    </w:p>
  </w:footnote>
  <w:footnote w:id="79">
    <w:p w14:paraId="301F5E6D" w14:textId="23EE5804" w:rsidR="00BD26A4" w:rsidRDefault="00BD26A4">
      <w:pPr>
        <w:pStyle w:val="FootnoteText"/>
      </w:pPr>
      <w:r>
        <w:rPr>
          <w:rStyle w:val="FootnoteReference"/>
        </w:rPr>
        <w:footnoteRef/>
      </w:r>
      <w:r>
        <w:t xml:space="preserve"> </w:t>
      </w:r>
      <w:r w:rsidRPr="005B5799">
        <w:t xml:space="preserve">Women’s Safety and Justice Taskforce (2021), </w:t>
      </w:r>
      <w:r w:rsidRPr="005B5799">
        <w:rPr>
          <w:i/>
        </w:rPr>
        <w:t>Hear her voice: Addressing coercive control and domestic violence in Queensland</w:t>
      </w:r>
      <w:r w:rsidRPr="005B5799">
        <w:t xml:space="preserve"> (Volume 1, 2 and 3).</w:t>
      </w:r>
      <w:r>
        <w:t xml:space="preserve">  (Hereafter Queensland Women’s Safety and Justice Taskforce (2021))</w:t>
      </w:r>
    </w:p>
  </w:footnote>
  <w:footnote w:id="80">
    <w:p w14:paraId="3E765151" w14:textId="77777777" w:rsidR="00BD26A4" w:rsidRDefault="00BD26A4" w:rsidP="00393328">
      <w:pPr>
        <w:spacing w:after="0"/>
      </w:pPr>
      <w:r>
        <w:rPr>
          <w:rStyle w:val="FootnoteReference"/>
        </w:rPr>
        <w:footnoteRef/>
      </w:r>
      <w:r>
        <w:t xml:space="preserve"> </w:t>
      </w:r>
      <w:r>
        <w:rPr>
          <w:sz w:val="20"/>
          <w:szCs w:val="20"/>
        </w:rPr>
        <w:t>Queensland Women’s Safety and Justice Taskforce (2021)</w:t>
      </w:r>
    </w:p>
  </w:footnote>
  <w:footnote w:id="81">
    <w:p w14:paraId="5C1A6279" w14:textId="77777777" w:rsidR="00BD26A4" w:rsidRDefault="00BD26A4">
      <w:pPr>
        <w:pStyle w:val="FootnoteText"/>
      </w:pPr>
      <w:r>
        <w:rPr>
          <w:rStyle w:val="FootnoteReference"/>
        </w:rPr>
        <w:footnoteRef/>
      </w:r>
      <w:r>
        <w:t xml:space="preserve"> McMahon and McGorrery ‘Criminalising Coercive Control: An Introduction’, at p. 14, in McMahon, M. and McGorrery P. (Eds) (2020) </w:t>
      </w:r>
      <w:r w:rsidRPr="0011358D">
        <w:rPr>
          <w:i/>
          <w:iCs/>
        </w:rPr>
        <w:t>Criminalising Coercive Control: Family Violence and the Criminal Law</w:t>
      </w:r>
      <w:r>
        <w:t>, Springer.</w:t>
      </w:r>
    </w:p>
  </w:footnote>
  <w:footnote w:id="82">
    <w:p w14:paraId="7B4091D2" w14:textId="77777777" w:rsidR="00BD26A4" w:rsidRDefault="00BD26A4">
      <w:pPr>
        <w:pStyle w:val="FootnoteText"/>
      </w:pPr>
      <w:r>
        <w:rPr>
          <w:rStyle w:val="FootnoteReference"/>
        </w:rPr>
        <w:footnoteRef/>
      </w:r>
      <w:r>
        <w:t xml:space="preserve"> McMahon and McGorrery (2020), at p. 14.</w:t>
      </w:r>
    </w:p>
  </w:footnote>
  <w:footnote w:id="83">
    <w:p w14:paraId="77272BA2" w14:textId="77777777" w:rsidR="00BD26A4" w:rsidRDefault="00BD26A4">
      <w:pPr>
        <w:pStyle w:val="FootnoteText"/>
      </w:pPr>
      <w:r>
        <w:rPr>
          <w:rStyle w:val="FootnoteReference"/>
        </w:rPr>
        <w:footnoteRef/>
      </w:r>
      <w:r>
        <w:t xml:space="preserve"> McMahon and McGorrery (2020), at p. 14.</w:t>
      </w:r>
    </w:p>
  </w:footnote>
  <w:footnote w:id="84">
    <w:p w14:paraId="34C1D9EB" w14:textId="77777777" w:rsidR="00BD26A4" w:rsidRDefault="00BD26A4">
      <w:pPr>
        <w:pStyle w:val="FootnoteText"/>
      </w:pPr>
      <w:r>
        <w:rPr>
          <w:rStyle w:val="FootnoteReference"/>
        </w:rPr>
        <w:footnoteRef/>
      </w:r>
      <w:r>
        <w:t xml:space="preserve"> NSW Parliamentary Inquiry on Coercive Control (2021) and </w:t>
      </w:r>
      <w:r>
        <w:rPr>
          <w:lang w:eastAsia="en-AU"/>
        </w:rPr>
        <w:t>Queensland Women’s Safety and Justice Taskforce (2021)</w:t>
      </w:r>
    </w:p>
  </w:footnote>
  <w:footnote w:id="85">
    <w:p w14:paraId="0BD1CDC9" w14:textId="77777777" w:rsidR="00BD26A4" w:rsidRDefault="00BD26A4">
      <w:pPr>
        <w:pStyle w:val="FootnoteText"/>
      </w:pPr>
      <w:r>
        <w:rPr>
          <w:rStyle w:val="FootnoteReference"/>
        </w:rPr>
        <w:footnoteRef/>
      </w:r>
      <w:r>
        <w:t xml:space="preserve"> See for example, ANROWS (2021).</w:t>
      </w:r>
    </w:p>
  </w:footnote>
  <w:footnote w:id="86">
    <w:p w14:paraId="0AD06174" w14:textId="77777777" w:rsidR="00BD26A4" w:rsidRDefault="00BD26A4">
      <w:pPr>
        <w:pStyle w:val="FootnoteText"/>
      </w:pPr>
      <w:r>
        <w:rPr>
          <w:rStyle w:val="FootnoteReference"/>
        </w:rPr>
        <w:footnoteRef/>
      </w:r>
      <w:r>
        <w:t xml:space="preserve"> Stark, E (2007), </w:t>
      </w:r>
      <w:r w:rsidRPr="00CD38CE">
        <w:rPr>
          <w:i/>
        </w:rPr>
        <w:t>Coercive control: The entrapment of women in personal life</w:t>
      </w:r>
      <w:r>
        <w:t>. Oxford: Oxford University Press, in ANROWS (2021), at page 1.</w:t>
      </w:r>
    </w:p>
  </w:footnote>
  <w:footnote w:id="87">
    <w:p w14:paraId="773752EA" w14:textId="77777777" w:rsidR="00BD26A4" w:rsidRDefault="00BD26A4" w:rsidP="001B08FB">
      <w:pPr>
        <w:spacing w:after="0"/>
      </w:pPr>
      <w:r>
        <w:rPr>
          <w:rStyle w:val="FootnoteReference"/>
        </w:rPr>
        <w:footnoteRef/>
      </w:r>
      <w:r>
        <w:t xml:space="preserve"> </w:t>
      </w:r>
      <w:r w:rsidRPr="001B08FB">
        <w:rPr>
          <w:sz w:val="20"/>
          <w:szCs w:val="20"/>
        </w:rPr>
        <w:t xml:space="preserve">Douglas, H. (2021), </w:t>
      </w:r>
      <w:r w:rsidRPr="001B08FB">
        <w:rPr>
          <w:i/>
          <w:sz w:val="20"/>
          <w:szCs w:val="20"/>
        </w:rPr>
        <w:t>Women, Intimate Partner Violence, and the Law</w:t>
      </w:r>
      <w:r w:rsidRPr="001B08FB">
        <w:rPr>
          <w:sz w:val="20"/>
          <w:szCs w:val="20"/>
        </w:rPr>
        <w:t>, Oxford University Press.</w:t>
      </w:r>
    </w:p>
  </w:footnote>
  <w:footnote w:id="88">
    <w:p w14:paraId="2074C88E" w14:textId="77777777" w:rsidR="00BD26A4" w:rsidRDefault="00BD26A4" w:rsidP="001B08FB">
      <w:pPr>
        <w:pStyle w:val="FootnoteText"/>
      </w:pPr>
      <w:r>
        <w:rPr>
          <w:rStyle w:val="FootnoteReference"/>
        </w:rPr>
        <w:footnoteRef/>
      </w:r>
      <w:r>
        <w:t xml:space="preserve"> ANROWS (2021), at page 1.</w:t>
      </w:r>
    </w:p>
  </w:footnote>
  <w:footnote w:id="89">
    <w:p w14:paraId="3B3EB8A4" w14:textId="77777777" w:rsidR="00BD26A4" w:rsidRDefault="00BD26A4">
      <w:pPr>
        <w:pStyle w:val="FootnoteText"/>
      </w:pPr>
      <w:r>
        <w:rPr>
          <w:rStyle w:val="FootnoteReference"/>
        </w:rPr>
        <w:footnoteRef/>
      </w:r>
      <w:r>
        <w:t xml:space="preserve"> </w:t>
      </w:r>
      <w:r w:rsidRPr="00A95F68">
        <w:t>Webster et al., 2018</w:t>
      </w:r>
      <w:r>
        <w:t>, in ANROWS (2021) at page 2.</w:t>
      </w:r>
    </w:p>
  </w:footnote>
  <w:footnote w:id="90">
    <w:p w14:paraId="703E493C" w14:textId="77777777" w:rsidR="00BD26A4" w:rsidRDefault="00BD26A4" w:rsidP="002B62B4">
      <w:pPr>
        <w:spacing w:after="0"/>
      </w:pPr>
      <w:r>
        <w:rPr>
          <w:rStyle w:val="FootnoteReference"/>
        </w:rPr>
        <w:footnoteRef/>
      </w:r>
      <w:r>
        <w:t xml:space="preserve"> </w:t>
      </w:r>
      <w:r w:rsidRPr="002D2FFA">
        <w:rPr>
          <w:sz w:val="20"/>
          <w:szCs w:val="20"/>
        </w:rPr>
        <w:t xml:space="preserve">Douglas, H. (2021), </w:t>
      </w:r>
      <w:r w:rsidRPr="002D2FFA">
        <w:rPr>
          <w:i/>
          <w:sz w:val="20"/>
          <w:szCs w:val="20"/>
        </w:rPr>
        <w:t>Women, Intimate Partner Violence, and the Law</w:t>
      </w:r>
      <w:r w:rsidRPr="002D2FFA">
        <w:rPr>
          <w:sz w:val="20"/>
          <w:szCs w:val="20"/>
        </w:rPr>
        <w:t>, Oxford University Press.</w:t>
      </w:r>
    </w:p>
  </w:footnote>
  <w:footnote w:id="91">
    <w:p w14:paraId="208C84F3" w14:textId="77777777" w:rsidR="00BD26A4" w:rsidRPr="002B62B4" w:rsidRDefault="00BD26A4" w:rsidP="002B62B4">
      <w:pPr>
        <w:spacing w:after="0"/>
        <w:rPr>
          <w:i/>
        </w:rPr>
      </w:pPr>
      <w:r>
        <w:rPr>
          <w:rStyle w:val="FootnoteReference"/>
        </w:rPr>
        <w:footnoteRef/>
      </w:r>
      <w:r>
        <w:t xml:space="preserve"> </w:t>
      </w:r>
      <w:r w:rsidRPr="00D5072A">
        <w:rPr>
          <w:sz w:val="20"/>
          <w:szCs w:val="20"/>
        </w:rPr>
        <w:t xml:space="preserve">ANROWS (2018), </w:t>
      </w:r>
      <w:r w:rsidRPr="00D5072A">
        <w:rPr>
          <w:i/>
          <w:sz w:val="20"/>
          <w:szCs w:val="20"/>
        </w:rPr>
        <w:t>National Risk Assessment Principles for Family and Domestic Violence: Quick Reference Guide for Practitioners.</w:t>
      </w:r>
      <w:r w:rsidRPr="00AC1E89">
        <w:rPr>
          <w:i/>
        </w:rPr>
        <w:t xml:space="preserve"> </w:t>
      </w:r>
    </w:p>
  </w:footnote>
  <w:footnote w:id="92">
    <w:p w14:paraId="0B3992CA" w14:textId="3D7A02C7" w:rsidR="00BD26A4" w:rsidRPr="006E68EF" w:rsidRDefault="00BD26A4" w:rsidP="006E68EF">
      <w:pPr>
        <w:spacing w:after="0"/>
        <w:rPr>
          <w:i/>
        </w:rPr>
      </w:pPr>
      <w:r>
        <w:rPr>
          <w:rStyle w:val="FootnoteReference"/>
        </w:rPr>
        <w:footnoteRef/>
      </w:r>
      <w:r>
        <w:t xml:space="preserve"> </w:t>
      </w:r>
      <w:r w:rsidRPr="00D5072A">
        <w:rPr>
          <w:sz w:val="20"/>
          <w:szCs w:val="20"/>
        </w:rPr>
        <w:t xml:space="preserve">ANROWS (2018), </w:t>
      </w:r>
      <w:r w:rsidRPr="00D5072A">
        <w:rPr>
          <w:i/>
          <w:sz w:val="20"/>
          <w:szCs w:val="20"/>
        </w:rPr>
        <w:t>National Risk Assessment Principles for Family and Domestic Violence: Quick Re</w:t>
      </w:r>
      <w:r>
        <w:rPr>
          <w:i/>
          <w:sz w:val="20"/>
          <w:szCs w:val="20"/>
        </w:rPr>
        <w:t>ference Guide for Practitioners, at p.4.</w:t>
      </w:r>
      <w:r w:rsidRPr="00AC1E89">
        <w:rPr>
          <w:i/>
        </w:rPr>
        <w:t xml:space="preserve"> </w:t>
      </w:r>
    </w:p>
  </w:footnote>
  <w:footnote w:id="93">
    <w:p w14:paraId="49D52562" w14:textId="77777777" w:rsidR="00BD26A4" w:rsidRDefault="00BD26A4" w:rsidP="002B62B4">
      <w:pPr>
        <w:pStyle w:val="FootnoteText"/>
      </w:pPr>
      <w:r>
        <w:rPr>
          <w:rStyle w:val="FootnoteReference"/>
        </w:rPr>
        <w:footnoteRef/>
      </w:r>
      <w:r>
        <w:t xml:space="preserve"> ANROWS at pages 2.</w:t>
      </w:r>
    </w:p>
  </w:footnote>
  <w:footnote w:id="94">
    <w:p w14:paraId="019AE486" w14:textId="0F1B8343" w:rsidR="00BD26A4" w:rsidRDefault="00BD26A4" w:rsidP="00BA14D5">
      <w:pPr>
        <w:pStyle w:val="FootnoteText"/>
      </w:pPr>
      <w:r>
        <w:rPr>
          <w:rStyle w:val="FootnoteReference"/>
        </w:rPr>
        <w:footnoteRef/>
      </w:r>
      <w:r>
        <w:t xml:space="preserve"> Tolmie, J., Smith, R., Short, J, Wilson, D., and Sachl, J. (2018) ‘Social entrapment: A realistic understanding of the criminal offending of primary victims of intimate partner violence’, in </w:t>
      </w:r>
      <w:r w:rsidRPr="00D31531">
        <w:rPr>
          <w:i/>
        </w:rPr>
        <w:t>New Zealand Law Review</w:t>
      </w:r>
      <w:r>
        <w:t xml:space="preserve"> 2018, pp 181-217., at p.185.</w:t>
      </w:r>
    </w:p>
  </w:footnote>
  <w:footnote w:id="95">
    <w:p w14:paraId="110808E8" w14:textId="77777777" w:rsidR="00BD26A4" w:rsidRDefault="00BD26A4" w:rsidP="002B62B4">
      <w:pPr>
        <w:pStyle w:val="FootnoteText"/>
      </w:pPr>
      <w:r>
        <w:rPr>
          <w:rStyle w:val="FootnoteReference"/>
        </w:rPr>
        <w:footnoteRef/>
      </w:r>
      <w:r>
        <w:t xml:space="preserve"> </w:t>
      </w:r>
      <w:r w:rsidRPr="00D5072A">
        <w:t xml:space="preserve">ANROWS (2018), </w:t>
      </w:r>
      <w:r w:rsidRPr="00D5072A">
        <w:rPr>
          <w:i/>
        </w:rPr>
        <w:t>National Risk Assessment Principles for Family and Domestic Violence: Quick Reference Guide for Practitioners.</w:t>
      </w:r>
    </w:p>
  </w:footnote>
  <w:footnote w:id="96">
    <w:p w14:paraId="7C4A59C2" w14:textId="2586A903" w:rsidR="00BD26A4" w:rsidRPr="005D02FD" w:rsidRDefault="00BD26A4" w:rsidP="005D02FD">
      <w:pPr>
        <w:spacing w:after="0"/>
        <w:rPr>
          <w:sz w:val="20"/>
          <w:szCs w:val="20"/>
        </w:rPr>
      </w:pPr>
      <w:r>
        <w:rPr>
          <w:rStyle w:val="FootnoteReference"/>
        </w:rPr>
        <w:footnoteRef/>
      </w:r>
      <w:r>
        <w:t xml:space="preserve"> </w:t>
      </w:r>
      <w:r w:rsidRPr="00F747FB">
        <w:rPr>
          <w:sz w:val="20"/>
          <w:szCs w:val="20"/>
        </w:rPr>
        <w:t xml:space="preserve">Submission 24, Domestic Violence Death Review Team, p 2; NSW Domestic Violence Death Review Team, </w:t>
      </w:r>
      <w:hyperlink r:id="rId12">
        <w:r w:rsidRPr="00F747FB">
          <w:rPr>
            <w:color w:val="0000FF"/>
            <w:sz w:val="20"/>
            <w:szCs w:val="20"/>
            <w:u w:val="single" w:color="0000FF"/>
          </w:rPr>
          <w:t>Report</w:t>
        </w:r>
      </w:hyperlink>
      <w:r w:rsidRPr="00F747FB">
        <w:rPr>
          <w:color w:val="0000FF"/>
          <w:spacing w:val="-38"/>
          <w:sz w:val="20"/>
          <w:szCs w:val="20"/>
        </w:rPr>
        <w:t xml:space="preserve"> </w:t>
      </w:r>
      <w:hyperlink r:id="rId13">
        <w:r w:rsidRPr="00F747FB">
          <w:rPr>
            <w:color w:val="0000FF"/>
            <w:sz w:val="20"/>
            <w:szCs w:val="20"/>
            <w:u w:val="single" w:color="0000FF"/>
          </w:rPr>
          <w:t>2017-2019</w:t>
        </w:r>
        <w:r w:rsidRPr="00F747FB">
          <w:rPr>
            <w:sz w:val="20"/>
            <w:szCs w:val="20"/>
          </w:rPr>
          <w:t>,</w:t>
        </w:r>
        <w:r w:rsidRPr="00F747FB">
          <w:rPr>
            <w:spacing w:val="-1"/>
            <w:sz w:val="20"/>
            <w:szCs w:val="20"/>
          </w:rPr>
          <w:t xml:space="preserve"> </w:t>
        </w:r>
      </w:hyperlink>
      <w:r w:rsidRPr="00F747FB">
        <w:rPr>
          <w:sz w:val="20"/>
          <w:szCs w:val="20"/>
        </w:rPr>
        <w:t>p</w:t>
      </w:r>
      <w:r w:rsidRPr="00F747FB">
        <w:rPr>
          <w:spacing w:val="-1"/>
          <w:sz w:val="20"/>
          <w:szCs w:val="20"/>
        </w:rPr>
        <w:t xml:space="preserve"> </w:t>
      </w:r>
      <w:r w:rsidRPr="00F747FB">
        <w:rPr>
          <w:sz w:val="20"/>
          <w:szCs w:val="20"/>
        </w:rPr>
        <w:t xml:space="preserve">154, cited in Parliament of New South Wales, Joint Select Committee on Coercive Control (2021), </w:t>
      </w:r>
      <w:r w:rsidRPr="00F747FB">
        <w:rPr>
          <w:i/>
          <w:sz w:val="20"/>
          <w:szCs w:val="20"/>
        </w:rPr>
        <w:t xml:space="preserve">Coercive control in domestic relationships, </w:t>
      </w:r>
      <w:r w:rsidRPr="00F747FB">
        <w:rPr>
          <w:sz w:val="20"/>
          <w:szCs w:val="20"/>
        </w:rPr>
        <w:t>Re</w:t>
      </w:r>
      <w:r>
        <w:rPr>
          <w:sz w:val="20"/>
          <w:szCs w:val="20"/>
        </w:rPr>
        <w:t>port 1/57 – June 2021.</w:t>
      </w:r>
    </w:p>
  </w:footnote>
  <w:footnote w:id="97">
    <w:p w14:paraId="4B62717E" w14:textId="3A96E187" w:rsidR="00BD26A4" w:rsidRPr="00D952AE" w:rsidRDefault="00BD26A4" w:rsidP="005D02FD">
      <w:pPr>
        <w:spacing w:after="0"/>
        <w:rPr>
          <w:sz w:val="20"/>
          <w:szCs w:val="20"/>
        </w:rPr>
      </w:pPr>
      <w:r>
        <w:rPr>
          <w:rStyle w:val="FootnoteReference"/>
        </w:rPr>
        <w:footnoteRef/>
      </w:r>
      <w:r>
        <w:t xml:space="preserve"> </w:t>
      </w:r>
      <w:r w:rsidRPr="00D952AE">
        <w:rPr>
          <w:sz w:val="20"/>
          <w:szCs w:val="20"/>
        </w:rPr>
        <w:t xml:space="preserve">From the </w:t>
      </w:r>
      <w:r w:rsidRPr="00D952AE">
        <w:rPr>
          <w:i/>
          <w:iCs/>
          <w:sz w:val="20"/>
          <w:szCs w:val="20"/>
        </w:rPr>
        <w:t>NSW Death Review Team Report 2017-2019</w:t>
      </w:r>
      <w:r w:rsidRPr="00D952AE">
        <w:rPr>
          <w:sz w:val="20"/>
          <w:szCs w:val="20"/>
        </w:rPr>
        <w:t xml:space="preserve"> and Submission, as quoted in the Parliament of New South Wales, Joint Select Committee on Coercive Control (2021), </w:t>
      </w:r>
      <w:r w:rsidRPr="00D952AE">
        <w:rPr>
          <w:i/>
          <w:sz w:val="20"/>
          <w:szCs w:val="20"/>
        </w:rPr>
        <w:t xml:space="preserve">Coercive control in domestic relationships, </w:t>
      </w:r>
      <w:r w:rsidRPr="00D952AE">
        <w:rPr>
          <w:sz w:val="20"/>
          <w:szCs w:val="20"/>
        </w:rPr>
        <w:t>Report 1/57 – June 2021.</w:t>
      </w:r>
    </w:p>
  </w:footnote>
  <w:footnote w:id="98">
    <w:p w14:paraId="5B8359E8" w14:textId="77777777" w:rsidR="00BD26A4" w:rsidRDefault="00BD26A4">
      <w:pPr>
        <w:pStyle w:val="FootnoteText"/>
      </w:pPr>
      <w:r>
        <w:rPr>
          <w:rStyle w:val="FootnoteReference"/>
        </w:rPr>
        <w:footnoteRef/>
      </w:r>
      <w:r>
        <w:t xml:space="preserve"> Some argue it is the defining feature of DFV, see ANROWS (2021)</w:t>
      </w:r>
    </w:p>
  </w:footnote>
  <w:footnote w:id="99">
    <w:p w14:paraId="4995A3A7" w14:textId="13BEAB49" w:rsidR="00BD26A4" w:rsidRDefault="00BD26A4">
      <w:pPr>
        <w:pStyle w:val="FootnoteText"/>
      </w:pPr>
      <w:r>
        <w:rPr>
          <w:rStyle w:val="FootnoteReference"/>
        </w:rPr>
        <w:footnoteRef/>
      </w:r>
      <w:r>
        <w:t xml:space="preserve"> Taylor, J. and Marshall, J. (2021), ‘Criminalisation of Coercive Control’, in Law Society NT </w:t>
      </w:r>
      <w:r w:rsidRPr="00E62976">
        <w:rPr>
          <w:i/>
        </w:rPr>
        <w:t>Balance</w:t>
      </w:r>
      <w:r>
        <w:t>, edition 4/20, at p. 29.</w:t>
      </w:r>
    </w:p>
  </w:footnote>
  <w:footnote w:id="100">
    <w:p w14:paraId="00C56C47" w14:textId="6A8DE5CA" w:rsidR="00BD26A4" w:rsidRDefault="00BD26A4" w:rsidP="00303A2E">
      <w:pPr>
        <w:pStyle w:val="FootnoteText"/>
      </w:pPr>
      <w:r>
        <w:rPr>
          <w:rStyle w:val="FootnoteReference"/>
        </w:rPr>
        <w:footnoteRef/>
      </w:r>
      <w:r>
        <w:t xml:space="preserve"> See also Nancarrow et al. (2020); Women’s Legal Service Victoria (2018).</w:t>
      </w:r>
    </w:p>
  </w:footnote>
  <w:footnote w:id="101">
    <w:p w14:paraId="6DA9705C" w14:textId="7D2BA5C5" w:rsidR="00BD26A4" w:rsidRDefault="00BD26A4">
      <w:pPr>
        <w:pStyle w:val="FootnoteText"/>
      </w:pPr>
      <w:r>
        <w:rPr>
          <w:rStyle w:val="FootnoteReference"/>
        </w:rPr>
        <w:footnoteRef/>
      </w:r>
      <w:r>
        <w:t xml:space="preserve"> See for example, the Victorian Aboriginal Legal Service (2021), at p. 6 and 8.</w:t>
      </w:r>
    </w:p>
  </w:footnote>
  <w:footnote w:id="102">
    <w:p w14:paraId="0199C40F" w14:textId="16C04B20" w:rsidR="00BD26A4" w:rsidRDefault="00BD26A4">
      <w:pPr>
        <w:pStyle w:val="FootnoteText"/>
      </w:pPr>
      <w:r>
        <w:rPr>
          <w:rStyle w:val="FootnoteReference"/>
        </w:rPr>
        <w:footnoteRef/>
      </w:r>
      <w:r>
        <w:t xml:space="preserve"> Taylor, J. and Marshall, J. (2021), ‘Criminalisation of Coercive Control’, in Law Society NT </w:t>
      </w:r>
      <w:r w:rsidRPr="00E62976">
        <w:rPr>
          <w:i/>
        </w:rPr>
        <w:t>Balance</w:t>
      </w:r>
      <w:r>
        <w:t>, edition 4/20, at p. 33.</w:t>
      </w:r>
    </w:p>
  </w:footnote>
  <w:footnote w:id="103">
    <w:p w14:paraId="64EF83E8" w14:textId="7AB07D2C" w:rsidR="00BD26A4" w:rsidRDefault="00BD26A4" w:rsidP="00D63EEA">
      <w:pPr>
        <w:spacing w:after="0"/>
      </w:pPr>
      <w:r>
        <w:rPr>
          <w:rStyle w:val="FootnoteReference"/>
        </w:rPr>
        <w:footnoteRef/>
      </w:r>
      <w:r>
        <w:t xml:space="preserve"> </w:t>
      </w:r>
      <w:r w:rsidRPr="00EE2213">
        <w:rPr>
          <w:sz w:val="20"/>
          <w:szCs w:val="20"/>
        </w:rPr>
        <w:t xml:space="preserve">Australian National Research Organisation on Women’s Safety (ANROWS) (2020), </w:t>
      </w:r>
      <w:r w:rsidRPr="00EE2213">
        <w:rPr>
          <w:i/>
          <w:sz w:val="20"/>
          <w:szCs w:val="20"/>
        </w:rPr>
        <w:t>Policy Brief: Defining and Responding to Coercive Control.</w:t>
      </w:r>
    </w:p>
  </w:footnote>
  <w:footnote w:id="104">
    <w:p w14:paraId="57FDE15C" w14:textId="74A8AA64" w:rsidR="00BD26A4" w:rsidRDefault="00BD26A4" w:rsidP="00D63EEA">
      <w:pPr>
        <w:pStyle w:val="FootnoteText"/>
      </w:pPr>
      <w:r>
        <w:rPr>
          <w:rStyle w:val="FootnoteReference"/>
        </w:rPr>
        <w:footnoteRef/>
      </w:r>
      <w:r>
        <w:t xml:space="preserve"> Nancarrow et al. (2020)</w:t>
      </w:r>
    </w:p>
  </w:footnote>
  <w:footnote w:id="105">
    <w:p w14:paraId="4B08CB7F" w14:textId="4A656DF8" w:rsidR="00BD26A4" w:rsidRDefault="00BD26A4">
      <w:pPr>
        <w:pStyle w:val="FootnoteText"/>
      </w:pPr>
      <w:r>
        <w:rPr>
          <w:rStyle w:val="FootnoteReference"/>
        </w:rPr>
        <w:footnoteRef/>
      </w:r>
      <w:r>
        <w:t xml:space="preserve"> The Queensland Coronial Inquest into the deaths of Hannah Clarke and her children was held in March 2022.  The findings were delivered on 29 June 2022. See </w:t>
      </w:r>
      <w:r w:rsidRPr="00F97889">
        <w:rPr>
          <w:i/>
        </w:rPr>
        <w:t>Inquest into the death</w:t>
      </w:r>
      <w:r>
        <w:rPr>
          <w:i/>
        </w:rPr>
        <w:t>s</w:t>
      </w:r>
      <w:r w:rsidRPr="00F97889">
        <w:rPr>
          <w:i/>
        </w:rPr>
        <w:t xml:space="preserve"> of Hannah Ashlie Clarke, Aaliyah Anne Ba</w:t>
      </w:r>
      <w:r>
        <w:rPr>
          <w:i/>
        </w:rPr>
        <w:t xml:space="preserve">xter, Laianah Grace Baxter, Trey </w:t>
      </w:r>
      <w:r w:rsidRPr="00F97889">
        <w:rPr>
          <w:i/>
        </w:rPr>
        <w:t>Rowan Charles Baxter,</w:t>
      </w:r>
      <w:r>
        <w:rPr>
          <w:i/>
        </w:rPr>
        <w:t xml:space="preserve"> and Rowan Charles Baxter,</w:t>
      </w:r>
      <w:r>
        <w:t xml:space="preserve"> Coroners Court of Queensland, delivered on 29 June 2002 by Her Honour Deputy State Coroner Jane Bentley. In the findings of inquest the Coroner sets out the history of DFV and coercive control, at pp. 6-26.</w:t>
      </w:r>
    </w:p>
  </w:footnote>
  <w:footnote w:id="106">
    <w:p w14:paraId="2B73A493" w14:textId="77777777" w:rsidR="00BD26A4" w:rsidRDefault="00BD26A4">
      <w:pPr>
        <w:pStyle w:val="FootnoteText"/>
      </w:pPr>
      <w:r>
        <w:rPr>
          <w:rStyle w:val="FootnoteReference"/>
        </w:rPr>
        <w:footnoteRef/>
      </w:r>
      <w:r>
        <w:t xml:space="preserve"> NSW Government (2020), </w:t>
      </w:r>
      <w:r w:rsidRPr="001B62B6">
        <w:rPr>
          <w:i/>
        </w:rPr>
        <w:t>Coercive Control: A Discussion Paper, October 2020</w:t>
      </w:r>
      <w:r w:rsidRPr="007D24AA">
        <w:rPr>
          <w:iCs/>
        </w:rPr>
        <w:t>, at p. 7 and 8.</w:t>
      </w:r>
      <w:r>
        <w:rPr>
          <w:iCs/>
        </w:rPr>
        <w:t xml:space="preserve"> It is noted that this quote is based on media reports.</w:t>
      </w:r>
    </w:p>
  </w:footnote>
  <w:footnote w:id="107">
    <w:p w14:paraId="0E7D624A" w14:textId="77777777" w:rsidR="00BD26A4" w:rsidRPr="00BF4B28" w:rsidRDefault="00BD26A4" w:rsidP="00DA7934">
      <w:pPr>
        <w:spacing w:after="0"/>
        <w:rPr>
          <w:sz w:val="20"/>
          <w:szCs w:val="20"/>
        </w:rPr>
      </w:pPr>
      <w:r>
        <w:rPr>
          <w:rStyle w:val="FootnoteReference"/>
        </w:rPr>
        <w:footnoteRef/>
      </w:r>
      <w:r>
        <w:t xml:space="preserve">  </w:t>
      </w:r>
      <w:r w:rsidRPr="00BF4B28">
        <w:rPr>
          <w:sz w:val="20"/>
          <w:szCs w:val="20"/>
        </w:rPr>
        <w:t>See for example,</w:t>
      </w:r>
      <w:r>
        <w:rPr>
          <w:sz w:val="20"/>
          <w:szCs w:val="20"/>
        </w:rPr>
        <w:t xml:space="preserve"> arguments by journalist Jess</w:t>
      </w:r>
      <w:r w:rsidRPr="00BF4B28">
        <w:rPr>
          <w:sz w:val="20"/>
          <w:szCs w:val="20"/>
        </w:rPr>
        <w:t xml:space="preserve"> Hill,</w:t>
      </w:r>
      <w:r>
        <w:rPr>
          <w:sz w:val="20"/>
          <w:szCs w:val="20"/>
        </w:rPr>
        <w:t xml:space="preserve"> author of </w:t>
      </w:r>
      <w:r w:rsidRPr="00BF4B28">
        <w:rPr>
          <w:i/>
          <w:sz w:val="20"/>
          <w:szCs w:val="20"/>
        </w:rPr>
        <w:t>See What You Made Me Do: Power Control and Domestic Abuse</w:t>
      </w:r>
      <w:r w:rsidRPr="00BF4B28">
        <w:rPr>
          <w:sz w:val="20"/>
          <w:szCs w:val="20"/>
        </w:rPr>
        <w:t xml:space="preserve">, Black Inc. </w:t>
      </w:r>
    </w:p>
  </w:footnote>
  <w:footnote w:id="108">
    <w:p w14:paraId="65982C99" w14:textId="20608169" w:rsidR="00BD26A4" w:rsidRDefault="00BD26A4" w:rsidP="00D46B7F">
      <w:pPr>
        <w:spacing w:after="0"/>
      </w:pPr>
      <w:r>
        <w:rPr>
          <w:rStyle w:val="FootnoteReference"/>
        </w:rPr>
        <w:footnoteRef/>
      </w:r>
      <w:r>
        <w:t xml:space="preserve"> </w:t>
      </w:r>
      <w:r w:rsidRPr="008A1C06">
        <w:rPr>
          <w:sz w:val="20"/>
          <w:szCs w:val="20"/>
        </w:rPr>
        <w:t>Wangmann</w:t>
      </w:r>
      <w:r>
        <w:rPr>
          <w:sz w:val="20"/>
          <w:szCs w:val="20"/>
        </w:rPr>
        <w:t>, J.</w:t>
      </w:r>
      <w:r w:rsidRPr="008A1C06">
        <w:rPr>
          <w:sz w:val="20"/>
          <w:szCs w:val="20"/>
        </w:rPr>
        <w:t xml:space="preserve"> (2020) ‘Coercive Control as the Context for Intimate Partner Violence: The C</w:t>
      </w:r>
      <w:r>
        <w:rPr>
          <w:sz w:val="20"/>
          <w:szCs w:val="20"/>
        </w:rPr>
        <w:t xml:space="preserve">hallenge for the Legal System’, at p. 224 and 230; see also Barwick K, McGorrery P and McMahon M (2020) ‘Ahead of their Time? The Offences of Economic and Emotional Abuse in Tasmania, Australia’; see also Bettinson, V. (2020) ‘ A Comparative Evaluation of Offences: Criminalising Abusive Behaviour </w:t>
      </w:r>
      <w:r w:rsidRPr="008A1C06">
        <w:rPr>
          <w:sz w:val="20"/>
          <w:szCs w:val="20"/>
        </w:rPr>
        <w:t xml:space="preserve">in </w:t>
      </w:r>
      <w:r>
        <w:rPr>
          <w:sz w:val="20"/>
          <w:szCs w:val="20"/>
        </w:rPr>
        <w:t xml:space="preserve">England, Wales, Scotland, Ireland and Tasmania’; all articles are published in </w:t>
      </w:r>
      <w:r w:rsidRPr="008A1C06">
        <w:rPr>
          <w:sz w:val="20"/>
          <w:szCs w:val="20"/>
        </w:rPr>
        <w:t xml:space="preserve">McMahon, M. and McGorrery, P. (Eds) (2020), </w:t>
      </w:r>
      <w:r w:rsidRPr="008A1C06">
        <w:rPr>
          <w:i/>
          <w:sz w:val="20"/>
          <w:szCs w:val="20"/>
        </w:rPr>
        <w:t>Criminalising Coercive Control:</w:t>
      </w:r>
      <w:r w:rsidRPr="008A1C06">
        <w:rPr>
          <w:sz w:val="20"/>
          <w:szCs w:val="20"/>
        </w:rPr>
        <w:t xml:space="preserve"> </w:t>
      </w:r>
      <w:r w:rsidRPr="008A1C06">
        <w:rPr>
          <w:i/>
          <w:sz w:val="20"/>
          <w:szCs w:val="20"/>
        </w:rPr>
        <w:t>Family Violence and the Criminal Law</w:t>
      </w:r>
      <w:r>
        <w:rPr>
          <w:sz w:val="20"/>
          <w:szCs w:val="20"/>
        </w:rPr>
        <w:t xml:space="preserve">, Springer. </w:t>
      </w:r>
    </w:p>
  </w:footnote>
  <w:footnote w:id="109">
    <w:p w14:paraId="7B305DE9" w14:textId="77777777" w:rsidR="00BD26A4" w:rsidRPr="00DA7934" w:rsidRDefault="00BD26A4" w:rsidP="00DA7934">
      <w:pPr>
        <w:pStyle w:val="FootnoteText"/>
      </w:pPr>
      <w:r w:rsidRPr="00DA7934">
        <w:rPr>
          <w:rStyle w:val="FootnoteReference"/>
        </w:rPr>
        <w:footnoteRef/>
      </w:r>
      <w:r w:rsidRPr="00DA7934">
        <w:t xml:space="preserve"> NSW Parliamentary Inquiry (2021)</w:t>
      </w:r>
    </w:p>
  </w:footnote>
  <w:footnote w:id="110">
    <w:p w14:paraId="5DE8A40E" w14:textId="77777777" w:rsidR="00BD26A4" w:rsidRDefault="00BD26A4" w:rsidP="00E6360E">
      <w:pPr>
        <w:pStyle w:val="FootnoteText"/>
      </w:pPr>
      <w:r w:rsidRPr="00DA7934">
        <w:rPr>
          <w:rStyle w:val="FootnoteReference"/>
        </w:rPr>
        <w:footnoteRef/>
      </w:r>
      <w:r w:rsidRPr="00DA7934">
        <w:t xml:space="preserve"> Qld Women’s Safety and Justice Taskforce (2021</w:t>
      </w:r>
      <w:r w:rsidRPr="005160E3">
        <w:t>)</w:t>
      </w:r>
    </w:p>
  </w:footnote>
  <w:footnote w:id="111">
    <w:p w14:paraId="69E7B282" w14:textId="77777777" w:rsidR="00BD26A4" w:rsidRDefault="00BD26A4">
      <w:pPr>
        <w:pStyle w:val="FootnoteText"/>
      </w:pPr>
      <w:r>
        <w:rPr>
          <w:rStyle w:val="FootnoteReference"/>
        </w:rPr>
        <w:footnoteRef/>
      </w:r>
      <w:r>
        <w:t xml:space="preserve"> </w:t>
      </w:r>
      <w:r w:rsidRPr="00A2707F">
        <w:rPr>
          <w:lang w:eastAsia="en-AU"/>
        </w:rPr>
        <w:t>Criminal Law Consolidation (Abusive Behaviour) Amendment Bill 2021</w:t>
      </w:r>
      <w:r>
        <w:rPr>
          <w:lang w:eastAsia="en-AU"/>
        </w:rPr>
        <w:t xml:space="preserve"> (SA) was tabled in the SA Parliament and read a first time on 27 October 2021.</w:t>
      </w:r>
    </w:p>
  </w:footnote>
  <w:footnote w:id="112">
    <w:p w14:paraId="78B81FF5" w14:textId="77777777" w:rsidR="00BD26A4" w:rsidRDefault="00BD26A4" w:rsidP="00DA7934">
      <w:pPr>
        <w:pStyle w:val="FootnoteText"/>
      </w:pPr>
      <w:r>
        <w:rPr>
          <w:rStyle w:val="FootnoteReference"/>
        </w:rPr>
        <w:footnoteRef/>
      </w:r>
      <w:r>
        <w:t xml:space="preserve"> Government of South Australia Attorney-General’s Department (2022), </w:t>
      </w:r>
      <w:r w:rsidRPr="00E65925">
        <w:rPr>
          <w:i/>
          <w:iCs/>
        </w:rPr>
        <w:t>Discussion paper:</w:t>
      </w:r>
      <w:r>
        <w:t xml:space="preserve"> </w:t>
      </w:r>
      <w:r w:rsidRPr="002106AE">
        <w:rPr>
          <w:i/>
          <w:iCs/>
          <w:lang w:eastAsia="en-AU"/>
        </w:rPr>
        <w:t>Implementation considerations should coercive control be criminalised in South Australia</w:t>
      </w:r>
      <w:r>
        <w:rPr>
          <w:lang w:eastAsia="en-AU"/>
        </w:rPr>
        <w:t>.</w:t>
      </w:r>
    </w:p>
  </w:footnote>
  <w:footnote w:id="113">
    <w:p w14:paraId="4AAEE813" w14:textId="77777777" w:rsidR="00BD26A4" w:rsidRDefault="00BD26A4">
      <w:pPr>
        <w:pStyle w:val="FootnoteText"/>
      </w:pPr>
      <w:r>
        <w:rPr>
          <w:rStyle w:val="FootnoteReference"/>
        </w:rPr>
        <w:footnoteRef/>
      </w:r>
      <w:r>
        <w:t xml:space="preserve"> Government of Western Australia, Office of the Commissioner for Victims of Crime (2022), </w:t>
      </w:r>
      <w:r w:rsidRPr="00DA7934">
        <w:rPr>
          <w:i/>
          <w:iCs/>
          <w:lang w:eastAsia="en-AU"/>
        </w:rPr>
        <w:t>Legislative Responses to Coercive Control in Western Australia</w:t>
      </w:r>
      <w:r>
        <w:rPr>
          <w:i/>
          <w:iCs/>
          <w:lang w:eastAsia="en-AU"/>
        </w:rPr>
        <w:t>: Discussion Paper.</w:t>
      </w:r>
    </w:p>
  </w:footnote>
  <w:footnote w:id="114">
    <w:p w14:paraId="453223AF" w14:textId="18850B5A" w:rsidR="00BD26A4" w:rsidRDefault="00BD26A4">
      <w:pPr>
        <w:pStyle w:val="FootnoteText"/>
      </w:pPr>
      <w:r>
        <w:rPr>
          <w:rStyle w:val="FootnoteReference"/>
        </w:rPr>
        <w:footnoteRef/>
      </w:r>
      <w:r>
        <w:t xml:space="preserve"> Terms of reference are available at </w:t>
      </w:r>
      <w:hyperlink r:id="rId14" w:history="1">
        <w:r w:rsidRPr="00E86951">
          <w:rPr>
            <w:rStyle w:val="Hyperlink"/>
          </w:rPr>
          <w:t>https://www.ag.gov.au/families-and</w:t>
        </w:r>
        <w:r w:rsidRPr="00843217">
          <w:rPr>
            <w:rStyle w:val="Hyperlink"/>
          </w:rPr>
          <w:t>marriage/publications/development-national-principles-addressing-coercive-control</w:t>
        </w:r>
      </w:hyperlink>
    </w:p>
  </w:footnote>
  <w:footnote w:id="115">
    <w:p w14:paraId="1FEDE7D2" w14:textId="5C56D0DF" w:rsidR="00BD26A4" w:rsidRPr="009A0F92" w:rsidRDefault="00BD26A4" w:rsidP="009A0F92">
      <w:pPr>
        <w:spacing w:after="0"/>
        <w:rPr>
          <w:sz w:val="20"/>
          <w:szCs w:val="20"/>
        </w:rPr>
      </w:pPr>
      <w:r>
        <w:rPr>
          <w:rStyle w:val="FootnoteReference"/>
        </w:rPr>
        <w:footnoteRef/>
      </w:r>
      <w:r>
        <w:t xml:space="preserve"> </w:t>
      </w:r>
      <w:r>
        <w:rPr>
          <w:i/>
          <w:iCs/>
          <w:sz w:val="20"/>
          <w:szCs w:val="20"/>
        </w:rPr>
        <w:t>Serious Crime</w:t>
      </w:r>
      <w:r w:rsidRPr="009A0F92">
        <w:rPr>
          <w:i/>
          <w:iCs/>
          <w:sz w:val="20"/>
          <w:szCs w:val="20"/>
        </w:rPr>
        <w:t xml:space="preserve"> Act 2015</w:t>
      </w:r>
      <w:r w:rsidRPr="009A0F92">
        <w:rPr>
          <w:sz w:val="20"/>
          <w:szCs w:val="20"/>
        </w:rPr>
        <w:t xml:space="preserve"> (England and Wales), section 76. This</w:t>
      </w:r>
      <w:r>
        <w:rPr>
          <w:sz w:val="20"/>
          <w:szCs w:val="20"/>
        </w:rPr>
        <w:t xml:space="preserve"> offence</w:t>
      </w:r>
      <w:r w:rsidRPr="009A0F92">
        <w:rPr>
          <w:sz w:val="20"/>
          <w:szCs w:val="20"/>
        </w:rPr>
        <w:t xml:space="preserve"> was reviewed in 2020, see United Kingdom Home Office (2021), Review of Controlling or Coercive Behaviour Offence, Research Report 122, </w:t>
      </w:r>
      <w:hyperlink r:id="rId15" w:history="1">
        <w:r w:rsidRPr="009A0F92">
          <w:rPr>
            <w:rStyle w:val="Hyperlink"/>
            <w:sz w:val="20"/>
            <w:szCs w:val="20"/>
          </w:rPr>
          <w:t>https://www.gov.uk/government/publications/review-of-the-controlling-or-coercive-behaviour-offence</w:t>
        </w:r>
      </w:hyperlink>
    </w:p>
  </w:footnote>
  <w:footnote w:id="116">
    <w:p w14:paraId="04E31F76" w14:textId="77777777" w:rsidR="00BD26A4" w:rsidRDefault="00BD26A4" w:rsidP="009A0F92">
      <w:pPr>
        <w:pStyle w:val="FootnoteText"/>
      </w:pPr>
      <w:r>
        <w:rPr>
          <w:rStyle w:val="FootnoteReference"/>
        </w:rPr>
        <w:footnoteRef/>
      </w:r>
      <w:r>
        <w:t xml:space="preserve"> </w:t>
      </w:r>
      <w:r w:rsidRPr="00797AC6">
        <w:rPr>
          <w:i/>
          <w:iCs/>
        </w:rPr>
        <w:t>Domestic Violence Act 2018</w:t>
      </w:r>
      <w:r>
        <w:t xml:space="preserve"> (Ireland), section 39</w:t>
      </w:r>
    </w:p>
  </w:footnote>
  <w:footnote w:id="117">
    <w:p w14:paraId="183A9FE0" w14:textId="77777777" w:rsidR="00BD26A4" w:rsidRDefault="00BD26A4">
      <w:pPr>
        <w:pStyle w:val="FootnoteText"/>
      </w:pPr>
      <w:r>
        <w:rPr>
          <w:rStyle w:val="FootnoteReference"/>
        </w:rPr>
        <w:footnoteRef/>
      </w:r>
      <w:r>
        <w:t xml:space="preserve"> </w:t>
      </w:r>
      <w:r w:rsidRPr="001268CB">
        <w:rPr>
          <w:i/>
        </w:rPr>
        <w:t>Domestic Abuse (Scotland) Act 2018</w:t>
      </w:r>
    </w:p>
  </w:footnote>
  <w:footnote w:id="118">
    <w:p w14:paraId="1C141C15" w14:textId="77777777" w:rsidR="00BD26A4" w:rsidRPr="00E626AC" w:rsidRDefault="00BD26A4">
      <w:pPr>
        <w:pStyle w:val="FootnoteText"/>
        <w:rPr>
          <w:rFonts w:asciiTheme="minorHAnsi" w:hAnsiTheme="minorHAnsi"/>
        </w:rPr>
      </w:pPr>
      <w:r>
        <w:rPr>
          <w:rStyle w:val="FootnoteReference"/>
        </w:rPr>
        <w:footnoteRef/>
      </w:r>
      <w:r>
        <w:t xml:space="preserve"> </w:t>
      </w:r>
      <w:r w:rsidRPr="00797AC6">
        <w:rPr>
          <w:rFonts w:asciiTheme="minorHAnsi" w:hAnsiTheme="minorHAnsi" w:cs="Open Sans"/>
          <w:i/>
          <w:iCs/>
          <w:color w:val="222222"/>
          <w:shd w:val="clear" w:color="auto" w:fill="FFFFFF"/>
        </w:rPr>
        <w:t>Domestic Abuse and Civil Proceedings Act (Northern Ireland) 2021</w:t>
      </w:r>
    </w:p>
  </w:footnote>
  <w:footnote w:id="119">
    <w:p w14:paraId="4A8624F3" w14:textId="77777777" w:rsidR="00BD26A4" w:rsidRDefault="00BD26A4">
      <w:pPr>
        <w:pStyle w:val="FootnoteText"/>
      </w:pPr>
      <w:r w:rsidRPr="005E43A3">
        <w:rPr>
          <w:rStyle w:val="FootnoteReference"/>
          <w:i/>
          <w:iCs/>
        </w:rPr>
        <w:footnoteRef/>
      </w:r>
      <w:r w:rsidRPr="005E43A3">
        <w:rPr>
          <w:i/>
          <w:iCs/>
        </w:rPr>
        <w:t xml:space="preserve"> Family Violence Act 2004 (Tas)</w:t>
      </w:r>
      <w:r>
        <w:t>, sections 8 and 9.</w:t>
      </w:r>
    </w:p>
  </w:footnote>
  <w:footnote w:id="120">
    <w:p w14:paraId="17445785" w14:textId="77777777" w:rsidR="00BD26A4" w:rsidRDefault="00BD26A4">
      <w:pPr>
        <w:pStyle w:val="FootnoteText"/>
      </w:pPr>
      <w:r>
        <w:rPr>
          <w:rStyle w:val="FootnoteReference"/>
        </w:rPr>
        <w:footnoteRef/>
      </w:r>
      <w:r>
        <w:t xml:space="preserve"> Scott, M. (2020), ‘The making of the New ‘Gold Standard’: The</w:t>
      </w:r>
      <w:r w:rsidRPr="00431F66">
        <w:rPr>
          <w:i/>
          <w:iCs/>
        </w:rPr>
        <w:t xml:space="preserve"> Domestic Abuse (Scotland) Act 2018’</w:t>
      </w:r>
      <w:r>
        <w:t>, in McMahon and McGorrery (2020), at p. 177. Professor Evan Stark who coined the term coercive control described the Scottish legislation as the ‘gold standard’.</w:t>
      </w:r>
    </w:p>
  </w:footnote>
  <w:footnote w:id="121">
    <w:p w14:paraId="4037E575" w14:textId="00DAD869" w:rsidR="00BD26A4" w:rsidRDefault="00BD26A4">
      <w:pPr>
        <w:pStyle w:val="FootnoteText"/>
      </w:pPr>
      <w:r>
        <w:rPr>
          <w:rStyle w:val="FootnoteReference"/>
        </w:rPr>
        <w:footnoteRef/>
      </w:r>
      <w:r>
        <w:t xml:space="preserve"> ‘Domestic abuse’ is the term used in Scotland in preference to DFV, to reflect the centrality of non-physical abuse.</w:t>
      </w:r>
    </w:p>
  </w:footnote>
  <w:footnote w:id="122">
    <w:p w14:paraId="46DF31CB" w14:textId="0615DA62" w:rsidR="00BD26A4" w:rsidRDefault="00BD26A4">
      <w:pPr>
        <w:pStyle w:val="FootnoteText"/>
      </w:pPr>
      <w:r>
        <w:rPr>
          <w:rStyle w:val="FootnoteReference"/>
        </w:rPr>
        <w:footnoteRef/>
      </w:r>
      <w:r>
        <w:t xml:space="preserve"> </w:t>
      </w:r>
      <w:r>
        <w:rPr>
          <w:i/>
          <w:iCs/>
        </w:rPr>
        <w:t>Serious Crime</w:t>
      </w:r>
      <w:r w:rsidRPr="009A0F92">
        <w:rPr>
          <w:i/>
          <w:iCs/>
        </w:rPr>
        <w:t xml:space="preserve"> Act 2015</w:t>
      </w:r>
      <w:r w:rsidRPr="009A0F92">
        <w:t xml:space="preserve"> (England and Wales), section 76</w:t>
      </w:r>
      <w:r>
        <w:t>.</w:t>
      </w:r>
    </w:p>
  </w:footnote>
  <w:footnote w:id="123">
    <w:p w14:paraId="3F251544" w14:textId="1A377CD5" w:rsidR="00BD26A4" w:rsidRDefault="00BD26A4" w:rsidP="007D02ED">
      <w:pPr>
        <w:pStyle w:val="FootnoteText"/>
      </w:pPr>
      <w:r>
        <w:rPr>
          <w:rStyle w:val="FootnoteReference"/>
        </w:rPr>
        <w:footnoteRef/>
      </w:r>
      <w:r>
        <w:t xml:space="preserve"> An amendment to section 76 was assented to in April 2021 (due to commence in the UK Summer/Autumn 2022) </w:t>
      </w:r>
    </w:p>
    <w:p w14:paraId="0CAD9CB6" w14:textId="4CBE9BD6" w:rsidR="00BD26A4" w:rsidRDefault="00BD26A4" w:rsidP="007D02ED">
      <w:pPr>
        <w:pStyle w:val="FootnoteText"/>
      </w:pPr>
      <w:r>
        <w:t xml:space="preserve">removing the requirement for A and B to live together if they are family members or former partners. It brings within the ambit of the offence coercive controlling behaviour by a former intimate partner that takes place post separation when A and B do not live together (see section 68 of the </w:t>
      </w:r>
      <w:r w:rsidRPr="007D02ED">
        <w:rPr>
          <w:i/>
        </w:rPr>
        <w:t>Domestic Abuse Act 2021</w:t>
      </w:r>
      <w:r>
        <w:rPr>
          <w:i/>
        </w:rPr>
        <w:t>).</w:t>
      </w:r>
    </w:p>
    <w:p w14:paraId="4F2A8068" w14:textId="34C62476" w:rsidR="00BD26A4" w:rsidRDefault="00BD26A4">
      <w:pPr>
        <w:pStyle w:val="FootnoteText"/>
      </w:pPr>
    </w:p>
  </w:footnote>
  <w:footnote w:id="124">
    <w:p w14:paraId="5571AFBB" w14:textId="7F2CF34E" w:rsidR="00BD26A4" w:rsidRDefault="00BD26A4">
      <w:pPr>
        <w:pStyle w:val="FootnoteText"/>
      </w:pPr>
      <w:r>
        <w:rPr>
          <w:rStyle w:val="FootnoteReference"/>
        </w:rPr>
        <w:footnoteRef/>
      </w:r>
      <w:r>
        <w:t xml:space="preserve"> This includes ‘Safe and Together’ training and implementation across the service system.</w:t>
      </w:r>
    </w:p>
  </w:footnote>
  <w:footnote w:id="125">
    <w:p w14:paraId="33DE499B" w14:textId="703E0C62" w:rsidR="00BD26A4" w:rsidRDefault="00BD26A4">
      <w:pPr>
        <w:pStyle w:val="FootnoteText"/>
      </w:pPr>
      <w:r>
        <w:rPr>
          <w:rStyle w:val="FootnoteReference"/>
        </w:rPr>
        <w:footnoteRef/>
      </w:r>
      <w:r>
        <w:t xml:space="preserve"> Presentation on the </w:t>
      </w:r>
      <w:r w:rsidRPr="003C48CC">
        <w:rPr>
          <w:i/>
        </w:rPr>
        <w:t>Domestic Abuse (Scotland) Act 2018</w:t>
      </w:r>
      <w:r>
        <w:t xml:space="preserve"> provided in February 2021 by </w:t>
      </w:r>
      <w:r w:rsidRPr="003C48CC">
        <w:rPr>
          <w:i/>
          <w:iCs/>
        </w:rPr>
        <w:t>Scottish Govern</w:t>
      </w:r>
      <w:r>
        <w:rPr>
          <w:i/>
          <w:iCs/>
        </w:rPr>
        <w:t xml:space="preserve">ment Officials (Patrick Down), </w:t>
      </w:r>
      <w:r w:rsidRPr="003C48CC">
        <w:rPr>
          <w:i/>
          <w:iCs/>
        </w:rPr>
        <w:t>Police (Det Chief Supt Samantha McCluskey and Det Supt Debbie Forrester) and Prosecutors (Moira Price and Alisdair Macleod)</w:t>
      </w:r>
      <w:r>
        <w:rPr>
          <w:i/>
          <w:iCs/>
        </w:rPr>
        <w:t>.</w:t>
      </w:r>
    </w:p>
  </w:footnote>
  <w:footnote w:id="126">
    <w:p w14:paraId="71BA934D" w14:textId="2519C95C" w:rsidR="00BD26A4" w:rsidRDefault="00BD26A4">
      <w:pPr>
        <w:pStyle w:val="FootnoteText"/>
      </w:pPr>
      <w:r>
        <w:rPr>
          <w:rStyle w:val="FootnoteReference"/>
        </w:rPr>
        <w:footnoteRef/>
      </w:r>
      <w:r>
        <w:t xml:space="preserve"> Presentation on the </w:t>
      </w:r>
      <w:r w:rsidRPr="003C48CC">
        <w:rPr>
          <w:i/>
        </w:rPr>
        <w:t>Domestic Abuse (Scotland) Act 2018</w:t>
      </w:r>
      <w:r>
        <w:t xml:space="preserve"> provided in February 2021 by </w:t>
      </w:r>
      <w:r w:rsidRPr="003C48CC">
        <w:rPr>
          <w:i/>
          <w:iCs/>
        </w:rPr>
        <w:t>Scottish Govern</w:t>
      </w:r>
      <w:r>
        <w:rPr>
          <w:i/>
          <w:iCs/>
        </w:rPr>
        <w:t xml:space="preserve">ment Officials (Patrick Down), </w:t>
      </w:r>
      <w:r w:rsidRPr="003C48CC">
        <w:rPr>
          <w:i/>
          <w:iCs/>
        </w:rPr>
        <w:t>Police (Det Chief Supt Samantha McCluskey and Det Supt Debbie Forrester) and Prosecutors (Moira Price and Alisdair Macleod)</w:t>
      </w:r>
      <w:r>
        <w:rPr>
          <w:i/>
          <w:iCs/>
        </w:rPr>
        <w:t>.</w:t>
      </w:r>
    </w:p>
  </w:footnote>
  <w:footnote w:id="127">
    <w:p w14:paraId="1DB1E291" w14:textId="0F575CE6" w:rsidR="00BD26A4" w:rsidRDefault="00BD26A4">
      <w:pPr>
        <w:pStyle w:val="FootnoteText"/>
      </w:pPr>
      <w:r>
        <w:rPr>
          <w:rStyle w:val="FootnoteReference"/>
        </w:rPr>
        <w:footnoteRef/>
      </w:r>
      <w:r>
        <w:t xml:space="preserve"> Presentation on the </w:t>
      </w:r>
      <w:r w:rsidRPr="003C48CC">
        <w:rPr>
          <w:i/>
        </w:rPr>
        <w:t>Domestic Abuse (Scotland) Act 2018</w:t>
      </w:r>
      <w:r>
        <w:t xml:space="preserve"> provided in February 2021 by </w:t>
      </w:r>
      <w:r w:rsidRPr="003C48CC">
        <w:rPr>
          <w:i/>
          <w:iCs/>
        </w:rPr>
        <w:t>Scottish Govern</w:t>
      </w:r>
      <w:r>
        <w:rPr>
          <w:i/>
          <w:iCs/>
        </w:rPr>
        <w:t xml:space="preserve">ment Officials (Patrick Down), </w:t>
      </w:r>
      <w:r w:rsidRPr="003C48CC">
        <w:rPr>
          <w:i/>
          <w:iCs/>
        </w:rPr>
        <w:t>Police (Det Chief Supt Samantha McCluskey and Det Supt Debbie Forrester) and Prosecutors (Moira Price and Alisdair Macleod)</w:t>
      </w:r>
      <w:r>
        <w:rPr>
          <w:i/>
          <w:iCs/>
        </w:rPr>
        <w:t>.</w:t>
      </w:r>
    </w:p>
  </w:footnote>
  <w:footnote w:id="128">
    <w:p w14:paraId="4EBEF617" w14:textId="07C98DF8" w:rsidR="00BD26A4" w:rsidRPr="009E7D5E" w:rsidRDefault="00BD26A4" w:rsidP="0053680E">
      <w:pPr>
        <w:spacing w:after="0"/>
        <w:rPr>
          <w:sz w:val="20"/>
          <w:szCs w:val="20"/>
          <w:lang w:eastAsia="en-AU"/>
        </w:rPr>
      </w:pPr>
      <w:r>
        <w:rPr>
          <w:rStyle w:val="FootnoteReference"/>
        </w:rPr>
        <w:footnoteRef/>
      </w:r>
      <w:r>
        <w:t xml:space="preserve"> </w:t>
      </w:r>
      <w:r w:rsidRPr="005B2A32">
        <w:rPr>
          <w:sz w:val="20"/>
          <w:szCs w:val="20"/>
          <w:lang w:eastAsia="en-AU"/>
        </w:rPr>
        <w:t>It is worth noting that t</w:t>
      </w:r>
      <w:r>
        <w:rPr>
          <w:sz w:val="20"/>
          <w:szCs w:val="20"/>
          <w:lang w:eastAsia="en-AU"/>
        </w:rPr>
        <w:t xml:space="preserve">his argument has been used in the past to oppose important law reform in relation to DFV and sexual assault.  For example, historically husbands had immunity from raping their wives in Britain and Australia. The core of the opposition to making marital rape unlawful was that the family home should not be controlled by the state. The South Australia Government was the first jurisdiction to make rape in marriage a criminal offence in 1976 and to remove the immunity formerly granted husbands. </w:t>
      </w:r>
      <w:r>
        <w:rPr>
          <w:sz w:val="20"/>
          <w:szCs w:val="20"/>
          <w:lang w:eastAsia="en-AU"/>
        </w:rPr>
        <w:br/>
      </w:r>
      <w:hyperlink r:id="rId16" w:history="1">
        <w:r w:rsidRPr="006A15CD">
          <w:rPr>
            <w:rStyle w:val="Hyperlink"/>
            <w:sz w:val="20"/>
            <w:szCs w:val="20"/>
            <w:lang w:eastAsia="en-AU"/>
          </w:rPr>
          <w:t>https://www.ojp.gov/ncjrs/virtual-library/abstracts/rape-marriage-legislation-south-australia-anatomy-reform</w:t>
        </w:r>
      </w:hyperlink>
    </w:p>
  </w:footnote>
  <w:footnote w:id="129">
    <w:p w14:paraId="57897987" w14:textId="77777777" w:rsidR="00BD26A4" w:rsidRDefault="00BD26A4" w:rsidP="005B2A32">
      <w:pPr>
        <w:pStyle w:val="FootnoteText"/>
      </w:pPr>
      <w:r>
        <w:rPr>
          <w:rStyle w:val="FootnoteReference"/>
        </w:rPr>
        <w:footnoteRef/>
      </w:r>
      <w:r>
        <w:t xml:space="preserve"> Richmond (2018); Douglas (2020).</w:t>
      </w:r>
    </w:p>
  </w:footnote>
  <w:footnote w:id="130">
    <w:p w14:paraId="500801F0" w14:textId="77777777" w:rsidR="00BD26A4" w:rsidRDefault="00BD26A4" w:rsidP="00244F5F">
      <w:pPr>
        <w:spacing w:after="0"/>
      </w:pPr>
      <w:r>
        <w:rPr>
          <w:rStyle w:val="FootnoteReference"/>
        </w:rPr>
        <w:footnoteRef/>
      </w:r>
      <w:r>
        <w:t xml:space="preserve"> </w:t>
      </w:r>
      <w:r w:rsidRPr="00244F5F">
        <w:rPr>
          <w:sz w:val="20"/>
          <w:szCs w:val="20"/>
        </w:rPr>
        <w:t xml:space="preserve">Nancarrow, H, Thomas, K., Ringland, V. and Modini, T. (2020), </w:t>
      </w:r>
      <w:r w:rsidRPr="00244F5F">
        <w:rPr>
          <w:i/>
          <w:sz w:val="20"/>
          <w:szCs w:val="20"/>
        </w:rPr>
        <w:t xml:space="preserve">Accurately identifying the “person most in need of protection” in domestic and family violence law. </w:t>
      </w:r>
      <w:r w:rsidRPr="00244F5F">
        <w:rPr>
          <w:sz w:val="20"/>
          <w:szCs w:val="20"/>
        </w:rPr>
        <w:t>Australian National Research Organisation on Women’s Safety (ANROWS) (Research Report 23/2020).</w:t>
      </w:r>
    </w:p>
  </w:footnote>
  <w:footnote w:id="131">
    <w:p w14:paraId="5E3F427B" w14:textId="77777777" w:rsidR="00BD26A4" w:rsidRDefault="00BD26A4" w:rsidP="00244F5F">
      <w:pPr>
        <w:pStyle w:val="FootnoteText"/>
      </w:pPr>
      <w:r>
        <w:rPr>
          <w:rStyle w:val="FootnoteReference"/>
        </w:rPr>
        <w:footnoteRef/>
      </w:r>
      <w:r>
        <w:t xml:space="preserve"> Richmond (2018); Douglas (2020).</w:t>
      </w:r>
    </w:p>
  </w:footnote>
  <w:footnote w:id="132">
    <w:p w14:paraId="3BE650E9" w14:textId="77777777" w:rsidR="00BD26A4" w:rsidRDefault="00BD26A4" w:rsidP="000B7A20">
      <w:pPr>
        <w:spacing w:after="0"/>
      </w:pPr>
      <w:r>
        <w:rPr>
          <w:rStyle w:val="FootnoteReference"/>
        </w:rPr>
        <w:footnoteRef/>
      </w:r>
      <w:r>
        <w:t xml:space="preserve"> </w:t>
      </w:r>
      <w:r w:rsidRPr="00AE1B98">
        <w:rPr>
          <w:sz w:val="20"/>
          <w:szCs w:val="20"/>
        </w:rPr>
        <w:t xml:space="preserve">Australia’s National Research Organisation for Women’s Safety. (2021). </w:t>
      </w:r>
      <w:r w:rsidRPr="00AE1B98">
        <w:rPr>
          <w:i/>
          <w:sz w:val="20"/>
          <w:szCs w:val="20"/>
        </w:rPr>
        <w:t>Defining and responding to coercive control: Policy brief</w:t>
      </w:r>
      <w:r w:rsidRPr="00AE1B98">
        <w:rPr>
          <w:sz w:val="20"/>
          <w:szCs w:val="20"/>
        </w:rPr>
        <w:t xml:space="preserve"> (ANROWS Insights, 01/2021). Sydney: ANROWS</w:t>
      </w:r>
    </w:p>
  </w:footnote>
  <w:footnote w:id="133">
    <w:p w14:paraId="0DBAC786" w14:textId="77777777" w:rsidR="00BD26A4" w:rsidRDefault="00BD26A4" w:rsidP="000B7A20">
      <w:pPr>
        <w:pStyle w:val="FootnoteText"/>
      </w:pPr>
      <w:r>
        <w:rPr>
          <w:rStyle w:val="FootnoteReference"/>
        </w:rPr>
        <w:footnoteRef/>
      </w:r>
      <w:r>
        <w:t xml:space="preserve"> Department of the Attorney General and Justice (2021), </w:t>
      </w:r>
      <w:r w:rsidRPr="0056749D">
        <w:rPr>
          <w:i/>
          <w:iCs/>
        </w:rPr>
        <w:t>Pathways to the Aboriginal Justice Agreement</w:t>
      </w:r>
      <w:r>
        <w:t>, at p 34. The figures are at 30 June 2018.</w:t>
      </w:r>
    </w:p>
  </w:footnote>
  <w:footnote w:id="134">
    <w:p w14:paraId="51852117" w14:textId="77777777" w:rsidR="00BD26A4" w:rsidRDefault="00BD26A4" w:rsidP="004F1497">
      <w:pPr>
        <w:pStyle w:val="FootnoteText"/>
      </w:pPr>
      <w:r>
        <w:rPr>
          <w:rStyle w:val="FootnoteReference"/>
        </w:rPr>
        <w:footnoteRef/>
      </w:r>
      <w:r>
        <w:t xml:space="preserve"> Derived from the CJRSU’s monthly prisoner census database. IOMS and IJIS in August 2021.</w:t>
      </w:r>
    </w:p>
  </w:footnote>
  <w:footnote w:id="135">
    <w:p w14:paraId="7B535F25" w14:textId="77777777" w:rsidR="00BD26A4" w:rsidRDefault="00BD26A4">
      <w:pPr>
        <w:pStyle w:val="FootnoteText"/>
      </w:pPr>
      <w:r>
        <w:rPr>
          <w:rStyle w:val="FootnoteReference"/>
        </w:rPr>
        <w:footnoteRef/>
      </w:r>
      <w:r>
        <w:t xml:space="preserve"> Extracted from IJIS July 2021, figures are for the 2020/21 financial year.</w:t>
      </w:r>
    </w:p>
  </w:footnote>
  <w:footnote w:id="136">
    <w:p w14:paraId="48760EF1" w14:textId="77777777" w:rsidR="00BD26A4" w:rsidRDefault="00BD26A4">
      <w:pPr>
        <w:pStyle w:val="FootnoteText"/>
      </w:pPr>
      <w:r>
        <w:rPr>
          <w:rStyle w:val="FootnoteReference"/>
        </w:rPr>
        <w:footnoteRef/>
      </w:r>
      <w:r>
        <w:t xml:space="preserve"> Department of the Attorney General and Justice (2021), </w:t>
      </w:r>
      <w:r w:rsidRPr="0056749D">
        <w:rPr>
          <w:i/>
          <w:iCs/>
        </w:rPr>
        <w:t>Pathways to the Aboriginal Justice Agreement</w:t>
      </w:r>
      <w:r>
        <w:t>, at p 34. The figures are as at 30 June 2018.</w:t>
      </w:r>
    </w:p>
  </w:footnote>
  <w:footnote w:id="137">
    <w:p w14:paraId="26C051CA" w14:textId="486F9FEC" w:rsidR="00BD26A4" w:rsidRDefault="00BD26A4">
      <w:pPr>
        <w:pStyle w:val="FootnoteText"/>
      </w:pPr>
      <w:r>
        <w:rPr>
          <w:rStyle w:val="FootnoteReference"/>
        </w:rPr>
        <w:footnoteRef/>
      </w:r>
      <w:r>
        <w:t xml:space="preserve"> Victorian Aboriginal Legal Service (VALS) (2020),</w:t>
      </w:r>
      <w:r w:rsidRPr="00C03ED4">
        <w:rPr>
          <w:i/>
        </w:rPr>
        <w:t xml:space="preserve"> Addressing Coercive Control without Criminalisation: Avoiding Blunt Tools that Fail Victim-Survivors - VALS Policy Paper</w:t>
      </w:r>
      <w:r>
        <w:t>, at p. 6.</w:t>
      </w:r>
    </w:p>
  </w:footnote>
  <w:footnote w:id="138">
    <w:p w14:paraId="61DE4719" w14:textId="38A32599" w:rsidR="00BD26A4" w:rsidRDefault="00BD26A4">
      <w:pPr>
        <w:pStyle w:val="FootnoteText"/>
      </w:pPr>
      <w:r>
        <w:rPr>
          <w:rStyle w:val="FootnoteReference"/>
        </w:rPr>
        <w:footnoteRef/>
      </w:r>
      <w:r>
        <w:t xml:space="preserve"> Victorian Aboriginal Legal Service (VALS) (2020),</w:t>
      </w:r>
      <w:r w:rsidRPr="00C03ED4">
        <w:rPr>
          <w:i/>
        </w:rPr>
        <w:t xml:space="preserve"> Addressing Coercive Control without Criminalisation: Avoiding Blunt Tools that Fail Victim-Survivors - VALS Policy Paper</w:t>
      </w:r>
      <w:r>
        <w:t>, at p. 8.</w:t>
      </w:r>
    </w:p>
  </w:footnote>
  <w:footnote w:id="139">
    <w:p w14:paraId="7428212B" w14:textId="77777777" w:rsidR="00BD26A4" w:rsidRDefault="00BD26A4">
      <w:pPr>
        <w:pStyle w:val="FootnoteText"/>
      </w:pPr>
      <w:r>
        <w:rPr>
          <w:rStyle w:val="FootnoteReference"/>
        </w:rPr>
        <w:footnoteRef/>
      </w:r>
      <w:r>
        <w:t xml:space="preserve"> </w:t>
      </w:r>
      <w:r w:rsidRPr="007E7734">
        <w:rPr>
          <w:rStyle w:val="cite-author"/>
          <w:rFonts w:asciiTheme="minorHAnsi" w:hAnsiTheme="minorHAnsi" w:cs="Calibri"/>
          <w:shd w:val="clear" w:color="auto" w:fill="F4F4F4"/>
        </w:rPr>
        <w:t xml:space="preserve">Boxall </w:t>
      </w:r>
      <w:r>
        <w:rPr>
          <w:rStyle w:val="cite-author"/>
          <w:rFonts w:asciiTheme="minorHAnsi" w:hAnsiTheme="minorHAnsi" w:cs="Calibri"/>
          <w:shd w:val="clear" w:color="auto" w:fill="F4F4F4"/>
        </w:rPr>
        <w:t>and Morgan (2021)</w:t>
      </w:r>
    </w:p>
  </w:footnote>
  <w:footnote w:id="140">
    <w:p w14:paraId="428D64DC" w14:textId="3C129714" w:rsidR="00BD26A4" w:rsidRDefault="00BD26A4">
      <w:pPr>
        <w:pStyle w:val="FootnoteText"/>
      </w:pPr>
      <w:r>
        <w:rPr>
          <w:rStyle w:val="FootnoteReference"/>
        </w:rPr>
        <w:footnoteRef/>
      </w:r>
      <w:r>
        <w:t xml:space="preserve"> Presentation on the </w:t>
      </w:r>
      <w:r w:rsidRPr="003C48CC">
        <w:rPr>
          <w:i/>
        </w:rPr>
        <w:t>Domestic Abuse (Scotland) Act 2018</w:t>
      </w:r>
      <w:r>
        <w:t xml:space="preserve"> provided in February 2021 by </w:t>
      </w:r>
      <w:r w:rsidRPr="003C48CC">
        <w:rPr>
          <w:i/>
          <w:iCs/>
        </w:rPr>
        <w:t>Scottish Govern</w:t>
      </w:r>
      <w:r>
        <w:rPr>
          <w:i/>
          <w:iCs/>
        </w:rPr>
        <w:t xml:space="preserve">ment Officials (Patrick Down), </w:t>
      </w:r>
      <w:r w:rsidRPr="003C48CC">
        <w:rPr>
          <w:i/>
          <w:iCs/>
        </w:rPr>
        <w:t>Police (Det Chief Supt Samantha McCluskey and Det Supt Debbie Forrester) and Prosecutors (Moira Price and Alisdair Macleod)</w:t>
      </w:r>
      <w:r>
        <w:rPr>
          <w:i/>
          <w:iCs/>
        </w:rPr>
        <w:t>.</w:t>
      </w:r>
    </w:p>
  </w:footnote>
  <w:footnote w:id="141">
    <w:p w14:paraId="456317AD" w14:textId="1F2BB9C3" w:rsidR="00BD26A4" w:rsidRDefault="00BD26A4" w:rsidP="001C6C7B">
      <w:pPr>
        <w:pStyle w:val="FootnoteText"/>
      </w:pPr>
      <w:r>
        <w:rPr>
          <w:rStyle w:val="FootnoteReference"/>
        </w:rPr>
        <w:footnoteRef/>
      </w:r>
      <w:r>
        <w:t xml:space="preserve"> Qld Women’s Safety and Justice Taskforce (2021).  The four phase implementation plan is set out in Chapter 2.3. </w:t>
      </w:r>
    </w:p>
  </w:footnote>
  <w:footnote w:id="142">
    <w:p w14:paraId="6568FA4A" w14:textId="6424F907" w:rsidR="00BD26A4" w:rsidRDefault="00BD26A4">
      <w:pPr>
        <w:pStyle w:val="FootnoteText"/>
      </w:pPr>
      <w:r>
        <w:rPr>
          <w:rStyle w:val="FootnoteReference"/>
        </w:rPr>
        <w:footnoteRef/>
      </w:r>
      <w:r>
        <w:t xml:space="preserve"> NSW Parliament </w:t>
      </w:r>
      <w:r w:rsidRPr="005D7718">
        <w:t>Joint Selec</w:t>
      </w:r>
      <w:r>
        <w:t xml:space="preserve">t Committee on Coercive Control (2021), </w:t>
      </w:r>
      <w:r w:rsidRPr="007A3042">
        <w:rPr>
          <w:i/>
        </w:rPr>
        <w:t>Coercive Control in Domestic Relationships</w:t>
      </w:r>
      <w:r>
        <w:t>, (Report 1/57)</w:t>
      </w:r>
    </w:p>
  </w:footnote>
  <w:footnote w:id="143">
    <w:p w14:paraId="059013D4" w14:textId="63572E6D" w:rsidR="00BD26A4" w:rsidRDefault="00BD26A4">
      <w:pPr>
        <w:pStyle w:val="FootnoteText"/>
      </w:pPr>
      <w:r>
        <w:rPr>
          <w:rStyle w:val="FootnoteReference"/>
        </w:rPr>
        <w:footnoteRef/>
      </w:r>
      <w:r>
        <w:t xml:space="preserve"> </w:t>
      </w:r>
      <w:r w:rsidRPr="005D7718">
        <w:t>See the NSW Government response to Report 1/57 of the Joint Select Committee on Coercive Control entitled ‘Coercive Control in Domestic Relationships’ at</w:t>
      </w:r>
      <w:r>
        <w:t>:</w:t>
      </w:r>
      <w:r w:rsidRPr="005D7718">
        <w:t xml:space="preserve"> https://www.parliament.nsw.gov.au/la/papers/Pages/tabled-paper-details.aspx?pk=81416</w:t>
      </w:r>
    </w:p>
  </w:footnote>
  <w:footnote w:id="144">
    <w:p w14:paraId="2A84BF47" w14:textId="77777777" w:rsidR="00BD26A4" w:rsidRPr="001C3A7B" w:rsidRDefault="00BD26A4" w:rsidP="00293B54">
      <w:pPr>
        <w:rPr>
          <w:sz w:val="20"/>
          <w:szCs w:val="20"/>
        </w:rPr>
      </w:pPr>
      <w:r>
        <w:rPr>
          <w:rStyle w:val="FootnoteReference"/>
        </w:rPr>
        <w:footnoteRef/>
      </w:r>
      <w:r>
        <w:t xml:space="preserve"> </w:t>
      </w:r>
      <w:r w:rsidRPr="001C3A7B">
        <w:rPr>
          <w:sz w:val="20"/>
          <w:szCs w:val="20"/>
        </w:rPr>
        <w:t xml:space="preserve">Jane Wangmann, ‘Coercive Control as the Context for Intimate Partner Violence: The Challenge for the Legal System’, in McMahon, M. and McGorrery, P. (Eds) (2020), </w:t>
      </w:r>
      <w:r w:rsidRPr="001C3A7B">
        <w:rPr>
          <w:i/>
          <w:sz w:val="20"/>
          <w:szCs w:val="20"/>
        </w:rPr>
        <w:t>Criminalising Coercive Control:</w:t>
      </w:r>
      <w:r w:rsidRPr="001C3A7B">
        <w:rPr>
          <w:sz w:val="20"/>
          <w:szCs w:val="20"/>
        </w:rPr>
        <w:t xml:space="preserve"> </w:t>
      </w:r>
      <w:r w:rsidRPr="001C3A7B">
        <w:rPr>
          <w:i/>
          <w:sz w:val="20"/>
          <w:szCs w:val="20"/>
        </w:rPr>
        <w:t>Family Violence and the Criminal Law</w:t>
      </w:r>
      <w:r w:rsidRPr="001C3A7B">
        <w:rPr>
          <w:sz w:val="20"/>
          <w:szCs w:val="20"/>
        </w:rPr>
        <w:t>, Springer, at p. 238 and 239.</w:t>
      </w:r>
    </w:p>
  </w:footnote>
  <w:footnote w:id="145">
    <w:p w14:paraId="0355668A" w14:textId="77777777" w:rsidR="00BD26A4" w:rsidRDefault="00BD26A4" w:rsidP="00FA4FCF">
      <w:pPr>
        <w:pStyle w:val="FootnoteText"/>
      </w:pPr>
      <w:r>
        <w:rPr>
          <w:rStyle w:val="FootnoteReference"/>
        </w:rPr>
        <w:footnoteRef/>
      </w:r>
      <w:r>
        <w:t xml:space="preserve"> For example, Victorian Royal Commission into Family Violence (2016); Queensland Special Taskforce on Domestic and Family Violence Report </w:t>
      </w:r>
      <w:r w:rsidRPr="008702B4">
        <w:rPr>
          <w:i/>
        </w:rPr>
        <w:t>Not now, Not ever: Putting an End to Domestic and Family Violence</w:t>
      </w:r>
      <w:r>
        <w:t xml:space="preserve"> (2015); Commonwealth Parliamentary Inquiry into Family, Domestic and Sexual Violence (2021); Queensland Women’s Safety and Justice Taskforce Report, </w:t>
      </w:r>
      <w:r w:rsidRPr="008702B4">
        <w:rPr>
          <w:i/>
        </w:rPr>
        <w:t>Hear Her Voice: Addressing Coercive Control and Domestic and Family Violence in Queensland</w:t>
      </w:r>
      <w:r>
        <w:t xml:space="preserve"> (2021); Parliament of NSW Joint Select Committee Inquiry into Coercive Control (2021).</w:t>
      </w:r>
    </w:p>
  </w:footnote>
  <w:footnote w:id="146">
    <w:p w14:paraId="7E4B6A49" w14:textId="77777777" w:rsidR="00BD26A4" w:rsidRDefault="00BD26A4" w:rsidP="00FA4FCF">
      <w:pPr>
        <w:pStyle w:val="FootnoteText"/>
      </w:pPr>
      <w:r>
        <w:rPr>
          <w:rStyle w:val="FootnoteReference"/>
        </w:rPr>
        <w:footnoteRef/>
      </w:r>
      <w:r>
        <w:t xml:space="preserve"> Particularly research undertaken by the Australian National Research Organisation on Women’s Safety (ANROWS)</w:t>
      </w:r>
    </w:p>
  </w:footnote>
  <w:footnote w:id="147">
    <w:p w14:paraId="2E396E88" w14:textId="77777777" w:rsidR="00BD26A4" w:rsidRDefault="00BD26A4" w:rsidP="00FA4FCF">
      <w:pPr>
        <w:pStyle w:val="FootnoteText"/>
      </w:pPr>
      <w:r>
        <w:rPr>
          <w:rStyle w:val="FootnoteReference"/>
        </w:rPr>
        <w:footnoteRef/>
      </w:r>
      <w:r>
        <w:t xml:space="preserve"> This was also one of the recommendations of the ALRC and NSWLRC Report (2010) </w:t>
      </w:r>
      <w:r w:rsidRPr="00AE77A7">
        <w:rPr>
          <w:i/>
        </w:rPr>
        <w:t>Family Violence: Impro</w:t>
      </w:r>
      <w:r>
        <w:rPr>
          <w:i/>
        </w:rPr>
        <w:t xml:space="preserve">ving Legal Frameworks. </w:t>
      </w:r>
      <w:r w:rsidRPr="005611A2">
        <w:t>The</w:t>
      </w:r>
      <w:r>
        <w:t xml:space="preserve"> Law Council of Australia has adopted a model definition of family violence (2021).</w:t>
      </w:r>
    </w:p>
  </w:footnote>
  <w:footnote w:id="148">
    <w:p w14:paraId="6C52131F" w14:textId="77777777" w:rsidR="00BD26A4" w:rsidRDefault="00BD26A4" w:rsidP="00FA4FCF">
      <w:pPr>
        <w:pStyle w:val="FootnoteText"/>
      </w:pPr>
      <w:r>
        <w:rPr>
          <w:rStyle w:val="FootnoteReference"/>
        </w:rPr>
        <w:footnoteRef/>
      </w:r>
      <w:r>
        <w:t xml:space="preserve"> Australian Law Reform Commission and NSW Law Reform Commission (2010) </w:t>
      </w:r>
      <w:r w:rsidRPr="009920CB">
        <w:rPr>
          <w:i/>
        </w:rPr>
        <w:t>Family Violence – A National Legal Response.</w:t>
      </w:r>
      <w:r>
        <w:t xml:space="preserve"> (ALRC Report) – See recommendation 7-1 and also Recommendation 7-2.</w:t>
      </w:r>
    </w:p>
  </w:footnote>
  <w:footnote w:id="149">
    <w:p w14:paraId="6412C1E4" w14:textId="77777777" w:rsidR="00BD26A4" w:rsidRDefault="00BD26A4" w:rsidP="00CF57EB">
      <w:pPr>
        <w:spacing w:after="0"/>
        <w:rPr>
          <w:lang w:eastAsia="en-AU"/>
        </w:rPr>
      </w:pPr>
      <w:r>
        <w:rPr>
          <w:rStyle w:val="FootnoteReference"/>
        </w:rPr>
        <w:footnoteRef/>
      </w:r>
      <w:r>
        <w:t xml:space="preserve"> </w:t>
      </w:r>
      <w:r w:rsidRPr="00EC562A">
        <w:rPr>
          <w:sz w:val="20"/>
          <w:szCs w:val="20"/>
          <w:lang w:eastAsia="en-AU"/>
        </w:rPr>
        <w:t>The principles are adapted from the</w:t>
      </w:r>
      <w:r w:rsidRPr="00EC562A">
        <w:rPr>
          <w:i/>
          <w:sz w:val="20"/>
          <w:szCs w:val="20"/>
          <w:lang w:eastAsia="en-AU"/>
        </w:rPr>
        <w:t xml:space="preserve"> Family Violence Protection Act 2008</w:t>
      </w:r>
      <w:r w:rsidRPr="00EC562A">
        <w:rPr>
          <w:sz w:val="20"/>
          <w:szCs w:val="20"/>
          <w:lang w:eastAsia="en-AU"/>
        </w:rPr>
        <w:t xml:space="preserve"> (Vic) </w:t>
      </w:r>
      <w:r w:rsidRPr="00EC562A">
        <w:rPr>
          <w:rFonts w:cstheme="minorHAnsi"/>
          <w:sz w:val="20"/>
          <w:szCs w:val="20"/>
        </w:rPr>
        <w:t>P</w:t>
      </w:r>
      <w:r>
        <w:rPr>
          <w:rFonts w:cstheme="minorHAnsi"/>
          <w:sz w:val="20"/>
          <w:szCs w:val="20"/>
        </w:rPr>
        <w:t>reamble, unless otherwise indicated in a footnote</w:t>
      </w:r>
      <w:r w:rsidRPr="00EC562A">
        <w:rPr>
          <w:rFonts w:cstheme="minorHAnsi"/>
          <w:sz w:val="20"/>
          <w:szCs w:val="20"/>
        </w:rPr>
        <w:t>.</w:t>
      </w:r>
    </w:p>
  </w:footnote>
  <w:footnote w:id="150">
    <w:p w14:paraId="3EA53200" w14:textId="77777777" w:rsidR="00BD26A4" w:rsidRDefault="00BD26A4" w:rsidP="00E11F0F">
      <w:pPr>
        <w:spacing w:after="0"/>
      </w:pPr>
      <w:r>
        <w:rPr>
          <w:rStyle w:val="FootnoteReference"/>
        </w:rPr>
        <w:footnoteRef/>
      </w:r>
      <w:r>
        <w:t xml:space="preserve"> </w:t>
      </w:r>
      <w:r>
        <w:rPr>
          <w:sz w:val="20"/>
          <w:szCs w:val="20"/>
        </w:rPr>
        <w:t xml:space="preserve">This wording is </w:t>
      </w:r>
      <w:r w:rsidRPr="00EC562A">
        <w:rPr>
          <w:rFonts w:cstheme="minorHAnsi"/>
          <w:sz w:val="20"/>
          <w:szCs w:val="20"/>
        </w:rPr>
        <w:t xml:space="preserve">adapted from s10B(j) </w:t>
      </w:r>
      <w:r w:rsidRPr="00EC562A">
        <w:rPr>
          <w:i/>
          <w:sz w:val="20"/>
          <w:szCs w:val="20"/>
          <w:lang w:eastAsia="en-AU"/>
        </w:rPr>
        <w:t>Restraining Orders Act 1997</w:t>
      </w:r>
      <w:r w:rsidRPr="00EC562A">
        <w:rPr>
          <w:sz w:val="20"/>
          <w:szCs w:val="20"/>
          <w:lang w:eastAsia="en-AU"/>
        </w:rPr>
        <w:t xml:space="preserve"> (WA).</w:t>
      </w:r>
    </w:p>
  </w:footnote>
  <w:footnote w:id="151">
    <w:p w14:paraId="627C1299" w14:textId="77777777" w:rsidR="00BD26A4" w:rsidRPr="00671C10" w:rsidRDefault="00BD26A4" w:rsidP="00E11F0F">
      <w:pPr>
        <w:spacing w:after="0"/>
        <w:rPr>
          <w:i/>
          <w:sz w:val="20"/>
          <w:szCs w:val="20"/>
        </w:rPr>
      </w:pPr>
      <w:r>
        <w:rPr>
          <w:rStyle w:val="FootnoteReference"/>
        </w:rPr>
        <w:footnoteRef/>
      </w:r>
      <w:r>
        <w:t xml:space="preserve"> </w:t>
      </w:r>
      <w:r w:rsidRPr="00EC562A">
        <w:rPr>
          <w:sz w:val="20"/>
          <w:szCs w:val="20"/>
        </w:rPr>
        <w:t xml:space="preserve">Paragraph (d)(iii) is adapted from section 4(a) of the </w:t>
      </w:r>
      <w:r w:rsidRPr="00EC562A">
        <w:rPr>
          <w:i/>
          <w:sz w:val="20"/>
          <w:szCs w:val="20"/>
        </w:rPr>
        <w:t>Domestic and Family Violence Protection Act 2012 (Qld)</w:t>
      </w:r>
    </w:p>
  </w:footnote>
  <w:footnote w:id="152">
    <w:p w14:paraId="4CE2674D" w14:textId="77777777" w:rsidR="00BD26A4" w:rsidRDefault="00BD26A4" w:rsidP="00E11F0F">
      <w:pPr>
        <w:pStyle w:val="FootnoteText"/>
      </w:pPr>
      <w:r>
        <w:rPr>
          <w:rStyle w:val="FootnoteReference"/>
        </w:rPr>
        <w:footnoteRef/>
      </w:r>
      <w:r>
        <w:t xml:space="preserve"> Adapted from the Queensland </w:t>
      </w:r>
      <w:r w:rsidRPr="009E4FF6">
        <w:rPr>
          <w:i/>
        </w:rPr>
        <w:t>Domestic and Family Violence Protection Act 2012</w:t>
      </w:r>
      <w:r w:rsidRPr="006E354A">
        <w:t xml:space="preserve"> not from the Victorian Act</w:t>
      </w:r>
      <w:r w:rsidRPr="009E4FF6">
        <w:rPr>
          <w:i/>
        </w:rPr>
        <w:t>.</w:t>
      </w:r>
    </w:p>
  </w:footnote>
  <w:footnote w:id="153">
    <w:p w14:paraId="24A1C825" w14:textId="77777777" w:rsidR="00BD26A4" w:rsidRDefault="00BD26A4" w:rsidP="00E11F0F">
      <w:pPr>
        <w:pStyle w:val="FootnoteText"/>
      </w:pPr>
      <w:r>
        <w:rPr>
          <w:rStyle w:val="FootnoteReference"/>
        </w:rPr>
        <w:footnoteRef/>
      </w:r>
      <w:r>
        <w:t xml:space="preserve"> Adapted from the </w:t>
      </w:r>
      <w:r w:rsidRPr="00D67F25">
        <w:rPr>
          <w:i/>
        </w:rPr>
        <w:t>Domestic Abuse (Scotland) Act 2018.</w:t>
      </w:r>
    </w:p>
  </w:footnote>
  <w:footnote w:id="154">
    <w:p w14:paraId="6D87FEBE" w14:textId="77777777" w:rsidR="00BD26A4" w:rsidRDefault="00BD26A4" w:rsidP="00E11F0F">
      <w:pPr>
        <w:pStyle w:val="FootnoteText"/>
      </w:pPr>
      <w:r>
        <w:rPr>
          <w:rStyle w:val="FootnoteReference"/>
        </w:rPr>
        <w:footnoteRef/>
      </w:r>
      <w:r>
        <w:t xml:space="preserve"> Adapted </w:t>
      </w:r>
      <w:r>
        <w:rPr>
          <w:lang w:eastAsia="en-AU"/>
        </w:rPr>
        <w:t xml:space="preserve">from section 10B(e) of the </w:t>
      </w:r>
      <w:r w:rsidRPr="00742176">
        <w:rPr>
          <w:i/>
          <w:lang w:eastAsia="en-AU"/>
        </w:rPr>
        <w:t>Restraining Orders Act 1997</w:t>
      </w:r>
      <w:r>
        <w:rPr>
          <w:lang w:eastAsia="en-AU"/>
        </w:rPr>
        <w:t xml:space="preserve"> (WA).</w:t>
      </w:r>
    </w:p>
  </w:footnote>
  <w:footnote w:id="155">
    <w:p w14:paraId="1544ADEC" w14:textId="77777777" w:rsidR="00BD26A4" w:rsidRDefault="00BD26A4" w:rsidP="00E11F0F">
      <w:pPr>
        <w:pStyle w:val="FootnoteText"/>
      </w:pPr>
      <w:r>
        <w:rPr>
          <w:rStyle w:val="FootnoteReference"/>
        </w:rPr>
        <w:footnoteRef/>
      </w:r>
      <w:r>
        <w:t xml:space="preserve"> </w:t>
      </w:r>
      <w:r>
        <w:rPr>
          <w:lang w:eastAsia="en-AU"/>
        </w:rPr>
        <w:t>Ada</w:t>
      </w:r>
      <w:r w:rsidRPr="00742176">
        <w:rPr>
          <w:lang w:eastAsia="en-AU"/>
        </w:rPr>
        <w:t xml:space="preserve">pted from section 4(2)(e) of the Queensland </w:t>
      </w:r>
      <w:r w:rsidRPr="00742176">
        <w:rPr>
          <w:i/>
          <w:lang w:eastAsia="en-AU"/>
        </w:rPr>
        <w:t>Domestic and Fami</w:t>
      </w:r>
      <w:r>
        <w:rPr>
          <w:i/>
          <w:lang w:eastAsia="en-AU"/>
        </w:rPr>
        <w:t xml:space="preserve">ly Violence Protection Act 2012 </w:t>
      </w:r>
      <w:r w:rsidRPr="00D67F25">
        <w:rPr>
          <w:lang w:eastAsia="en-AU"/>
        </w:rPr>
        <w:t>(Qld)</w:t>
      </w:r>
      <w:r>
        <w:rPr>
          <w:i/>
          <w:lang w:eastAsia="en-AU"/>
        </w:rPr>
        <w:t>.</w:t>
      </w:r>
    </w:p>
  </w:footnote>
  <w:footnote w:id="156">
    <w:p w14:paraId="06D0E39F" w14:textId="77777777" w:rsidR="00BD26A4" w:rsidRDefault="00BD26A4" w:rsidP="00E11F0F">
      <w:pPr>
        <w:pStyle w:val="FootnoteText"/>
      </w:pPr>
      <w:r>
        <w:rPr>
          <w:rStyle w:val="FootnoteReference"/>
        </w:rPr>
        <w:footnoteRef/>
      </w:r>
      <w:r>
        <w:t xml:space="preserve"> </w:t>
      </w:r>
      <w:r>
        <w:rPr>
          <w:lang w:eastAsia="en-AU"/>
        </w:rPr>
        <w:t xml:space="preserve">Adapted from section 10B(i) </w:t>
      </w:r>
      <w:r w:rsidRPr="00742176">
        <w:rPr>
          <w:lang w:eastAsia="en-AU"/>
        </w:rPr>
        <w:t xml:space="preserve">of the </w:t>
      </w:r>
      <w:r w:rsidRPr="00742176">
        <w:rPr>
          <w:i/>
          <w:lang w:eastAsia="en-AU"/>
        </w:rPr>
        <w:t>Restraining Orders Act 1997</w:t>
      </w:r>
      <w:r>
        <w:rPr>
          <w:lang w:eastAsia="en-AU"/>
        </w:rPr>
        <w:t xml:space="preserve"> (WA).</w:t>
      </w:r>
    </w:p>
  </w:footnote>
  <w:footnote w:id="157">
    <w:p w14:paraId="06E16615" w14:textId="77777777" w:rsidR="00BD26A4" w:rsidRPr="00B83C0C" w:rsidRDefault="00BD26A4" w:rsidP="009C1B7F">
      <w:pPr>
        <w:spacing w:after="0"/>
        <w:rPr>
          <w:i/>
        </w:rPr>
      </w:pPr>
      <w:r>
        <w:rPr>
          <w:rStyle w:val="FootnoteReference"/>
        </w:rPr>
        <w:footnoteRef/>
      </w:r>
      <w:r>
        <w:t xml:space="preserve"> </w:t>
      </w:r>
      <w:r w:rsidRPr="00B83C0C">
        <w:rPr>
          <w:sz w:val="20"/>
          <w:szCs w:val="20"/>
        </w:rPr>
        <w:t xml:space="preserve">Australian Law Reform Commission and New South Wales Law Reform Commission (2010) </w:t>
      </w:r>
      <w:r w:rsidRPr="00B83C0C">
        <w:rPr>
          <w:i/>
          <w:sz w:val="20"/>
          <w:szCs w:val="20"/>
        </w:rPr>
        <w:t>Family Violence: A National Legal Response, Final Report.</w:t>
      </w:r>
    </w:p>
  </w:footnote>
  <w:footnote w:id="158">
    <w:p w14:paraId="1015E6CF" w14:textId="77777777" w:rsidR="00BD26A4" w:rsidRDefault="00BD26A4" w:rsidP="009C1B7F">
      <w:pPr>
        <w:spacing w:after="0"/>
      </w:pPr>
      <w:r>
        <w:rPr>
          <w:rStyle w:val="FootnoteReference"/>
        </w:rPr>
        <w:footnoteRef/>
      </w:r>
      <w:r>
        <w:t xml:space="preserve"> </w:t>
      </w:r>
      <w:r w:rsidRPr="00B83C0C">
        <w:rPr>
          <w:sz w:val="20"/>
          <w:szCs w:val="20"/>
        </w:rPr>
        <w:t xml:space="preserve">Law Council of Australia (2021), </w:t>
      </w:r>
      <w:r w:rsidRPr="00B83C0C">
        <w:rPr>
          <w:i/>
          <w:sz w:val="20"/>
          <w:szCs w:val="20"/>
        </w:rPr>
        <w:t>Model definition of family violence</w:t>
      </w:r>
      <w:r w:rsidRPr="00B83C0C">
        <w:rPr>
          <w:sz w:val="20"/>
          <w:szCs w:val="20"/>
        </w:rPr>
        <w:t>, adopted by Directors, 27 November 2021.</w:t>
      </w:r>
    </w:p>
  </w:footnote>
  <w:footnote w:id="159">
    <w:p w14:paraId="38AD10B5" w14:textId="13D13A7C" w:rsidR="00BD26A4" w:rsidRDefault="00BD26A4" w:rsidP="009C1B7F">
      <w:pPr>
        <w:spacing w:after="0"/>
        <w:rPr>
          <w:lang w:eastAsia="en-AU"/>
        </w:rPr>
      </w:pPr>
      <w:r>
        <w:rPr>
          <w:rStyle w:val="FootnoteReference"/>
        </w:rPr>
        <w:footnoteRef/>
      </w:r>
      <w:r>
        <w:t xml:space="preserve"> </w:t>
      </w:r>
      <w:r>
        <w:rPr>
          <w:sz w:val="20"/>
          <w:szCs w:val="20"/>
          <w:lang w:eastAsia="en-AU"/>
        </w:rPr>
        <w:t>I</w:t>
      </w:r>
      <w:r w:rsidRPr="00862620">
        <w:rPr>
          <w:sz w:val="20"/>
          <w:szCs w:val="20"/>
          <w:lang w:eastAsia="en-AU"/>
        </w:rPr>
        <w:t>n 2021 the Law Council of Australia adopted a model definition of family violence in substantially similar te</w:t>
      </w:r>
      <w:r>
        <w:rPr>
          <w:sz w:val="20"/>
          <w:szCs w:val="20"/>
          <w:lang w:eastAsia="en-AU"/>
        </w:rPr>
        <w:t>rms to the Victorian definition, with some additional examples.</w:t>
      </w:r>
    </w:p>
  </w:footnote>
  <w:footnote w:id="160">
    <w:p w14:paraId="31C7AB76" w14:textId="77777777" w:rsidR="00BD26A4" w:rsidRDefault="00BD26A4" w:rsidP="006C7B04">
      <w:pPr>
        <w:pStyle w:val="FootnoteText"/>
      </w:pPr>
      <w:r>
        <w:rPr>
          <w:rStyle w:val="FootnoteReference"/>
        </w:rPr>
        <w:footnoteRef/>
      </w:r>
      <w:r>
        <w:t xml:space="preserve"> United Kingdom Home Office (2015), </w:t>
      </w:r>
      <w:r w:rsidRPr="002004A8">
        <w:rPr>
          <w:i/>
        </w:rPr>
        <w:t>Controlling or Coercive Behaviour in an Intimate or Family Relationship: Statutory Guidance Framework.</w:t>
      </w:r>
    </w:p>
  </w:footnote>
  <w:footnote w:id="161">
    <w:p w14:paraId="72C05B02" w14:textId="427CDE41" w:rsidR="00BD26A4" w:rsidRDefault="00BD26A4">
      <w:pPr>
        <w:pStyle w:val="FootnoteText"/>
      </w:pPr>
      <w:r>
        <w:rPr>
          <w:rStyle w:val="FootnoteReference"/>
        </w:rPr>
        <w:footnoteRef/>
      </w:r>
      <w:r>
        <w:t xml:space="preserve"> While these five illustrations of coercive control are adapted from the </w:t>
      </w:r>
      <w:r w:rsidRPr="007B7D96">
        <w:rPr>
          <w:i/>
          <w:iCs/>
          <w:lang w:eastAsia="en-AU"/>
        </w:rPr>
        <w:t>Domestic Abuse (Scotland) Act 2018</w:t>
      </w:r>
      <w:r>
        <w:rPr>
          <w:i/>
          <w:iCs/>
          <w:lang w:eastAsia="en-AU"/>
        </w:rPr>
        <w:t xml:space="preserve"> </w:t>
      </w:r>
      <w:r>
        <w:rPr>
          <w:lang w:eastAsia="en-AU"/>
        </w:rPr>
        <w:t>in a criminal law context it is proposed that they also provide a useful legislative definition for the purposes of the civil law DFVA.</w:t>
      </w:r>
    </w:p>
  </w:footnote>
  <w:footnote w:id="162">
    <w:p w14:paraId="5DB14882" w14:textId="6F0A8887" w:rsidR="00BD26A4" w:rsidRPr="00C91426" w:rsidRDefault="00BD26A4" w:rsidP="00C91426">
      <w:pPr>
        <w:rPr>
          <w:i/>
        </w:rPr>
      </w:pPr>
      <w:r>
        <w:rPr>
          <w:rStyle w:val="FootnoteReference"/>
        </w:rPr>
        <w:footnoteRef/>
      </w:r>
      <w:r>
        <w:t xml:space="preserve"> </w:t>
      </w:r>
      <w:r w:rsidRPr="00C91426">
        <w:rPr>
          <w:sz w:val="20"/>
          <w:szCs w:val="20"/>
        </w:rPr>
        <w:t xml:space="preserve">Northern Territory Government, Department of the Attorney-General and Justice (2016) </w:t>
      </w:r>
      <w:r w:rsidRPr="00C91426">
        <w:rPr>
          <w:i/>
          <w:sz w:val="20"/>
          <w:szCs w:val="20"/>
        </w:rPr>
        <w:t>Report on Consultation:  Review of the Domestic and Family Violence Act</w:t>
      </w:r>
      <w:r w:rsidRPr="00946E04">
        <w:rPr>
          <w:iCs/>
          <w:sz w:val="20"/>
          <w:szCs w:val="20"/>
        </w:rPr>
        <w:t xml:space="preserve"> (</w:t>
      </w:r>
      <w:r>
        <w:rPr>
          <w:iCs/>
          <w:sz w:val="20"/>
          <w:szCs w:val="20"/>
        </w:rPr>
        <w:t>2016 Consultation Report</w:t>
      </w:r>
      <w:r w:rsidRPr="00946E04">
        <w:rPr>
          <w:iCs/>
          <w:sz w:val="20"/>
          <w:szCs w:val="20"/>
        </w:rPr>
        <w:t>).</w:t>
      </w:r>
    </w:p>
  </w:footnote>
  <w:footnote w:id="163">
    <w:p w14:paraId="75379650" w14:textId="4DC3713E" w:rsidR="00BD26A4" w:rsidRDefault="00BD26A4">
      <w:pPr>
        <w:pStyle w:val="FootnoteText"/>
      </w:pPr>
      <w:r>
        <w:rPr>
          <w:rStyle w:val="FootnoteReference"/>
        </w:rPr>
        <w:footnoteRef/>
      </w:r>
      <w:r>
        <w:t xml:space="preserve"> Examples provided by the Domestic Violence Legal Service and quoted in the 2016 Consultation Report.</w:t>
      </w:r>
    </w:p>
  </w:footnote>
  <w:footnote w:id="164">
    <w:p w14:paraId="4400C6E5" w14:textId="2A723A42" w:rsidR="00BD26A4" w:rsidRDefault="00BD26A4" w:rsidP="00FD6D02">
      <w:pPr>
        <w:spacing w:after="0"/>
      </w:pPr>
      <w:r>
        <w:rPr>
          <w:rStyle w:val="FootnoteReference"/>
        </w:rPr>
        <w:footnoteRef/>
      </w:r>
      <w:r>
        <w:t xml:space="preserve"> </w:t>
      </w:r>
      <w:r w:rsidRPr="00AC4007">
        <w:rPr>
          <w:sz w:val="20"/>
          <w:szCs w:val="20"/>
        </w:rPr>
        <w:t xml:space="preserve">See for example </w:t>
      </w:r>
      <w:r>
        <w:rPr>
          <w:sz w:val="20"/>
          <w:szCs w:val="20"/>
        </w:rPr>
        <w:t xml:space="preserve">research by </w:t>
      </w:r>
      <w:r w:rsidRPr="00AC4007">
        <w:rPr>
          <w:sz w:val="20"/>
          <w:szCs w:val="20"/>
        </w:rPr>
        <w:t xml:space="preserve">Nancarrow et al. (2020); </w:t>
      </w:r>
      <w:r>
        <w:rPr>
          <w:sz w:val="20"/>
          <w:szCs w:val="20"/>
        </w:rPr>
        <w:t xml:space="preserve"> Also </w:t>
      </w:r>
      <w:r w:rsidRPr="00AC4007">
        <w:rPr>
          <w:sz w:val="20"/>
          <w:szCs w:val="20"/>
        </w:rPr>
        <w:t xml:space="preserve">Women’s Legal Service Victoria (2018), </w:t>
      </w:r>
      <w:r w:rsidRPr="00AC4007">
        <w:rPr>
          <w:i/>
          <w:sz w:val="20"/>
          <w:szCs w:val="20"/>
        </w:rPr>
        <w:t>“Officer she’s psychotic and I need protection”: Police misidentification of the ‘primary aggressor’ in family violence incidents in Victoria.</w:t>
      </w:r>
    </w:p>
  </w:footnote>
  <w:footnote w:id="165">
    <w:p w14:paraId="5A7E8C9B" w14:textId="77777777" w:rsidR="00BD26A4" w:rsidRDefault="00BD26A4" w:rsidP="004566BE">
      <w:pPr>
        <w:pStyle w:val="FootnoteText"/>
      </w:pPr>
      <w:r>
        <w:rPr>
          <w:rStyle w:val="FootnoteReference"/>
        </w:rPr>
        <w:footnoteRef/>
      </w:r>
      <w:r>
        <w:t xml:space="preserve"> </w:t>
      </w:r>
      <w:r w:rsidRPr="005B6BF5">
        <w:t>Richmond (2019)</w:t>
      </w:r>
      <w:r>
        <w:t>; Women’s Legal Service Victoria (2018)</w:t>
      </w:r>
    </w:p>
  </w:footnote>
  <w:footnote w:id="166">
    <w:p w14:paraId="47B2BD0D" w14:textId="23DB0610" w:rsidR="00BD26A4" w:rsidRDefault="00BD26A4" w:rsidP="00E90491">
      <w:pPr>
        <w:pStyle w:val="FootnoteText"/>
      </w:pPr>
      <w:r>
        <w:rPr>
          <w:rStyle w:val="FootnoteReference"/>
        </w:rPr>
        <w:footnoteRef/>
      </w:r>
      <w:r>
        <w:t xml:space="preserve"> See Nancarrow et al. (2020); Victorian Aboriginal Legal Service (2021)</w:t>
      </w:r>
    </w:p>
  </w:footnote>
  <w:footnote w:id="167">
    <w:p w14:paraId="36EBD90E" w14:textId="77777777" w:rsidR="00BD26A4" w:rsidRDefault="00BD26A4" w:rsidP="001B3161">
      <w:pPr>
        <w:pStyle w:val="FootnoteText"/>
      </w:pPr>
      <w:r>
        <w:rPr>
          <w:rStyle w:val="FootnoteReference"/>
        </w:rPr>
        <w:footnoteRef/>
      </w:r>
      <w:r>
        <w:t xml:space="preserve"> See cases, </w:t>
      </w:r>
      <w:r>
        <w:rPr>
          <w:i/>
        </w:rPr>
        <w:t>SRV v Commissioner of the Queensland Police Service &amp; Anor</w:t>
      </w:r>
      <w:r>
        <w:t xml:space="preserve"> [2020] QDC 208;</w:t>
      </w:r>
    </w:p>
    <w:p w14:paraId="6B14BBB6" w14:textId="44F99C3E" w:rsidR="00BD26A4" w:rsidRDefault="00BD26A4">
      <w:pPr>
        <w:pStyle w:val="FootnoteText"/>
      </w:pPr>
      <w:r w:rsidRPr="00085FAF">
        <w:rPr>
          <w:i/>
        </w:rPr>
        <w:t>GRP v</w:t>
      </w:r>
      <w:r>
        <w:rPr>
          <w:i/>
        </w:rPr>
        <w:t xml:space="preserve"> </w:t>
      </w:r>
      <w:r w:rsidRPr="00085FAF">
        <w:rPr>
          <w:i/>
        </w:rPr>
        <w:t>ABQ</w:t>
      </w:r>
      <w:r>
        <w:t xml:space="preserve"> [2020] QDC 272.</w:t>
      </w:r>
    </w:p>
  </w:footnote>
  <w:footnote w:id="168">
    <w:p w14:paraId="7CEC28D1" w14:textId="77777777" w:rsidR="00BD26A4" w:rsidRDefault="00BD26A4" w:rsidP="00BA4BA3">
      <w:pPr>
        <w:pStyle w:val="FootnoteText"/>
      </w:pPr>
      <w:r>
        <w:rPr>
          <w:rStyle w:val="FootnoteReference"/>
        </w:rPr>
        <w:footnoteRef/>
      </w:r>
      <w:r>
        <w:t xml:space="preserve"> Women’s Legal Service Victoria (2018) </w:t>
      </w:r>
    </w:p>
  </w:footnote>
  <w:footnote w:id="169">
    <w:p w14:paraId="0A0E8FA2" w14:textId="66D44DDA" w:rsidR="00BD26A4" w:rsidRDefault="00BD26A4">
      <w:pPr>
        <w:pStyle w:val="FootnoteText"/>
      </w:pPr>
      <w:r>
        <w:rPr>
          <w:rStyle w:val="FootnoteReference"/>
        </w:rPr>
        <w:footnoteRef/>
      </w:r>
      <w:r>
        <w:t xml:space="preserve"> Nancarrow et al (2020)</w:t>
      </w:r>
    </w:p>
  </w:footnote>
  <w:footnote w:id="170">
    <w:p w14:paraId="1FA0240E" w14:textId="77777777" w:rsidR="00BD26A4" w:rsidRDefault="00BD26A4" w:rsidP="00BD15AE">
      <w:pPr>
        <w:pStyle w:val="FootnoteText"/>
      </w:pPr>
      <w:r>
        <w:rPr>
          <w:rStyle w:val="FootnoteReference"/>
        </w:rPr>
        <w:footnoteRef/>
      </w:r>
      <w:r>
        <w:t xml:space="preserve"> Nancarrow et al (2020)</w:t>
      </w:r>
    </w:p>
  </w:footnote>
  <w:footnote w:id="171">
    <w:p w14:paraId="45571685" w14:textId="77777777" w:rsidR="00BD26A4" w:rsidRDefault="00BD26A4" w:rsidP="00BA4BA3">
      <w:pPr>
        <w:pStyle w:val="FootnoteText"/>
      </w:pPr>
      <w:r>
        <w:rPr>
          <w:rStyle w:val="FootnoteReference"/>
        </w:rPr>
        <w:footnoteRef/>
      </w:r>
      <w:r>
        <w:t xml:space="preserve"> The NT’s </w:t>
      </w:r>
      <w:r w:rsidRPr="00610AFF">
        <w:rPr>
          <w:i/>
        </w:rPr>
        <w:t>DFV Risk Assessment and Management Tool and Framework</w:t>
      </w:r>
      <w:r>
        <w:t>, has been authorised by the Minister in accordance with s124Q of the DFVA. All information sharing entities under Chapter 5A of the DFVA are required to ensure that their policies, procedures, practice guidance and tools relevant to the sharing of information align with the Framework (s124R)</w:t>
      </w:r>
    </w:p>
  </w:footnote>
  <w:footnote w:id="172">
    <w:p w14:paraId="033F3758" w14:textId="77777777" w:rsidR="00BD26A4" w:rsidRDefault="00BD26A4">
      <w:pPr>
        <w:pStyle w:val="FootnoteText"/>
      </w:pPr>
      <w:r>
        <w:rPr>
          <w:rStyle w:val="FootnoteReference"/>
        </w:rPr>
        <w:footnoteRef/>
      </w:r>
      <w:r>
        <w:t xml:space="preserve"> </w:t>
      </w:r>
      <w:r w:rsidRPr="007469CA">
        <w:t>AR v Hayes &amp; Anor [2019] NTSC 13</w:t>
      </w:r>
    </w:p>
  </w:footnote>
  <w:footnote w:id="173">
    <w:p w14:paraId="2B3AEBC9" w14:textId="77777777" w:rsidR="00BD26A4" w:rsidRDefault="00BD26A4">
      <w:pPr>
        <w:pStyle w:val="FootnoteText"/>
      </w:pPr>
      <w:r>
        <w:rPr>
          <w:rStyle w:val="FootnoteReference"/>
        </w:rPr>
        <w:footnoteRef/>
      </w:r>
      <w:r>
        <w:t xml:space="preserve"> </w:t>
      </w:r>
      <w:r w:rsidRPr="00737687">
        <w:rPr>
          <w:i/>
        </w:rPr>
        <w:t>Houseman v Higgins</w:t>
      </w:r>
      <w:r>
        <w:t xml:space="preserve"> [2015] NTSC 88, per Southwood J.</w:t>
      </w:r>
    </w:p>
  </w:footnote>
  <w:footnote w:id="174">
    <w:p w14:paraId="420DC5D9" w14:textId="2C6F90E0" w:rsidR="00BD26A4" w:rsidRDefault="00BD26A4">
      <w:pPr>
        <w:pStyle w:val="FootnoteText"/>
      </w:pPr>
      <w:r>
        <w:rPr>
          <w:rStyle w:val="FootnoteReference"/>
        </w:rPr>
        <w:footnoteRef/>
      </w:r>
      <w:r>
        <w:t xml:space="preserve"> Section 99 of the </w:t>
      </w:r>
      <w:r w:rsidRPr="000D1739">
        <w:rPr>
          <w:i/>
          <w:iCs/>
          <w:lang w:eastAsia="en-AU"/>
        </w:rPr>
        <w:t>Family Violence Protection Act 2008 (Vic)</w:t>
      </w:r>
      <w:r>
        <w:rPr>
          <w:lang w:eastAsia="en-AU"/>
        </w:rPr>
        <w:t xml:space="preserve"> provides that if no period it specified in the order it continues until it is revoked or set aside on appeal (that is, indefinitely). It is proposed that in the NT if the period is not specified in the order it continues for 5 years with separate provisions for indefinite orders in certain circumstances along the lines of section 79B of the </w:t>
      </w:r>
      <w:r w:rsidRPr="007B7C1A">
        <w:rPr>
          <w:b/>
          <w:bCs/>
          <w:i/>
        </w:rPr>
        <w:t>Crimes (Domestic and Personal Violence) Act 2007 (NSW)</w:t>
      </w:r>
      <w:r>
        <w:rPr>
          <w:b/>
          <w:bCs/>
          <w:i/>
        </w:rPr>
        <w:t xml:space="preserve"> – </w:t>
      </w:r>
      <w:r w:rsidRPr="00173C5D">
        <w:rPr>
          <w:b/>
          <w:bCs/>
        </w:rPr>
        <w:t>S</w:t>
      </w:r>
      <w:r w:rsidRPr="00173C5D">
        <w:rPr>
          <w:bCs/>
        </w:rPr>
        <w:t xml:space="preserve">ee </w:t>
      </w:r>
      <w:r w:rsidRPr="00E670E5">
        <w:rPr>
          <w:bCs/>
        </w:rPr>
        <w:t>A</w:t>
      </w:r>
      <w:r w:rsidRPr="00173C5D">
        <w:rPr>
          <w:bCs/>
        </w:rPr>
        <w:t>ttachment</w:t>
      </w:r>
      <w:r w:rsidR="008A4C9F">
        <w:rPr>
          <w:bCs/>
        </w:rPr>
        <w:t xml:space="preserve"> 7</w:t>
      </w:r>
      <w:r>
        <w:rPr>
          <w:bCs/>
        </w:rPr>
        <w:t>.7.</w:t>
      </w:r>
      <w:r>
        <w:rPr>
          <w:b/>
          <w:bCs/>
          <w:i/>
        </w:rPr>
        <w:t xml:space="preserve"> </w:t>
      </w:r>
    </w:p>
  </w:footnote>
  <w:footnote w:id="175">
    <w:p w14:paraId="0E743612" w14:textId="77777777" w:rsidR="00BD26A4" w:rsidRDefault="00BD26A4" w:rsidP="00F42E36">
      <w:r>
        <w:rPr>
          <w:rStyle w:val="FootnoteReference"/>
        </w:rPr>
        <w:footnoteRef/>
      </w:r>
      <w:r>
        <w:t xml:space="preserve"> </w:t>
      </w:r>
      <w:r w:rsidRPr="00F42E36">
        <w:rPr>
          <w:sz w:val="20"/>
          <w:szCs w:val="20"/>
        </w:rPr>
        <w:t xml:space="preserve">Nancarrow, H, Thomas, K., Ringland, V. and Modini, T. (2020), </w:t>
      </w:r>
      <w:r w:rsidRPr="00F42E36">
        <w:rPr>
          <w:i/>
          <w:sz w:val="20"/>
          <w:szCs w:val="20"/>
        </w:rPr>
        <w:t xml:space="preserve">Accurately identifying the “person most in need of protection” in domestic and family violence law. </w:t>
      </w:r>
      <w:r w:rsidRPr="00F42E36">
        <w:rPr>
          <w:sz w:val="20"/>
          <w:szCs w:val="20"/>
        </w:rPr>
        <w:t>Australian National Research Organisation on Women’s Safety (ANROWS) (Research Report 23/2020).</w:t>
      </w:r>
    </w:p>
  </w:footnote>
  <w:footnote w:id="176">
    <w:p w14:paraId="5D5CEABC" w14:textId="77777777" w:rsidR="00BD26A4" w:rsidRDefault="00BD26A4" w:rsidP="0037490B">
      <w:pPr>
        <w:pStyle w:val="FootnoteText"/>
      </w:pPr>
      <w:r>
        <w:rPr>
          <w:rStyle w:val="FootnoteReference"/>
        </w:rPr>
        <w:footnoteRef/>
      </w:r>
      <w:r>
        <w:t xml:space="preserve"> Atkinson v Bardon &amp; Ors [2018] NTSC 9, at paragraph 51.</w:t>
      </w:r>
    </w:p>
  </w:footnote>
  <w:footnote w:id="177">
    <w:p w14:paraId="57985065" w14:textId="77777777" w:rsidR="00BD26A4" w:rsidRDefault="00BD26A4" w:rsidP="008A28F1">
      <w:pPr>
        <w:pStyle w:val="FootnoteText"/>
      </w:pPr>
      <w:r>
        <w:rPr>
          <w:rStyle w:val="FootnoteReference"/>
        </w:rPr>
        <w:footnoteRef/>
      </w:r>
      <w:r>
        <w:t xml:space="preserve"> </w:t>
      </w:r>
      <w:r w:rsidRPr="00386AC4">
        <w:rPr>
          <w:i/>
        </w:rPr>
        <w:t>Pizanias v Sultana [2020] NTLC 016</w:t>
      </w:r>
      <w:r>
        <w:t>, at paragraphs 24 and 40.</w:t>
      </w:r>
    </w:p>
  </w:footnote>
  <w:footnote w:id="178">
    <w:p w14:paraId="0DAB2FF4" w14:textId="481C779A" w:rsidR="00BD26A4" w:rsidRDefault="00BD26A4">
      <w:pPr>
        <w:pStyle w:val="FootnoteText"/>
      </w:pPr>
      <w:r>
        <w:rPr>
          <w:rStyle w:val="FootnoteReference"/>
        </w:rPr>
        <w:footnoteRef/>
      </w:r>
      <w:r>
        <w:t xml:space="preserve"> </w:t>
      </w:r>
      <w:r w:rsidRPr="0014126A">
        <w:rPr>
          <w:i/>
          <w:lang w:eastAsia="en-AU"/>
        </w:rPr>
        <w:t>Arnott v Beams &amp; Anor [2022]</w:t>
      </w:r>
      <w:r w:rsidRPr="00913B14">
        <w:rPr>
          <w:lang w:eastAsia="en-AU"/>
        </w:rPr>
        <w:t xml:space="preserve"> NTSC 25</w:t>
      </w:r>
    </w:p>
  </w:footnote>
  <w:footnote w:id="179">
    <w:p w14:paraId="1B4B15ED" w14:textId="7DB8A001" w:rsidR="00BD26A4" w:rsidRDefault="00BD26A4">
      <w:pPr>
        <w:pStyle w:val="FootnoteText"/>
      </w:pPr>
      <w:r>
        <w:rPr>
          <w:rStyle w:val="FootnoteReference"/>
        </w:rPr>
        <w:footnoteRef/>
      </w:r>
      <w:r>
        <w:t xml:space="preserve"> However, see </w:t>
      </w:r>
      <w:r w:rsidRPr="00AA6D74">
        <w:rPr>
          <w:i/>
        </w:rPr>
        <w:t>Police v Panwar</w:t>
      </w:r>
      <w:r>
        <w:t xml:space="preserve"> (17 November 2017). Following an oral application by the defendant, a section 41 police DVO was varied on an interim basis in the terms sought by the defendant. Although the protected person was initially present in court, and indicated her consent to the proposed variations, the court orders were subsequently made in her absence. The court ruled that it was possible for a court to vary a police DVO on an interim basis (ie without first confirming the police DVO) pursuant to the powers under Part 2.9.</w:t>
      </w:r>
    </w:p>
  </w:footnote>
  <w:footnote w:id="180">
    <w:p w14:paraId="123176F1" w14:textId="0C4EB443" w:rsidR="00BD26A4" w:rsidRPr="00B95B11" w:rsidRDefault="00BD26A4" w:rsidP="00173C5D">
      <w:pPr>
        <w:rPr>
          <w:b/>
          <w:bCs/>
        </w:rPr>
      </w:pPr>
      <w:r>
        <w:rPr>
          <w:rStyle w:val="FootnoteReference"/>
        </w:rPr>
        <w:footnoteRef/>
      </w:r>
      <w:r>
        <w:t xml:space="preserve"> </w:t>
      </w:r>
      <w:r w:rsidRPr="00173C5D">
        <w:rPr>
          <w:sz w:val="20"/>
          <w:szCs w:val="20"/>
        </w:rPr>
        <w:t xml:space="preserve">Note that Proposal 10 is to amend section 19 along the lines: </w:t>
      </w:r>
      <w:r w:rsidRPr="00173C5D">
        <w:rPr>
          <w:bCs/>
          <w:sz w:val="20"/>
          <w:szCs w:val="20"/>
        </w:rPr>
        <w:t>‘In deciding whether to make a DVO, and in deciding the terms of a DVO, the issuing authority must consider the safety and protection of the protected person and any children to be of paramount importance.</w:t>
      </w:r>
      <w:r w:rsidRPr="00173C5D">
        <w:rPr>
          <w:b/>
          <w:bCs/>
        </w:rPr>
        <w:t xml:space="preserve"> </w:t>
      </w:r>
    </w:p>
    <w:p w14:paraId="09160B16" w14:textId="3A993910" w:rsidR="00BD26A4" w:rsidRDefault="00BD26A4">
      <w:pPr>
        <w:pStyle w:val="FootnoteText"/>
      </w:pPr>
    </w:p>
  </w:footnote>
  <w:footnote w:id="181">
    <w:p w14:paraId="2A94E038" w14:textId="77777777" w:rsidR="00BD26A4" w:rsidRDefault="00BD26A4" w:rsidP="00FA4FCF">
      <w:pPr>
        <w:pStyle w:val="FootnoteText"/>
      </w:pPr>
      <w:r>
        <w:rPr>
          <w:rStyle w:val="FootnoteReference"/>
        </w:rPr>
        <w:footnoteRef/>
      </w:r>
      <w:r>
        <w:t xml:space="preserve"> KPMG (2012) </w:t>
      </w:r>
      <w:r w:rsidRPr="00F77961">
        <w:rPr>
          <w:i/>
        </w:rPr>
        <w:t>Evaluation of the impact of mandatory reporting of domestic and family violence</w:t>
      </w:r>
      <w:r>
        <w:t>, for the Northern Territory Department of Children and Families, August 2012.</w:t>
      </w:r>
    </w:p>
  </w:footnote>
  <w:footnote w:id="182">
    <w:p w14:paraId="2C6A83E2" w14:textId="77777777" w:rsidR="00BD26A4" w:rsidRDefault="00BD26A4" w:rsidP="00FA4FCF">
      <w:pPr>
        <w:pStyle w:val="FootnoteText"/>
      </w:pPr>
      <w:r>
        <w:rPr>
          <w:rStyle w:val="FootnoteReference"/>
        </w:rPr>
        <w:footnoteRef/>
      </w:r>
      <w:r>
        <w:t xml:space="preserve"> Australian Law Reform Commission and NSW Law Reform Commission (2010), Family Violence – A National Legal Response, Final Report, October 2010.</w:t>
      </w:r>
    </w:p>
  </w:footnote>
  <w:footnote w:id="183">
    <w:p w14:paraId="29D94328" w14:textId="6D87FCAA" w:rsidR="00BD26A4" w:rsidRDefault="00BD26A4" w:rsidP="00FA4FCF">
      <w:pPr>
        <w:pStyle w:val="FootnoteText"/>
      </w:pPr>
      <w:r>
        <w:rPr>
          <w:rStyle w:val="FootnoteReference"/>
        </w:rPr>
        <w:footnoteRef/>
      </w:r>
      <w:r>
        <w:t xml:space="preserve"> </w:t>
      </w:r>
      <w:r w:rsidRPr="00F4291A">
        <w:t>https://www.abs.gov.au/statistics/people/crime-and-justice/recorded-crime-victims/2020</w:t>
      </w:r>
    </w:p>
  </w:footnote>
  <w:footnote w:id="184">
    <w:p w14:paraId="0EF2135A" w14:textId="77777777" w:rsidR="00BD26A4" w:rsidRDefault="00BD26A4" w:rsidP="00FA4FCF">
      <w:pPr>
        <w:pStyle w:val="FootnoteText"/>
      </w:pPr>
      <w:r>
        <w:rPr>
          <w:rStyle w:val="FootnoteReference"/>
        </w:rPr>
        <w:footnoteRef/>
      </w:r>
      <w:r w:rsidRPr="00B84CAC">
        <w:t xml:space="preserve"> </w:t>
      </w:r>
      <w:r w:rsidRPr="00B84CAC">
        <w:rPr>
          <w:i/>
        </w:rPr>
        <w:t>Firth v Namarnyilk</w:t>
      </w:r>
      <w:r w:rsidRPr="00B84CAC">
        <w:t xml:space="preserve"> – [2021] NTSC 75</w:t>
      </w:r>
      <w:r>
        <w:t>, Barr, J.</w:t>
      </w:r>
    </w:p>
  </w:footnote>
  <w:footnote w:id="185">
    <w:p w14:paraId="77DD118C" w14:textId="77777777" w:rsidR="00BD26A4" w:rsidRPr="00C0250A" w:rsidRDefault="00BD26A4" w:rsidP="00C0250A">
      <w:pPr>
        <w:rPr>
          <w:i/>
        </w:rPr>
      </w:pPr>
      <w:r>
        <w:rPr>
          <w:rStyle w:val="FootnoteReference"/>
        </w:rPr>
        <w:footnoteRef/>
      </w:r>
      <w:r>
        <w:t xml:space="preserve"> </w:t>
      </w:r>
      <w:r w:rsidRPr="00C0250A">
        <w:rPr>
          <w:sz w:val="20"/>
          <w:szCs w:val="20"/>
        </w:rPr>
        <w:t xml:space="preserve">Australian National Research Organisation on Women’s Safety (ANROWS) (2018), </w:t>
      </w:r>
      <w:r w:rsidRPr="00C0250A">
        <w:rPr>
          <w:i/>
          <w:sz w:val="20"/>
          <w:szCs w:val="20"/>
        </w:rPr>
        <w:t>National Risk Assessment Principles for Family and Domestic Violence: Quick Reference Guide for Practitioners.</w:t>
      </w:r>
      <w:r>
        <w:rPr>
          <w:i/>
        </w:rPr>
        <w:t xml:space="preserve"> </w:t>
      </w:r>
    </w:p>
  </w:footnote>
  <w:footnote w:id="186">
    <w:p w14:paraId="6FB4FABA" w14:textId="36A5EBA8" w:rsidR="00BD26A4" w:rsidRDefault="00BD26A4">
      <w:pPr>
        <w:pStyle w:val="FootnoteText"/>
      </w:pPr>
      <w:r>
        <w:rPr>
          <w:rStyle w:val="FootnoteReference"/>
        </w:rPr>
        <w:footnoteRef/>
      </w:r>
      <w:r>
        <w:t xml:space="preserve"> </w:t>
      </w:r>
      <w:hyperlink r:id="rId17" w:history="1">
        <w:r w:rsidRPr="00CD3390">
          <w:rPr>
            <w:rStyle w:val="Hyperlink"/>
          </w:rPr>
          <w:t>https://justice.nt.gov.au/__data/assets/pdf_file/0010/718147/Charter-of-Victims-Rights-August-2019.pdf</w:t>
        </w:r>
      </w:hyperlink>
    </w:p>
    <w:p w14:paraId="10BAC28E" w14:textId="77777777" w:rsidR="00BD26A4" w:rsidRDefault="00BD26A4">
      <w:pPr>
        <w:pStyle w:val="FootnoteText"/>
      </w:pPr>
    </w:p>
  </w:footnote>
  <w:footnote w:id="187">
    <w:p w14:paraId="6479FB7E" w14:textId="01D07B70" w:rsidR="00BD26A4" w:rsidRDefault="00BD26A4">
      <w:pPr>
        <w:pStyle w:val="FootnoteText"/>
      </w:pPr>
      <w:r>
        <w:rPr>
          <w:rStyle w:val="FootnoteReference"/>
        </w:rPr>
        <w:footnoteRef/>
      </w:r>
      <w:r>
        <w:t xml:space="preserve"> </w:t>
      </w:r>
      <w:r w:rsidRPr="00B5259F">
        <w:t xml:space="preserve">Parliament of New South Wales, Joint Select Committee on Coercive Control (2021), </w:t>
      </w:r>
      <w:r w:rsidRPr="00B5259F">
        <w:rPr>
          <w:i/>
        </w:rPr>
        <w:t xml:space="preserve">Coercive control in domestic relationships, </w:t>
      </w:r>
      <w:r w:rsidRPr="00B5259F">
        <w:t>Report 1/57 – June 2021.</w:t>
      </w:r>
    </w:p>
  </w:footnote>
  <w:footnote w:id="188">
    <w:p w14:paraId="643AE5E2" w14:textId="01F8502A" w:rsidR="00BD26A4" w:rsidRDefault="00BD26A4">
      <w:pPr>
        <w:pStyle w:val="FootnoteText"/>
      </w:pPr>
      <w:r>
        <w:rPr>
          <w:rStyle w:val="FootnoteReference"/>
        </w:rPr>
        <w:footnoteRef/>
      </w:r>
      <w:r>
        <w:t xml:space="preserve"> </w:t>
      </w:r>
      <w:r w:rsidRPr="00945D6F">
        <w:t xml:space="preserve">Queensland Women’s Safety and Justice Taskforce (2021), </w:t>
      </w:r>
      <w:r w:rsidRPr="00945D6F">
        <w:rPr>
          <w:i/>
        </w:rPr>
        <w:t>Hear her voice: Addressing coercive control and domestic violence in Queensland</w:t>
      </w:r>
      <w:r w:rsidRPr="00945D6F">
        <w:t xml:space="preserve"> (Volume 1, 2 and 3).</w:t>
      </w:r>
    </w:p>
  </w:footnote>
  <w:footnote w:id="189">
    <w:p w14:paraId="19847033" w14:textId="65726D88" w:rsidR="00BD26A4" w:rsidRDefault="00BD26A4">
      <w:pPr>
        <w:pStyle w:val="FootnoteText"/>
      </w:pPr>
      <w:r>
        <w:rPr>
          <w:rStyle w:val="FootnoteReference"/>
        </w:rPr>
        <w:footnoteRef/>
      </w:r>
      <w:r>
        <w:t xml:space="preserve"> 2016 Consultation Report, at page 132 and 133.</w:t>
      </w:r>
    </w:p>
  </w:footnote>
  <w:footnote w:id="190">
    <w:p w14:paraId="0784E9CA" w14:textId="77777777" w:rsidR="00BD26A4" w:rsidRDefault="00BD26A4" w:rsidP="006F6806">
      <w:pPr>
        <w:pStyle w:val="FootnoteText"/>
      </w:pPr>
      <w:r>
        <w:rPr>
          <w:rStyle w:val="FootnoteReference"/>
        </w:rPr>
        <w:footnoteRef/>
      </w:r>
      <w:r>
        <w:t xml:space="preserve"> </w:t>
      </w:r>
      <w:r w:rsidRPr="00A95F68">
        <w:t>Webster et al., 2018</w:t>
      </w:r>
      <w:r>
        <w:t>, in ANROWS (2021) at page 2.</w:t>
      </w:r>
    </w:p>
  </w:footnote>
  <w:footnote w:id="191">
    <w:p w14:paraId="4E5271ED" w14:textId="36F8F1F2" w:rsidR="00BD26A4" w:rsidRDefault="00BD26A4">
      <w:pPr>
        <w:pStyle w:val="FootnoteText"/>
      </w:pPr>
      <w:r>
        <w:rPr>
          <w:rStyle w:val="FootnoteReference"/>
        </w:rPr>
        <w:footnoteRef/>
      </w:r>
      <w:r>
        <w:t xml:space="preserve"> Recommendation 64 of the Queensland Women’s Safety and Justice Taskforce Report, at p. 697.</w:t>
      </w:r>
    </w:p>
  </w:footnote>
  <w:footnote w:id="192">
    <w:p w14:paraId="7AB438A4" w14:textId="77777777" w:rsidR="00BD26A4" w:rsidRDefault="00BD26A4" w:rsidP="00F26093">
      <w:pPr>
        <w:pStyle w:val="FootnoteText"/>
      </w:pPr>
      <w:r>
        <w:rPr>
          <w:rStyle w:val="FootnoteReference"/>
        </w:rPr>
        <w:footnoteRef/>
      </w:r>
      <w:r>
        <w:t xml:space="preserve"> NSW 2021, at p. 45.</w:t>
      </w:r>
    </w:p>
  </w:footnote>
  <w:footnote w:id="193">
    <w:p w14:paraId="6EEDD407" w14:textId="77777777" w:rsidR="00BD26A4" w:rsidRDefault="00BD26A4" w:rsidP="00F26093">
      <w:pPr>
        <w:pStyle w:val="FootnoteText"/>
      </w:pPr>
      <w:r>
        <w:rPr>
          <w:rStyle w:val="FootnoteReference"/>
        </w:rPr>
        <w:footnoteRef/>
      </w:r>
      <w:r>
        <w:t xml:space="preserve"> ANROWS submission quoted by the NSW Inquiry (2021), at p.45</w:t>
      </w:r>
    </w:p>
  </w:footnote>
  <w:footnote w:id="194">
    <w:p w14:paraId="34EBF27A" w14:textId="1D60B6D6" w:rsidR="00BD26A4" w:rsidRPr="00B4679E" w:rsidRDefault="00BD26A4" w:rsidP="00693A7B">
      <w:pPr>
        <w:spacing w:after="0"/>
        <w:rPr>
          <w:rFonts w:asciiTheme="minorHAnsi" w:hAnsiTheme="minorHAnsi"/>
          <w:sz w:val="20"/>
          <w:szCs w:val="20"/>
        </w:rPr>
      </w:pPr>
      <w:r>
        <w:rPr>
          <w:rStyle w:val="FootnoteReference"/>
        </w:rPr>
        <w:footnoteRef/>
      </w:r>
      <w:r>
        <w:t xml:space="preserve"> </w:t>
      </w:r>
      <w:r w:rsidRPr="00D957C4">
        <w:rPr>
          <w:rFonts w:asciiTheme="minorHAnsi" w:hAnsiTheme="minorHAnsi"/>
          <w:sz w:val="20"/>
          <w:szCs w:val="20"/>
        </w:rPr>
        <w:t xml:space="preserve">Queensland Women’s Safety and Justice Taskforce (2021), </w:t>
      </w:r>
      <w:r w:rsidRPr="00D957C4">
        <w:rPr>
          <w:rFonts w:asciiTheme="minorHAnsi" w:hAnsiTheme="minorHAnsi"/>
          <w:i/>
          <w:sz w:val="20"/>
          <w:szCs w:val="20"/>
        </w:rPr>
        <w:t>Hear her voice: Addressing coercive control and domestic violence in Queensland</w:t>
      </w:r>
      <w:r>
        <w:rPr>
          <w:rFonts w:asciiTheme="minorHAnsi" w:hAnsiTheme="minorHAnsi"/>
          <w:sz w:val="20"/>
          <w:szCs w:val="20"/>
        </w:rPr>
        <w:t xml:space="preserve"> (Volume 1, 2 and 3).</w:t>
      </w:r>
    </w:p>
  </w:footnote>
  <w:footnote w:id="195">
    <w:p w14:paraId="5AC1F561" w14:textId="77777777" w:rsidR="00BD26A4" w:rsidRDefault="00BD26A4" w:rsidP="00F26093">
      <w:pPr>
        <w:spacing w:after="0"/>
      </w:pPr>
      <w:r>
        <w:rPr>
          <w:rStyle w:val="FootnoteReference"/>
        </w:rPr>
        <w:footnoteRef/>
      </w:r>
      <w:r>
        <w:t xml:space="preserve"> </w:t>
      </w:r>
      <w:r w:rsidRPr="00AC6B36">
        <w:rPr>
          <w:sz w:val="20"/>
          <w:szCs w:val="20"/>
        </w:rPr>
        <w:t xml:space="preserve">Government of South Australia, Attorney-General’s Department (2022), </w:t>
      </w:r>
      <w:r w:rsidRPr="00AC6B36">
        <w:rPr>
          <w:i/>
          <w:sz w:val="20"/>
          <w:szCs w:val="20"/>
        </w:rPr>
        <w:t>Discussion Paper: Implementation considerations should coercive control be criminalised in South Australia</w:t>
      </w:r>
      <w:r w:rsidRPr="00AC6B36">
        <w:rPr>
          <w:sz w:val="20"/>
          <w:szCs w:val="20"/>
        </w:rPr>
        <w:t>.</w:t>
      </w:r>
    </w:p>
  </w:footnote>
  <w:footnote w:id="196">
    <w:p w14:paraId="5DEF79E1" w14:textId="77777777" w:rsidR="00BD26A4" w:rsidRDefault="00BD26A4" w:rsidP="00F26093">
      <w:pPr>
        <w:spacing w:after="0"/>
      </w:pPr>
      <w:r>
        <w:rPr>
          <w:rStyle w:val="FootnoteReference"/>
        </w:rPr>
        <w:footnoteRef/>
      </w:r>
      <w:r>
        <w:t xml:space="preserve"> </w:t>
      </w:r>
      <w:r w:rsidRPr="00742E59">
        <w:rPr>
          <w:sz w:val="20"/>
          <w:szCs w:val="20"/>
        </w:rPr>
        <w:t xml:space="preserve">State of Victoria, </w:t>
      </w:r>
      <w:r w:rsidRPr="00742E59">
        <w:rPr>
          <w:i/>
          <w:sz w:val="20"/>
          <w:szCs w:val="20"/>
        </w:rPr>
        <w:t>Royal Commission into Family Violence</w:t>
      </w:r>
      <w:r>
        <w:rPr>
          <w:sz w:val="20"/>
          <w:szCs w:val="20"/>
        </w:rPr>
        <w:t xml:space="preserve"> (2016) at p.27.  Also quoted in Douglas (2021).</w:t>
      </w:r>
    </w:p>
  </w:footnote>
  <w:footnote w:id="197">
    <w:p w14:paraId="7DFFBB4F" w14:textId="77777777" w:rsidR="00BD26A4" w:rsidRDefault="00BD26A4" w:rsidP="009C6C5B">
      <w:pPr>
        <w:pStyle w:val="FootnoteText"/>
      </w:pPr>
      <w:r>
        <w:rPr>
          <w:rStyle w:val="FootnoteReference"/>
        </w:rPr>
        <w:footnoteRef/>
      </w:r>
      <w:r>
        <w:t xml:space="preserve"> </w:t>
      </w:r>
      <w:r w:rsidRPr="00A36CEB">
        <w:rPr>
          <w:i/>
          <w:iCs/>
        </w:rPr>
        <w:t>Inquest into the death of Roberta Judy Curry [2022] NTLC 010</w:t>
      </w:r>
      <w:r>
        <w:t>, at paragraph 65.</w:t>
      </w:r>
    </w:p>
  </w:footnote>
  <w:footnote w:id="198">
    <w:p w14:paraId="218E71FE" w14:textId="77777777" w:rsidR="00BD26A4" w:rsidRDefault="00BD26A4" w:rsidP="00A60741">
      <w:pPr>
        <w:pStyle w:val="FootnoteText"/>
      </w:pPr>
      <w:r>
        <w:rPr>
          <w:rStyle w:val="FootnoteReference"/>
        </w:rPr>
        <w:footnoteRef/>
      </w:r>
      <w:r>
        <w:t xml:space="preserve"> Derived from the CJRSU’s monthly prisoner census database. IOMS and IJIS in August 2021.</w:t>
      </w:r>
    </w:p>
  </w:footnote>
  <w:footnote w:id="199">
    <w:p w14:paraId="5769C394" w14:textId="77777777" w:rsidR="00BD26A4" w:rsidRDefault="00BD26A4" w:rsidP="00A60741">
      <w:pPr>
        <w:pStyle w:val="FootnoteText"/>
      </w:pPr>
      <w:r>
        <w:rPr>
          <w:rStyle w:val="FootnoteReference"/>
        </w:rPr>
        <w:footnoteRef/>
      </w:r>
      <w:r>
        <w:t xml:space="preserve"> From </w:t>
      </w:r>
      <w:r w:rsidRPr="009B4128">
        <w:t xml:space="preserve">CJRSU’s monthly </w:t>
      </w:r>
      <w:r>
        <w:t>prisoner</w:t>
      </w:r>
      <w:r w:rsidRPr="009B4128">
        <w:t xml:space="preserve"> census database.</w:t>
      </w:r>
    </w:p>
  </w:footnote>
  <w:footnote w:id="200">
    <w:p w14:paraId="09CFDC32" w14:textId="62E20A5B" w:rsidR="00BD26A4" w:rsidRDefault="00BD26A4" w:rsidP="00756A00">
      <w:pPr>
        <w:pStyle w:val="FootnoteText"/>
      </w:pPr>
      <w:r>
        <w:rPr>
          <w:rStyle w:val="FootnoteReference"/>
        </w:rPr>
        <w:footnoteRef/>
      </w:r>
      <w:r>
        <w:t xml:space="preserve"> </w:t>
      </w:r>
      <w:hyperlink r:id="rId18" w:history="1">
        <w:r w:rsidRPr="00974082">
          <w:rPr>
            <w:rStyle w:val="Hyperlink"/>
          </w:rPr>
          <w:t>https://justice.nt.gov.au/attorney-general-and-justice/northern-territory-aboriginal-justice-agreement</w:t>
        </w:r>
      </w:hyperlink>
    </w:p>
  </w:footnote>
  <w:footnote w:id="201">
    <w:p w14:paraId="4CE115AE" w14:textId="6DCDDEA8" w:rsidR="00BD26A4" w:rsidRDefault="00BD26A4">
      <w:pPr>
        <w:pStyle w:val="FootnoteText"/>
      </w:pPr>
      <w:r>
        <w:rPr>
          <w:rStyle w:val="FootnoteReference"/>
        </w:rPr>
        <w:footnoteRef/>
      </w:r>
      <w:r>
        <w:t xml:space="preserve"> See for example, Blagg, H, Tulich, T, Hovane, V, Raye, D, Worrigal, T, and May, S (2020) Understanding the role of Law and Culture in Aboriginal and Torres Strait Islander communities in responding to and preventing family violence, Ngarluma/Jaru/Gooniyandi (Hovane), Kimberly and Pilbara region, WA, Jabirr Jabirr/Bardi (Raye), Dampier Peninsula and Kimberly Region, WA, Gooniyandi/Gija (Worrigal), Kimberly region, WA (Research Report, 19/2020. Sydney: ANROWS.</w:t>
      </w:r>
    </w:p>
  </w:footnote>
  <w:footnote w:id="202">
    <w:p w14:paraId="5C5E17A5" w14:textId="77777777" w:rsidR="00BD26A4" w:rsidRDefault="00BD26A4" w:rsidP="005879D1">
      <w:pPr>
        <w:pStyle w:val="FootnoteText"/>
      </w:pPr>
      <w:r>
        <w:rPr>
          <w:rStyle w:val="FootnoteReference"/>
        </w:rPr>
        <w:footnoteRef/>
      </w:r>
      <w:r>
        <w:t xml:space="preserve"> Richmond (2019)</w:t>
      </w:r>
    </w:p>
  </w:footnote>
  <w:footnote w:id="203">
    <w:p w14:paraId="3E422DF9" w14:textId="0F4907DF" w:rsidR="00BD26A4" w:rsidRDefault="00BD26A4">
      <w:pPr>
        <w:pStyle w:val="FootnoteText"/>
      </w:pPr>
      <w:r>
        <w:rPr>
          <w:rStyle w:val="FootnoteReference"/>
        </w:rPr>
        <w:footnoteRef/>
      </w:r>
      <w:r>
        <w:t xml:space="preserve"> Richmond (2019), at p. 2.</w:t>
      </w:r>
    </w:p>
  </w:footnote>
  <w:footnote w:id="204">
    <w:p w14:paraId="0166A48F" w14:textId="47A82CA8" w:rsidR="00BD26A4" w:rsidRDefault="00BD26A4">
      <w:pPr>
        <w:pStyle w:val="FootnoteText"/>
      </w:pPr>
      <w:r>
        <w:rPr>
          <w:rStyle w:val="FootnoteReference"/>
        </w:rPr>
        <w:footnoteRef/>
      </w:r>
      <w:r>
        <w:t xml:space="preserve"> This point was made at the National Women’s Safety Summit in 2021, and the NT DFV victim journey mapping workshop, and numerous publications, including ANROWS (2020) </w:t>
      </w:r>
      <w:r w:rsidRPr="00CF3E37">
        <w:rPr>
          <w:i/>
          <w:iCs/>
        </w:rPr>
        <w:t>Improving family violence legal and support services for Aboriginal and Torres Strait Islander peoples: Key findings and future directions</w:t>
      </w:r>
      <w:r>
        <w:t xml:space="preserve"> (Research to policy and practice, 25-26/2020.) </w:t>
      </w:r>
    </w:p>
  </w:footnote>
  <w:footnote w:id="205">
    <w:p w14:paraId="6FBA1228" w14:textId="258C641E" w:rsidR="00BD26A4" w:rsidRDefault="00BD26A4">
      <w:pPr>
        <w:pStyle w:val="FootnoteText"/>
      </w:pPr>
      <w:r>
        <w:rPr>
          <w:rStyle w:val="FootnoteReference"/>
        </w:rPr>
        <w:footnoteRef/>
      </w:r>
      <w:r>
        <w:t xml:space="preserve"> And responses will be aligned with the NT’s Risk Assessment and Management Framework.</w:t>
      </w:r>
    </w:p>
  </w:footnote>
  <w:footnote w:id="206">
    <w:p w14:paraId="07079144" w14:textId="77777777" w:rsidR="00BD26A4" w:rsidRPr="00CF6CA9" w:rsidRDefault="00BD26A4" w:rsidP="00D95DD2">
      <w:pPr>
        <w:spacing w:after="0"/>
        <w:rPr>
          <w:rFonts w:asciiTheme="minorHAnsi" w:hAnsiTheme="minorHAnsi"/>
          <w:i/>
          <w:sz w:val="20"/>
          <w:szCs w:val="20"/>
        </w:rPr>
      </w:pPr>
      <w:r>
        <w:rPr>
          <w:rStyle w:val="FootnoteReference"/>
        </w:rPr>
        <w:footnoteRef/>
      </w:r>
      <w:r>
        <w:t xml:space="preserve"> </w:t>
      </w:r>
      <w:r w:rsidRPr="00D957C4">
        <w:rPr>
          <w:rFonts w:asciiTheme="minorHAnsi" w:hAnsiTheme="minorHAnsi"/>
          <w:sz w:val="20"/>
          <w:szCs w:val="20"/>
        </w:rPr>
        <w:t xml:space="preserve">Australian Law Reform Commission and New South Wales Law Reform Commission (2010) </w:t>
      </w:r>
      <w:r w:rsidRPr="00D957C4">
        <w:rPr>
          <w:rFonts w:asciiTheme="minorHAnsi" w:hAnsiTheme="minorHAnsi"/>
          <w:i/>
          <w:sz w:val="20"/>
          <w:szCs w:val="20"/>
        </w:rPr>
        <w:t>Family Violence: A National Legal Response, Final Report</w:t>
      </w:r>
      <w:r>
        <w:rPr>
          <w:rFonts w:asciiTheme="minorHAnsi" w:hAnsiTheme="minorHAnsi"/>
          <w:i/>
          <w:sz w:val="20"/>
          <w:szCs w:val="20"/>
        </w:rPr>
        <w:t xml:space="preserve">, </w:t>
      </w:r>
      <w:r>
        <w:rPr>
          <w:rFonts w:asciiTheme="minorHAnsi" w:hAnsiTheme="minorHAnsi"/>
          <w:iCs/>
          <w:sz w:val="20"/>
          <w:szCs w:val="20"/>
        </w:rPr>
        <w:t>See recommendations 29-1 to 29-5 on Integrated Responses, and recommendations 32-1 to 32-5 on Specialisation (focussing on specialist DFV courts).</w:t>
      </w:r>
    </w:p>
  </w:footnote>
  <w:footnote w:id="207">
    <w:p w14:paraId="0A3281FB" w14:textId="77777777" w:rsidR="00BD26A4" w:rsidRDefault="00BD26A4" w:rsidP="005B2242">
      <w:pPr>
        <w:pStyle w:val="FootnoteText"/>
      </w:pPr>
      <w:r>
        <w:rPr>
          <w:rStyle w:val="FootnoteReference"/>
        </w:rPr>
        <w:footnoteRef/>
      </w:r>
      <w:r>
        <w:t xml:space="preserve"> Australia’s National Research Organisation for Women’s Safety (2021) </w:t>
      </w:r>
      <w:r w:rsidRPr="009F0BE5">
        <w:rPr>
          <w:i/>
        </w:rPr>
        <w:t>Interventions for perpetrators of domestic, family and sexual violence in Australia</w:t>
      </w:r>
      <w:r>
        <w:t xml:space="preserve"> (ANROWS Insights, 02/2021). ANROWS.</w:t>
      </w:r>
    </w:p>
  </w:footnote>
  <w:footnote w:id="208">
    <w:p w14:paraId="51DDB468" w14:textId="670A1383" w:rsidR="00BD26A4" w:rsidRDefault="00BD26A4">
      <w:pPr>
        <w:pStyle w:val="FootnoteText"/>
      </w:pPr>
      <w:r>
        <w:rPr>
          <w:rStyle w:val="FootnoteReference"/>
        </w:rPr>
        <w:footnoteRef/>
      </w:r>
      <w:r>
        <w:t xml:space="preserve"> </w:t>
      </w:r>
      <w:r w:rsidRPr="00D957C4">
        <w:rPr>
          <w:rFonts w:asciiTheme="minorHAnsi" w:hAnsiTheme="minorHAnsi"/>
        </w:rPr>
        <w:t xml:space="preserve">Australian Law Reform Commission and New South Wales Law Reform Commission (2010) </w:t>
      </w:r>
      <w:r w:rsidRPr="00D957C4">
        <w:rPr>
          <w:rFonts w:asciiTheme="minorHAnsi" w:hAnsiTheme="minorHAnsi"/>
          <w:i/>
        </w:rPr>
        <w:t>Family Violence: A National Legal Response, Final Report</w:t>
      </w:r>
      <w:r>
        <w:rPr>
          <w:rFonts w:asciiTheme="minorHAnsi" w:hAnsiTheme="minorHAnsi"/>
          <w:i/>
        </w:rPr>
        <w:t xml:space="preserve">, </w:t>
      </w:r>
      <w:r>
        <w:rPr>
          <w:rFonts w:asciiTheme="minorHAnsi" w:hAnsiTheme="minorHAnsi"/>
          <w:iCs/>
        </w:rPr>
        <w:t xml:space="preserve">See Chapter 32. </w:t>
      </w:r>
    </w:p>
  </w:footnote>
  <w:footnote w:id="209">
    <w:p w14:paraId="6319701C" w14:textId="1F481E81" w:rsidR="00BD26A4" w:rsidRDefault="00BD26A4">
      <w:pPr>
        <w:pStyle w:val="FootnoteText"/>
      </w:pPr>
      <w:r>
        <w:rPr>
          <w:rStyle w:val="FootnoteReference"/>
        </w:rPr>
        <w:footnoteRef/>
      </w:r>
      <w:r>
        <w:t xml:space="preserve"> </w:t>
      </w:r>
      <w:r w:rsidRPr="00D957C4">
        <w:rPr>
          <w:rFonts w:asciiTheme="minorHAnsi" w:hAnsiTheme="minorHAnsi"/>
        </w:rPr>
        <w:t xml:space="preserve">Australian Law Reform Commission and New South Wales Law Reform Commission (2010) </w:t>
      </w:r>
      <w:r w:rsidRPr="00D957C4">
        <w:rPr>
          <w:rFonts w:asciiTheme="minorHAnsi" w:hAnsiTheme="minorHAnsi"/>
          <w:i/>
        </w:rPr>
        <w:t>Family Violence: A National Legal Response, Final Report</w:t>
      </w:r>
      <w:r>
        <w:rPr>
          <w:rFonts w:asciiTheme="minorHAnsi" w:hAnsiTheme="minorHAnsi"/>
          <w:i/>
        </w:rPr>
        <w:t xml:space="preserve">, </w:t>
      </w:r>
      <w:r>
        <w:rPr>
          <w:rFonts w:asciiTheme="minorHAnsi" w:hAnsiTheme="minorHAnsi"/>
          <w:iCs/>
        </w:rPr>
        <w:t>adapted from paragraph 32.22.</w:t>
      </w:r>
    </w:p>
  </w:footnote>
  <w:footnote w:id="210">
    <w:p w14:paraId="6C7C8503" w14:textId="7D648AE4" w:rsidR="00BD26A4" w:rsidRDefault="00BD26A4">
      <w:pPr>
        <w:pStyle w:val="FootnoteText"/>
      </w:pPr>
      <w:r>
        <w:rPr>
          <w:rStyle w:val="FootnoteReference"/>
        </w:rPr>
        <w:footnoteRef/>
      </w:r>
      <w:r>
        <w:t xml:space="preserve"> </w:t>
      </w:r>
      <w:r w:rsidRPr="00D957C4">
        <w:rPr>
          <w:rFonts w:asciiTheme="minorHAnsi" w:hAnsiTheme="minorHAnsi"/>
        </w:rPr>
        <w:t xml:space="preserve">Australian Law Reform Commission and New South Wales Law Reform Commission (2010) </w:t>
      </w:r>
      <w:r w:rsidRPr="00D957C4">
        <w:rPr>
          <w:rFonts w:asciiTheme="minorHAnsi" w:hAnsiTheme="minorHAnsi"/>
          <w:i/>
        </w:rPr>
        <w:t>Family Violence: A National Legal Response, Final Report</w:t>
      </w:r>
      <w:r>
        <w:rPr>
          <w:rFonts w:asciiTheme="minorHAnsi" w:hAnsiTheme="minorHAnsi"/>
          <w:i/>
        </w:rPr>
        <w:t xml:space="preserve">, </w:t>
      </w:r>
      <w:r>
        <w:rPr>
          <w:rFonts w:asciiTheme="minorHAnsi" w:hAnsiTheme="minorHAnsi"/>
          <w:iCs/>
        </w:rPr>
        <w:t>at paragraph 32.23.</w:t>
      </w:r>
    </w:p>
  </w:footnote>
  <w:footnote w:id="211">
    <w:p w14:paraId="1039AAFA" w14:textId="77777777" w:rsidR="00BD26A4" w:rsidRDefault="00BD26A4" w:rsidP="007A213E">
      <w:pPr>
        <w:pStyle w:val="FootnoteText"/>
      </w:pPr>
      <w:r>
        <w:rPr>
          <w:rStyle w:val="FootnoteReference"/>
        </w:rPr>
        <w:footnoteRef/>
      </w:r>
      <w:r>
        <w:t xml:space="preserve"> Richmond (2019)</w:t>
      </w:r>
    </w:p>
  </w:footnote>
  <w:footnote w:id="212">
    <w:p w14:paraId="1B235657" w14:textId="77777777" w:rsidR="00BD26A4" w:rsidRDefault="00BD26A4" w:rsidP="006B6E05">
      <w:pPr>
        <w:pStyle w:val="FootnoteText"/>
      </w:pPr>
      <w:r>
        <w:rPr>
          <w:rStyle w:val="FootnoteReference"/>
        </w:rPr>
        <w:footnoteRef/>
      </w:r>
      <w:r>
        <w:t xml:space="preserve"> Richmond (2019), see p.16-22.</w:t>
      </w:r>
    </w:p>
  </w:footnote>
  <w:footnote w:id="213">
    <w:p w14:paraId="4B117B41" w14:textId="6E5A2188" w:rsidR="00BD26A4" w:rsidRDefault="00BD26A4">
      <w:pPr>
        <w:pStyle w:val="FootnoteText"/>
      </w:pPr>
      <w:r>
        <w:rPr>
          <w:rStyle w:val="FootnoteReference"/>
        </w:rPr>
        <w:footnoteRef/>
      </w:r>
      <w:r>
        <w:t xml:space="preserve"> This experienced has been reported in research in other jurisdictions, including in research by Douglas (2019) in Queensland.</w:t>
      </w:r>
    </w:p>
  </w:footnote>
  <w:footnote w:id="214">
    <w:p w14:paraId="4985ECED" w14:textId="77777777" w:rsidR="00BD26A4" w:rsidRDefault="00BD26A4" w:rsidP="00D20BA5">
      <w:pPr>
        <w:pStyle w:val="FootnoteText"/>
      </w:pPr>
      <w:r>
        <w:rPr>
          <w:rStyle w:val="FootnoteReference"/>
        </w:rPr>
        <w:footnoteRef/>
      </w:r>
      <w:r>
        <w:t xml:space="preserve"> Richmond (2019) at p. 17</w:t>
      </w:r>
    </w:p>
  </w:footnote>
  <w:footnote w:id="215">
    <w:p w14:paraId="4733BF1F" w14:textId="2A68821B" w:rsidR="00BD26A4" w:rsidRDefault="00BD26A4" w:rsidP="00175CBB">
      <w:pPr>
        <w:pStyle w:val="FootnoteText"/>
      </w:pPr>
      <w:r>
        <w:rPr>
          <w:rStyle w:val="FootnoteReference"/>
        </w:rPr>
        <w:footnoteRef/>
      </w:r>
      <w:r>
        <w:t xml:space="preserve"> See also Douglas, H (2019) ‘Policing Domestic and Family Violence’, in International Journal for Crime, Justice and Social Democracy, 8 (2), at p. 43.</w:t>
      </w:r>
    </w:p>
  </w:footnote>
  <w:footnote w:id="216">
    <w:p w14:paraId="66EE420F" w14:textId="0D75BC86" w:rsidR="00BD26A4" w:rsidRDefault="00BD26A4" w:rsidP="00175CBB">
      <w:pPr>
        <w:spacing w:after="0"/>
      </w:pPr>
      <w:r>
        <w:rPr>
          <w:rStyle w:val="FootnoteReference"/>
        </w:rPr>
        <w:footnoteRef/>
      </w:r>
      <w:r w:rsidRPr="00175CBB">
        <w:rPr>
          <w:sz w:val="20"/>
          <w:szCs w:val="20"/>
        </w:rPr>
        <w:t xml:space="preserve"> Hill, J. (2020), ‘Is Domestic-Abuse Policing Fit For Purpose?’, </w:t>
      </w:r>
      <w:r w:rsidRPr="00175CBB">
        <w:rPr>
          <w:i/>
          <w:sz w:val="20"/>
          <w:szCs w:val="20"/>
        </w:rPr>
        <w:t>Meanjin,</w:t>
      </w:r>
      <w:r w:rsidRPr="00175CBB">
        <w:rPr>
          <w:sz w:val="20"/>
          <w:szCs w:val="20"/>
        </w:rPr>
        <w:t xml:space="preserve"> Summer 2020</w:t>
      </w:r>
    </w:p>
  </w:footnote>
  <w:footnote w:id="217">
    <w:p w14:paraId="69F90C10" w14:textId="3BD3ACFF" w:rsidR="00BD26A4" w:rsidRPr="00B00515" w:rsidRDefault="00BD26A4" w:rsidP="009B08B0">
      <w:pPr>
        <w:pStyle w:val="FootnoteText"/>
        <w:rPr>
          <w:sz w:val="22"/>
          <w:szCs w:val="22"/>
        </w:rPr>
      </w:pPr>
      <w:r>
        <w:rPr>
          <w:rStyle w:val="FootnoteReference"/>
        </w:rPr>
        <w:footnoteRef/>
      </w:r>
      <w:r>
        <w:t xml:space="preserve"> </w:t>
      </w:r>
      <w:r w:rsidRPr="00B00515">
        <w:t xml:space="preserve">Australian and New Zealand School of Government (ANZSOG) (2009) </w:t>
      </w:r>
      <w:r w:rsidRPr="00B00515">
        <w:rPr>
          <w:i/>
        </w:rPr>
        <w:t>ANZSOG Case Study Program - Victoria Police and Family Violence</w:t>
      </w:r>
      <w:r w:rsidRPr="00B00515">
        <w:t xml:space="preserve"> (Case Study 2009-94.1) – Written by Marinella Padula, with input from Christine Nixon, Leigh Gassner, Rhonda Cumberland and Wendy Steendam.</w:t>
      </w:r>
    </w:p>
  </w:footnote>
  <w:footnote w:id="218">
    <w:p w14:paraId="00DB4284" w14:textId="78033C7E" w:rsidR="00BD26A4" w:rsidRDefault="00BD26A4" w:rsidP="009B08B0">
      <w:pPr>
        <w:spacing w:after="0"/>
      </w:pPr>
      <w:r>
        <w:rPr>
          <w:rStyle w:val="FootnoteReference"/>
        </w:rPr>
        <w:footnoteRef/>
      </w:r>
      <w:r>
        <w:t xml:space="preserve"> </w:t>
      </w:r>
      <w:r w:rsidRPr="00B00515">
        <w:rPr>
          <w:sz w:val="20"/>
          <w:szCs w:val="20"/>
        </w:rPr>
        <w:t xml:space="preserve">Hill, J. (2020), ‘Is Domestic-Abuse Policing Fit For Purpose?’, </w:t>
      </w:r>
      <w:r w:rsidRPr="00B00515">
        <w:rPr>
          <w:i/>
          <w:sz w:val="20"/>
          <w:szCs w:val="20"/>
        </w:rPr>
        <w:t>Meanjin,</w:t>
      </w:r>
      <w:r w:rsidRPr="00B00515">
        <w:rPr>
          <w:sz w:val="20"/>
          <w:szCs w:val="20"/>
        </w:rPr>
        <w:t xml:space="preserve"> Summer 2020</w:t>
      </w:r>
    </w:p>
  </w:footnote>
  <w:footnote w:id="219">
    <w:p w14:paraId="3BD7CAE5" w14:textId="5894FD9D" w:rsidR="00BD26A4" w:rsidRDefault="00BD26A4" w:rsidP="009B08B0">
      <w:pPr>
        <w:pStyle w:val="FootnoteText"/>
      </w:pPr>
      <w:r>
        <w:rPr>
          <w:rStyle w:val="FootnoteReference"/>
        </w:rPr>
        <w:footnoteRef/>
      </w:r>
      <w:r>
        <w:t xml:space="preserve"> NSW Audit Office (2022) Police Responses to domestic and family violence:  NSW Auditor-General’s Report, 4 April 2022 </w:t>
      </w:r>
    </w:p>
  </w:footnote>
  <w:footnote w:id="220">
    <w:p w14:paraId="1FBCD625" w14:textId="78BDFC10" w:rsidR="00BD26A4" w:rsidRDefault="00BD26A4">
      <w:pPr>
        <w:pStyle w:val="FootnoteText"/>
      </w:pPr>
      <w:r>
        <w:rPr>
          <w:rStyle w:val="FootnoteReference"/>
        </w:rPr>
        <w:footnoteRef/>
      </w:r>
      <w:r>
        <w:t xml:space="preserve"> </w:t>
      </w:r>
      <w:hyperlink r:id="rId19" w:history="1">
        <w:r w:rsidRPr="00181BD4">
          <w:rPr>
            <w:rStyle w:val="Hyperlink"/>
          </w:rPr>
          <w:t>https://statements.qld.gov.au/statements/95126</w:t>
        </w:r>
      </w:hyperlink>
    </w:p>
    <w:p w14:paraId="1560DC9A" w14:textId="77777777" w:rsidR="00BD26A4" w:rsidRDefault="00BD26A4">
      <w:pPr>
        <w:pStyle w:val="FootnoteText"/>
      </w:pPr>
    </w:p>
  </w:footnote>
  <w:footnote w:id="221">
    <w:p w14:paraId="7A4ACE8F" w14:textId="77777777" w:rsidR="00BD26A4" w:rsidRDefault="00BD26A4" w:rsidP="007360B8">
      <w:pPr>
        <w:pStyle w:val="FootnoteText"/>
      </w:pPr>
      <w:r>
        <w:rPr>
          <w:rStyle w:val="FootnoteReference"/>
        </w:rPr>
        <w:footnoteRef/>
      </w:r>
      <w:r>
        <w:t xml:space="preserve"> See for example, the </w:t>
      </w:r>
      <w:r w:rsidRPr="007E5559">
        <w:t>Victoria Police Code of Practice on Investigating and Responding to Family Violence</w:t>
      </w:r>
    </w:p>
    <w:p w14:paraId="22E34FD8" w14:textId="77777777" w:rsidR="00BD26A4" w:rsidRDefault="00BD26A4" w:rsidP="007360B8">
      <w:pPr>
        <w:pStyle w:val="FootnoteText"/>
      </w:pPr>
      <w:r>
        <w:t>NSW DFV Domestic and Family Violence Booklet.</w:t>
      </w:r>
    </w:p>
  </w:footnote>
  <w:footnote w:id="222">
    <w:p w14:paraId="146645F7" w14:textId="77777777" w:rsidR="00BD26A4" w:rsidRDefault="00BD26A4" w:rsidP="00EB5750">
      <w:pPr>
        <w:pStyle w:val="FootnoteText"/>
      </w:pPr>
      <w:r>
        <w:rPr>
          <w:rStyle w:val="FootnoteReference"/>
        </w:rPr>
        <w:footnoteRef/>
      </w:r>
      <w:r>
        <w:t xml:space="preserve"> </w:t>
      </w:r>
      <w:r w:rsidRPr="00DF7AA5">
        <w:rPr>
          <w:i/>
        </w:rPr>
        <w:t>Inquest into the death of HD (name suppressed) [2021] NTLC 029</w:t>
      </w:r>
      <w:r>
        <w:t>, at p. 27.</w:t>
      </w:r>
    </w:p>
  </w:footnote>
  <w:footnote w:id="223">
    <w:p w14:paraId="33F8F75A" w14:textId="77777777" w:rsidR="00BD26A4" w:rsidRDefault="00BD26A4" w:rsidP="007F3A64">
      <w:pPr>
        <w:pStyle w:val="FootnoteText"/>
      </w:pPr>
      <w:r>
        <w:rPr>
          <w:rStyle w:val="FootnoteReference"/>
        </w:rPr>
        <w:footnoteRef/>
      </w:r>
      <w:r>
        <w:t xml:space="preserve"> </w:t>
      </w:r>
      <w:r w:rsidRPr="00DF7AA5">
        <w:rPr>
          <w:i/>
        </w:rPr>
        <w:t>Inquest into the death of HD (name suppressed) [2021] NTLC 029</w:t>
      </w:r>
      <w:r>
        <w:t>, at p. 27.</w:t>
      </w:r>
    </w:p>
  </w:footnote>
  <w:footnote w:id="224">
    <w:p w14:paraId="1048C4C9" w14:textId="22184FC2" w:rsidR="00BD26A4" w:rsidRDefault="00BD26A4" w:rsidP="006B429C">
      <w:pPr>
        <w:pStyle w:val="FootnoteText"/>
      </w:pPr>
      <w:r>
        <w:rPr>
          <w:rStyle w:val="FootnoteReference"/>
        </w:rPr>
        <w:footnoteRef/>
      </w:r>
      <w:r>
        <w:t xml:space="preserve"> </w:t>
      </w:r>
      <w:hyperlink r:id="rId20" w:history="1">
        <w:r w:rsidRPr="00DA5057">
          <w:rPr>
            <w:rStyle w:val="Hyperlink"/>
          </w:rPr>
          <w:t>https://www.dcj.nsw.gov.au/justice/safer-pathway/what-is-safer-pathway.html</w:t>
        </w:r>
      </w:hyperlink>
    </w:p>
  </w:footnote>
  <w:footnote w:id="225">
    <w:p w14:paraId="13A17CF3" w14:textId="5EA811CB" w:rsidR="00BD26A4" w:rsidRDefault="00BD26A4" w:rsidP="006B429C">
      <w:pPr>
        <w:pStyle w:val="FootnoteText"/>
      </w:pPr>
      <w:r>
        <w:rPr>
          <w:rStyle w:val="FootnoteReference"/>
        </w:rPr>
        <w:footnoteRef/>
      </w:r>
      <w:r>
        <w:t xml:space="preserve"> </w:t>
      </w:r>
      <w:hyperlink r:id="rId21" w:history="1">
        <w:r w:rsidRPr="00DA5057">
          <w:rPr>
            <w:rStyle w:val="Hyperlink"/>
          </w:rPr>
          <w:t>https://safesteps.org.au/</w:t>
        </w:r>
      </w:hyperlink>
    </w:p>
  </w:footnote>
  <w:footnote w:id="226">
    <w:p w14:paraId="6C71E51C" w14:textId="76A9C4C7" w:rsidR="00BD26A4" w:rsidRDefault="00BD26A4" w:rsidP="006B429C">
      <w:pPr>
        <w:pStyle w:val="FootnoteText"/>
      </w:pPr>
      <w:r>
        <w:rPr>
          <w:rStyle w:val="FootnoteReference"/>
        </w:rPr>
        <w:footnoteRef/>
      </w:r>
      <w:r>
        <w:t xml:space="preserve"> </w:t>
      </w:r>
      <w:hyperlink r:id="rId22" w:history="1">
        <w:r w:rsidRPr="00DA5057">
          <w:rPr>
            <w:rStyle w:val="Hyperlink"/>
          </w:rPr>
          <w:t>https://www.orangedoor.vic.gov.au/</w:t>
        </w:r>
      </w:hyperlink>
    </w:p>
  </w:footnote>
  <w:footnote w:id="227">
    <w:p w14:paraId="6F957366" w14:textId="1903CAC6" w:rsidR="00BD26A4" w:rsidRDefault="00BD26A4">
      <w:pPr>
        <w:pStyle w:val="FootnoteText"/>
      </w:pPr>
      <w:r>
        <w:rPr>
          <w:rStyle w:val="FootnoteReference"/>
        </w:rPr>
        <w:footnoteRef/>
      </w:r>
      <w:r>
        <w:t xml:space="preserve"> It is noted for completeness that legal service providers in the NT relevant to DFV matters also include North Australian Aboriginal Family Legal Service (NAAFLS) and NPY Women’s Council.</w:t>
      </w:r>
    </w:p>
  </w:footnote>
  <w:footnote w:id="228">
    <w:p w14:paraId="713607DE" w14:textId="77777777" w:rsidR="00BD26A4" w:rsidRDefault="00BD26A4" w:rsidP="00F2157E">
      <w:pPr>
        <w:pStyle w:val="FootnoteText"/>
      </w:pPr>
      <w:r>
        <w:rPr>
          <w:rStyle w:val="FootnoteReference"/>
        </w:rPr>
        <w:footnoteRef/>
      </w:r>
      <w:r>
        <w:t xml:space="preserve"> </w:t>
      </w:r>
      <w:r w:rsidRPr="00693B90">
        <w:t>Data from the 2019/20 financial year provided by the Department of the Attorney-General and Justice Research and Statistics Unit. Extracted from IJIS on 31 July 2020.</w:t>
      </w:r>
      <w:r>
        <w:t xml:space="preserve"> </w:t>
      </w:r>
    </w:p>
  </w:footnote>
  <w:footnote w:id="229">
    <w:p w14:paraId="146020DB" w14:textId="7E44EBB8" w:rsidR="00BD26A4" w:rsidRDefault="00BD26A4">
      <w:pPr>
        <w:pStyle w:val="FootnoteText"/>
      </w:pPr>
      <w:r>
        <w:rPr>
          <w:rStyle w:val="FootnoteReference"/>
        </w:rPr>
        <w:footnoteRef/>
      </w:r>
      <w:r>
        <w:t xml:space="preserve"> Brown, C. and Corbo, M. (2020), </w:t>
      </w:r>
      <w:r w:rsidRPr="004A47B1">
        <w:rPr>
          <w:i/>
        </w:rPr>
        <w:t>Central Australian Minimum Standards for Men’s Behaviour Change Programs,</w:t>
      </w:r>
      <w:r>
        <w:t xml:space="preserve"> Tangentyere Council, August 2020.</w:t>
      </w:r>
    </w:p>
  </w:footnote>
  <w:footnote w:id="230">
    <w:p w14:paraId="3B1E4345" w14:textId="77777777" w:rsidR="00BD26A4" w:rsidRDefault="00BD26A4" w:rsidP="00ED355E">
      <w:pPr>
        <w:pStyle w:val="FootnoteText"/>
      </w:pPr>
      <w:r>
        <w:rPr>
          <w:rStyle w:val="FootnoteReference"/>
        </w:rPr>
        <w:footnoteRef/>
      </w:r>
      <w:r>
        <w:t xml:space="preserve"> Northern Territory Local Court (2022), </w:t>
      </w:r>
      <w:r w:rsidRPr="004908FC">
        <w:rPr>
          <w:i/>
        </w:rPr>
        <w:t>Internal Evaluation Report: Specialist Approach to Domestic and Family Violence at the Local Court in Alice Springs,</w:t>
      </w:r>
      <w:r>
        <w:t xml:space="preserve"> 12 April 2022.</w:t>
      </w:r>
    </w:p>
  </w:footnote>
  <w:footnote w:id="231">
    <w:p w14:paraId="3870C91F" w14:textId="444C5A41" w:rsidR="00BD26A4" w:rsidRDefault="00BD26A4">
      <w:pPr>
        <w:pStyle w:val="FootnoteText"/>
      </w:pPr>
      <w:r>
        <w:rPr>
          <w:rStyle w:val="FootnoteReference"/>
        </w:rPr>
        <w:footnoteRef/>
      </w:r>
      <w:r>
        <w:t xml:space="preserve"> Recommendation 11 of Northern Territory Local Court (2022), </w:t>
      </w:r>
      <w:r w:rsidRPr="004908FC">
        <w:rPr>
          <w:i/>
        </w:rPr>
        <w:t>Internal Evaluation Report: Specialist Approach to Domestic and Family Violence at the Local Court in Alice Springs,</w:t>
      </w:r>
      <w:r>
        <w:t xml:space="preserve"> 12 April 2022.</w:t>
      </w:r>
    </w:p>
    <w:p w14:paraId="402F5B10" w14:textId="77777777" w:rsidR="00BD26A4" w:rsidRDefault="00BD26A4">
      <w:pPr>
        <w:pStyle w:val="FootnoteText"/>
      </w:pPr>
    </w:p>
  </w:footnote>
  <w:footnote w:id="232">
    <w:p w14:paraId="56786125" w14:textId="77777777" w:rsidR="00BD26A4" w:rsidRDefault="00BD26A4" w:rsidP="003061F7">
      <w:r>
        <w:rPr>
          <w:rStyle w:val="FootnoteReference"/>
        </w:rPr>
        <w:footnoteRef/>
      </w:r>
      <w:r>
        <w:t xml:space="preserve"> </w:t>
      </w:r>
      <w:r w:rsidRPr="005506B7">
        <w:rPr>
          <w:sz w:val="20"/>
          <w:szCs w:val="20"/>
        </w:rPr>
        <w:t xml:space="preserve">Department of Territory Families, Housing and Communities (2020), </w:t>
      </w:r>
      <w:r w:rsidRPr="005506B7">
        <w:rPr>
          <w:i/>
          <w:sz w:val="20"/>
          <w:szCs w:val="20"/>
        </w:rPr>
        <w:t>Northern Territory Domestic and Family Violence Risk Assessment and Management Framewor</w:t>
      </w:r>
      <w:r w:rsidRPr="005506B7">
        <w:rPr>
          <w:sz w:val="20"/>
          <w:szCs w:val="20"/>
        </w:rPr>
        <w:t>k.</w:t>
      </w:r>
    </w:p>
  </w:footnote>
  <w:footnote w:id="233">
    <w:p w14:paraId="6ACD6B33" w14:textId="77777777" w:rsidR="00BD26A4" w:rsidRDefault="00BD26A4" w:rsidP="004731B3">
      <w:pPr>
        <w:pStyle w:val="FootnoteText"/>
      </w:pPr>
      <w:r>
        <w:rPr>
          <w:rStyle w:val="FootnoteReference"/>
        </w:rPr>
        <w:footnoteRef/>
      </w:r>
      <w:r>
        <w:t xml:space="preserve"> </w:t>
      </w:r>
      <w:r w:rsidRPr="002B08CC">
        <w:rPr>
          <w:i/>
        </w:rPr>
        <w:t>Inquest into the deaths of Fionica Yarranganlagi James, Keturah Cheralyn Mamarika and Layla Leering</w:t>
      </w:r>
      <w:r>
        <w:t xml:space="preserve"> [2020] NTLC 022. </w:t>
      </w:r>
    </w:p>
  </w:footnote>
  <w:footnote w:id="234">
    <w:p w14:paraId="6112F66E" w14:textId="2EC8337C" w:rsidR="00BD26A4" w:rsidRDefault="00BD26A4" w:rsidP="00C34EC2">
      <w:pPr>
        <w:pStyle w:val="FootnoteText"/>
      </w:pPr>
      <w:r>
        <w:rPr>
          <w:rStyle w:val="FootnoteReference"/>
        </w:rPr>
        <w:footnoteRef/>
      </w:r>
      <w:r>
        <w:t xml:space="preserve"> An amendment to section 76 was made by section 68 of the </w:t>
      </w:r>
      <w:r w:rsidRPr="003160DD">
        <w:rPr>
          <w:i/>
        </w:rPr>
        <w:t>Domestic Abuse Act 2021</w:t>
      </w:r>
      <w:r>
        <w:t xml:space="preserve"> which received Royal Assent on 29 April 2021 and is due to commence in UK Summer/Autumn 2022. (Guidance Domestic Abuse Act 2021 Commencement Schedule: Updated 25 April 2022).</w:t>
      </w:r>
    </w:p>
    <w:p w14:paraId="6A62DCAD" w14:textId="0A342E65" w:rsidR="00BD26A4" w:rsidRDefault="00BD26A4" w:rsidP="00C34EC2">
      <w:pPr>
        <w:pStyle w:val="FootnoteText"/>
      </w:pPr>
      <w:r>
        <w:t>The amendment removes section 76(2) and replaces section 76(6) with a new definition of ‘personally connected’.  These amendments remove the requirement for A and B to live together if they are family members or former partners. It brings within the ambit of the offence coercive controlling behaviour by a former intimate partner that takes place post separation when A and B do not live together.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A7857" w14:textId="532B717E" w:rsidR="00BD26A4" w:rsidRPr="008E0345" w:rsidRDefault="00D746C7" w:rsidP="005A5A44">
    <w:pPr>
      <w:pStyle w:val="Header"/>
    </w:pPr>
    <w:sdt>
      <w:sdtPr>
        <w:alias w:val="Title"/>
        <w:tag w:val=""/>
        <w:id w:val="480660366"/>
        <w:placeholder>
          <w:docPart w:val="41A997405A894F4FB80E34DBCD23FB0F"/>
        </w:placeholder>
        <w:dataBinding w:prefixMappings="xmlns:ns0='http://purl.org/dc/elements/1.1/' xmlns:ns1='http://schemas.openxmlformats.org/package/2006/metadata/core-properties' " w:xpath="/ns1:coreProperties[1]/ns0:title[1]" w:storeItemID="{6C3C8BC8-F283-45AE-878A-BAB7291924A1}"/>
        <w:text/>
      </w:sdtPr>
      <w:sdtEndPr/>
      <w:sdtContent>
        <w:r w:rsidR="00BD26A4">
          <w:t>Review of Legislation and the Justice Response to Domestic and Family Violence in the Northern Territory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EE17E" w14:textId="77777777" w:rsidR="00BD26A4" w:rsidRPr="00BD0F38" w:rsidRDefault="00BD26A4" w:rsidP="00A32EFF">
    <w:pPr>
      <w:tabs>
        <w:tab w:val="right" w:pos="10318"/>
      </w:tabs>
    </w:pPr>
    <w:r w:rsidRPr="00BD0F38">
      <w:rPr>
        <w:noProof/>
        <w:lang w:eastAsia="en-AU"/>
      </w:rPr>
      <w:drawing>
        <wp:anchor distT="0" distB="0" distL="0" distR="0" simplePos="0" relativeHeight="251661312" behindDoc="0" locked="0" layoutInCell="1" allowOverlap="1" wp14:anchorId="70122587" wp14:editId="03368DAE">
          <wp:simplePos x="0" y="0"/>
          <wp:positionH relativeFrom="page">
            <wp:align>left</wp:align>
          </wp:positionH>
          <wp:positionV relativeFrom="page">
            <wp:posOffset>3393830</wp:posOffset>
          </wp:positionV>
          <wp:extent cx="7553130" cy="5448285"/>
          <wp:effectExtent l="0" t="0" r="0" b="635"/>
          <wp:wrapTopAndBottom/>
          <wp:docPr id="9"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F4F4" w14:textId="6C4FD876" w:rsidR="00BD26A4" w:rsidRPr="00EA03FF" w:rsidRDefault="00D746C7" w:rsidP="00EA03FF">
    <w:pPr>
      <w:pStyle w:val="Header"/>
      <w:rPr>
        <w:i/>
        <w:sz w:val="18"/>
        <w:szCs w:val="18"/>
      </w:rPr>
    </w:pPr>
    <w:sdt>
      <w:sdtPr>
        <w:rPr>
          <w:i/>
          <w:sz w:val="18"/>
          <w:szCs w:val="18"/>
        </w:rPr>
        <w:alias w:val="Title"/>
        <w:tag w:val="Title"/>
        <w:id w:val="94911156"/>
        <w:lock w:val="sdtLocked"/>
        <w:placeholder>
          <w:docPart w:val="41A997405A894F4FB80E34DBCD23FB0F"/>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BD26A4" w:rsidRPr="00EA03FF">
          <w:rPr>
            <w:i/>
            <w:sz w:val="18"/>
            <w:szCs w:val="18"/>
          </w:rPr>
          <w:t>Review of Legislation and the Justice Response to Domestic and Family Violence in the Northern Territory</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C61A" w14:textId="77777777" w:rsidR="00BD26A4" w:rsidRPr="00274F1C" w:rsidRDefault="00BD26A4"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AE54F" w14:textId="77777777" w:rsidR="00BD26A4" w:rsidRPr="00C248C8" w:rsidRDefault="00BD26A4" w:rsidP="00C248C8">
    <w:pPr>
      <w:pStyle w:val="Header"/>
      <w:rPr>
        <w:i/>
        <w:sz w:val="18"/>
        <w:szCs w:val="18"/>
      </w:rPr>
    </w:pPr>
  </w:p>
  <w:p w14:paraId="797F234E" w14:textId="40C090AC" w:rsidR="00BD26A4" w:rsidRPr="00161709" w:rsidRDefault="00D746C7" w:rsidP="00C248C8">
    <w:pPr>
      <w:pStyle w:val="Header"/>
      <w:rPr>
        <w:i/>
      </w:rPr>
    </w:pPr>
    <w:sdt>
      <w:sdtPr>
        <w:rPr>
          <w:i/>
          <w:sz w:val="18"/>
          <w:szCs w:val="18"/>
        </w:rPr>
        <w:alias w:val="Title"/>
        <w:tag w:val="Title"/>
        <w:id w:val="817308823"/>
        <w:lock w:val="sdtLocked"/>
        <w:placeholder>
          <w:docPart w:val="43B5F5E8A9074E4CBA13B6DA6C6CBD5D"/>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BD26A4" w:rsidRPr="00C248C8">
          <w:rPr>
            <w:i/>
            <w:sz w:val="18"/>
            <w:szCs w:val="18"/>
          </w:rPr>
          <w:t>Review of Legislation and the Justice Response to Domestic and Family Violence in the Northern Territory</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9A05542D3E3846CEAA6DBEE9D3CD7EF0"/>
      </w:placeholder>
      <w:dataBinding w:prefixMappings="xmlns:ns0='http://purl.org/dc/elements/1.1/' xmlns:ns1='http://schemas.openxmlformats.org/package/2006/metadata/core-properties' " w:xpath="/ns1:coreProperties[1]/ns0:title[1]" w:storeItemID="{6C3C8BC8-F283-45AE-878A-BAB7291924A1}"/>
      <w:text/>
    </w:sdtPr>
    <w:sdtEndPr/>
    <w:sdtContent>
      <w:p w14:paraId="34334906" w14:textId="06322373" w:rsidR="00BD26A4" w:rsidRPr="00964B22" w:rsidRDefault="00BD26A4" w:rsidP="008E0345">
        <w:pPr>
          <w:pStyle w:val="Header"/>
          <w:rPr>
            <w:b/>
          </w:rPr>
        </w:pPr>
        <w:r>
          <w:t>Review of Legislation and the Justice Response to Domestic and Family Violence in the Northern Territory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2D4"/>
    <w:multiLevelType w:val="hybridMultilevel"/>
    <w:tmpl w:val="DDFEE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3670C"/>
    <w:multiLevelType w:val="hybridMultilevel"/>
    <w:tmpl w:val="EB8C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546B23"/>
    <w:multiLevelType w:val="hybridMultilevel"/>
    <w:tmpl w:val="B6E8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FA3B8D"/>
    <w:multiLevelType w:val="hybridMultilevel"/>
    <w:tmpl w:val="BC8CEF98"/>
    <w:lvl w:ilvl="0" w:tplc="0C090001">
      <w:start w:val="1"/>
      <w:numFmt w:val="bullet"/>
      <w:lvlText w:val=""/>
      <w:lvlJc w:val="left"/>
      <w:pPr>
        <w:ind w:left="-1028" w:hanging="360"/>
      </w:pPr>
      <w:rPr>
        <w:rFonts w:ascii="Symbol" w:hAnsi="Symbol" w:hint="default"/>
      </w:rPr>
    </w:lvl>
    <w:lvl w:ilvl="1" w:tplc="0C090001">
      <w:start w:val="1"/>
      <w:numFmt w:val="bullet"/>
      <w:lvlText w:val=""/>
      <w:lvlJc w:val="left"/>
      <w:pPr>
        <w:ind w:left="339" w:hanging="360"/>
      </w:pPr>
      <w:rPr>
        <w:rFonts w:ascii="Symbol" w:hAnsi="Symbol" w:hint="default"/>
      </w:rPr>
    </w:lvl>
    <w:lvl w:ilvl="2" w:tplc="0C090005">
      <w:start w:val="1"/>
      <w:numFmt w:val="bullet"/>
      <w:lvlText w:val=""/>
      <w:lvlJc w:val="left"/>
      <w:pPr>
        <w:ind w:left="1059" w:hanging="360"/>
      </w:pPr>
      <w:rPr>
        <w:rFonts w:ascii="Wingdings" w:hAnsi="Wingdings" w:hint="default"/>
      </w:rPr>
    </w:lvl>
    <w:lvl w:ilvl="3" w:tplc="0C090001" w:tentative="1">
      <w:start w:val="1"/>
      <w:numFmt w:val="bullet"/>
      <w:lvlText w:val=""/>
      <w:lvlJc w:val="left"/>
      <w:pPr>
        <w:ind w:left="1779" w:hanging="360"/>
      </w:pPr>
      <w:rPr>
        <w:rFonts w:ascii="Symbol" w:hAnsi="Symbol" w:hint="default"/>
      </w:rPr>
    </w:lvl>
    <w:lvl w:ilvl="4" w:tplc="0C090003">
      <w:start w:val="1"/>
      <w:numFmt w:val="bullet"/>
      <w:lvlText w:val="o"/>
      <w:lvlJc w:val="left"/>
      <w:pPr>
        <w:ind w:left="2499" w:hanging="360"/>
      </w:pPr>
      <w:rPr>
        <w:rFonts w:ascii="Courier New" w:hAnsi="Courier New" w:cs="Courier New" w:hint="default"/>
      </w:rPr>
    </w:lvl>
    <w:lvl w:ilvl="5" w:tplc="0C090005" w:tentative="1">
      <w:start w:val="1"/>
      <w:numFmt w:val="bullet"/>
      <w:lvlText w:val=""/>
      <w:lvlJc w:val="left"/>
      <w:pPr>
        <w:ind w:left="3219" w:hanging="360"/>
      </w:pPr>
      <w:rPr>
        <w:rFonts w:ascii="Wingdings" w:hAnsi="Wingdings" w:hint="default"/>
      </w:rPr>
    </w:lvl>
    <w:lvl w:ilvl="6" w:tplc="0C090001" w:tentative="1">
      <w:start w:val="1"/>
      <w:numFmt w:val="bullet"/>
      <w:lvlText w:val=""/>
      <w:lvlJc w:val="left"/>
      <w:pPr>
        <w:ind w:left="3939" w:hanging="360"/>
      </w:pPr>
      <w:rPr>
        <w:rFonts w:ascii="Symbol" w:hAnsi="Symbol" w:hint="default"/>
      </w:rPr>
    </w:lvl>
    <w:lvl w:ilvl="7" w:tplc="0C090003" w:tentative="1">
      <w:start w:val="1"/>
      <w:numFmt w:val="bullet"/>
      <w:lvlText w:val="o"/>
      <w:lvlJc w:val="left"/>
      <w:pPr>
        <w:ind w:left="4659" w:hanging="360"/>
      </w:pPr>
      <w:rPr>
        <w:rFonts w:ascii="Courier New" w:hAnsi="Courier New" w:cs="Courier New" w:hint="default"/>
      </w:rPr>
    </w:lvl>
    <w:lvl w:ilvl="8" w:tplc="0C090005" w:tentative="1">
      <w:start w:val="1"/>
      <w:numFmt w:val="bullet"/>
      <w:lvlText w:val=""/>
      <w:lvlJc w:val="left"/>
      <w:pPr>
        <w:ind w:left="5379" w:hanging="360"/>
      </w:pPr>
      <w:rPr>
        <w:rFonts w:ascii="Wingdings" w:hAnsi="Wingdings" w:hint="default"/>
      </w:rPr>
    </w:lvl>
  </w:abstractNum>
  <w:abstractNum w:abstractNumId="4" w15:restartNumberingAfterBreak="0">
    <w:nsid w:val="05D44E73"/>
    <w:multiLevelType w:val="hybridMultilevel"/>
    <w:tmpl w:val="1ED077D8"/>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441A32"/>
    <w:multiLevelType w:val="hybridMultilevel"/>
    <w:tmpl w:val="567C6B6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A14E78"/>
    <w:multiLevelType w:val="hybridMultilevel"/>
    <w:tmpl w:val="237C8F7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7B6098E"/>
    <w:multiLevelType w:val="hybridMultilevel"/>
    <w:tmpl w:val="793EC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FD2E97"/>
    <w:multiLevelType w:val="hybridMultilevel"/>
    <w:tmpl w:val="0DEC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3E6F74"/>
    <w:multiLevelType w:val="hybridMultilevel"/>
    <w:tmpl w:val="B0928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8B1D6A"/>
    <w:multiLevelType w:val="hybridMultilevel"/>
    <w:tmpl w:val="04BE4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39449C"/>
    <w:multiLevelType w:val="hybridMultilevel"/>
    <w:tmpl w:val="D9F29B5C"/>
    <w:lvl w:ilvl="0" w:tplc="803E6CD4">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245D0"/>
    <w:multiLevelType w:val="multilevel"/>
    <w:tmpl w:val="0C78A7AC"/>
    <w:name w:val="NTG Table Bullet List322"/>
    <w:numStyleLink w:val="Tablebulletlist"/>
  </w:abstractNum>
  <w:abstractNum w:abstractNumId="13" w15:restartNumberingAfterBreak="0">
    <w:nsid w:val="0B7E1EE4"/>
    <w:multiLevelType w:val="hybridMultilevel"/>
    <w:tmpl w:val="AB06B6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4F6FEA"/>
    <w:multiLevelType w:val="hybridMultilevel"/>
    <w:tmpl w:val="8496C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E42BC7"/>
    <w:multiLevelType w:val="hybridMultilevel"/>
    <w:tmpl w:val="73D2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E43994"/>
    <w:multiLevelType w:val="hybridMultilevel"/>
    <w:tmpl w:val="263295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D1106E4"/>
    <w:multiLevelType w:val="multilevel"/>
    <w:tmpl w:val="30C66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0D400462"/>
    <w:multiLevelType w:val="hybridMultilevel"/>
    <w:tmpl w:val="86E2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E9A5D77"/>
    <w:multiLevelType w:val="hybridMultilevel"/>
    <w:tmpl w:val="D9CC16F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01">
      <w:start w:val="1"/>
      <w:numFmt w:val="bullet"/>
      <w:lvlText w:val=""/>
      <w:lvlJc w:val="left"/>
      <w:pPr>
        <w:ind w:left="720" w:hanging="360"/>
      </w:pPr>
      <w:rPr>
        <w:rFonts w:ascii="Symbol" w:hAnsi="Symbol" w:hint="default"/>
      </w:rPr>
    </w:lvl>
    <w:lvl w:ilvl="3" w:tplc="0C090001">
      <w:start w:val="1"/>
      <w:numFmt w:val="bullet"/>
      <w:lvlText w:val=""/>
      <w:lvlJc w:val="left"/>
      <w:pPr>
        <w:ind w:left="720" w:hanging="360"/>
      </w:pPr>
      <w:rPr>
        <w:rFonts w:ascii="Symbol" w:hAnsi="Symbol" w:hint="default"/>
      </w:rPr>
    </w:lvl>
    <w:lvl w:ilvl="4" w:tplc="0C090001">
      <w:start w:val="1"/>
      <w:numFmt w:val="bullet"/>
      <w:lvlText w:val=""/>
      <w:lvlJc w:val="left"/>
      <w:pPr>
        <w:ind w:left="720" w:hanging="360"/>
      </w:pPr>
      <w:rPr>
        <w:rFonts w:ascii="Symbol" w:hAnsi="Symbol" w:hint="default"/>
      </w:r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0EF32351"/>
    <w:multiLevelType w:val="hybridMultilevel"/>
    <w:tmpl w:val="34284CD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0F195B3C"/>
    <w:multiLevelType w:val="multilevel"/>
    <w:tmpl w:val="3928FD02"/>
    <w:name w:val="NTG Table Bullet List3322222"/>
    <w:numStyleLink w:val="Bulletlist"/>
  </w:abstractNum>
  <w:abstractNum w:abstractNumId="22" w15:restartNumberingAfterBreak="0">
    <w:nsid w:val="0F7F2F90"/>
    <w:multiLevelType w:val="hybridMultilevel"/>
    <w:tmpl w:val="DA1284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100244A1"/>
    <w:multiLevelType w:val="multilevel"/>
    <w:tmpl w:val="0C78A7AC"/>
    <w:name w:val="NTG Table Bullet List332"/>
    <w:numStyleLink w:val="Tablebulletlist"/>
  </w:abstractNum>
  <w:abstractNum w:abstractNumId="24" w15:restartNumberingAfterBreak="0">
    <w:nsid w:val="1012237B"/>
    <w:multiLevelType w:val="multilevel"/>
    <w:tmpl w:val="0C78A7AC"/>
    <w:name w:val="NTG Table Bullet List32"/>
    <w:numStyleLink w:val="Tablebulletlist"/>
  </w:abstractNum>
  <w:abstractNum w:abstractNumId="25" w15:restartNumberingAfterBreak="0">
    <w:nsid w:val="12056C39"/>
    <w:multiLevelType w:val="hybridMultilevel"/>
    <w:tmpl w:val="BD90B434"/>
    <w:lvl w:ilvl="0" w:tplc="0C09000F">
      <w:start w:val="1"/>
      <w:numFmt w:val="decimal"/>
      <w:lvlText w:val="%1."/>
      <w:lvlJc w:val="left"/>
      <w:pPr>
        <w:ind w:left="720" w:hanging="360"/>
      </w:pPr>
    </w:lvl>
    <w:lvl w:ilvl="1" w:tplc="FA681660">
      <w:start w:val="1"/>
      <w:numFmt w:val="lowerLetter"/>
      <w:lvlText w:val="%2."/>
      <w:lvlJc w:val="left"/>
      <w:pPr>
        <w:ind w:left="1440" w:hanging="360"/>
      </w:pPr>
      <w:rPr>
        <w:rFonts w:hint="default"/>
        <w:b/>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2A1670D"/>
    <w:multiLevelType w:val="hybridMultilevel"/>
    <w:tmpl w:val="76E0D93C"/>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12AF7534"/>
    <w:multiLevelType w:val="hybridMultilevel"/>
    <w:tmpl w:val="2F60F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3C178F1"/>
    <w:multiLevelType w:val="hybridMultilevel"/>
    <w:tmpl w:val="F25C4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5742DE2"/>
    <w:multiLevelType w:val="hybridMultilevel"/>
    <w:tmpl w:val="CC6E121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15E93577"/>
    <w:multiLevelType w:val="multilevel"/>
    <w:tmpl w:val="4E6AC8F6"/>
    <w:name w:val="NTG Table Bullet List33222222"/>
    <w:numStyleLink w:val="Numberlist"/>
  </w:abstractNum>
  <w:abstractNum w:abstractNumId="31" w15:restartNumberingAfterBreak="0">
    <w:nsid w:val="166C6789"/>
    <w:multiLevelType w:val="hybridMultilevel"/>
    <w:tmpl w:val="89004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9458B2"/>
    <w:multiLevelType w:val="hybridMultilevel"/>
    <w:tmpl w:val="C23ABF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7955DFC"/>
    <w:multiLevelType w:val="hybridMultilevel"/>
    <w:tmpl w:val="8D8E10B0"/>
    <w:lvl w:ilvl="0" w:tplc="4864756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070C16"/>
    <w:multiLevelType w:val="hybridMultilevel"/>
    <w:tmpl w:val="B990685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8C5EA0"/>
    <w:multiLevelType w:val="hybridMultilevel"/>
    <w:tmpl w:val="B84CA8F8"/>
    <w:lvl w:ilvl="0" w:tplc="0C090019">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6" w15:restartNumberingAfterBreak="0">
    <w:nsid w:val="18D26C06"/>
    <w:multiLevelType w:val="multilevel"/>
    <w:tmpl w:val="3E5E177A"/>
    <w:name w:val="NTG Table Bullet List33222222222222222"/>
    <w:numStyleLink w:val="Tablenumberlist"/>
  </w:abstractNum>
  <w:abstractNum w:abstractNumId="37" w15:restartNumberingAfterBreak="0">
    <w:nsid w:val="18ED5F96"/>
    <w:multiLevelType w:val="hybridMultilevel"/>
    <w:tmpl w:val="70A63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9533A06"/>
    <w:multiLevelType w:val="multilevel"/>
    <w:tmpl w:val="3928FD02"/>
    <w:name w:val="NTG Table Bullet List3222"/>
    <w:numStyleLink w:val="Bulletlist"/>
  </w:abstractNum>
  <w:abstractNum w:abstractNumId="3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40" w15:restartNumberingAfterBreak="0">
    <w:nsid w:val="1B26429D"/>
    <w:multiLevelType w:val="multilevel"/>
    <w:tmpl w:val="3E5E177A"/>
    <w:name w:val="NTG Table Bullet List33222222222"/>
    <w:numStyleLink w:val="Tablenumberlist"/>
  </w:abstractNum>
  <w:abstractNum w:abstractNumId="41" w15:restartNumberingAfterBreak="0">
    <w:nsid w:val="1B8154CC"/>
    <w:multiLevelType w:val="hybridMultilevel"/>
    <w:tmpl w:val="BF3C18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1B86276C"/>
    <w:multiLevelType w:val="multilevel"/>
    <w:tmpl w:val="3928FD02"/>
    <w:name w:val="NTG Table Bullet List32223"/>
    <w:numStyleLink w:val="Bulletlist"/>
  </w:abstractNum>
  <w:abstractNum w:abstractNumId="43" w15:restartNumberingAfterBreak="0">
    <w:nsid w:val="1BFC460C"/>
    <w:multiLevelType w:val="hybridMultilevel"/>
    <w:tmpl w:val="0AB05AAE"/>
    <w:lvl w:ilvl="0" w:tplc="0C090019">
      <w:start w:val="1"/>
      <w:numFmt w:val="lowerLetter"/>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4" w15:restartNumberingAfterBreak="0">
    <w:nsid w:val="1CAF17F2"/>
    <w:multiLevelType w:val="hybridMultilevel"/>
    <w:tmpl w:val="352437D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D0744AE"/>
    <w:multiLevelType w:val="multilevel"/>
    <w:tmpl w:val="3E5E177A"/>
    <w:name w:val="NTG Table Bullet List3222322"/>
    <w:numStyleLink w:val="Tablenumberlist"/>
  </w:abstractNum>
  <w:abstractNum w:abstractNumId="46" w15:restartNumberingAfterBreak="0">
    <w:nsid w:val="1EF67BC1"/>
    <w:multiLevelType w:val="hybridMultilevel"/>
    <w:tmpl w:val="B78851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774FA5"/>
    <w:multiLevelType w:val="hybridMultilevel"/>
    <w:tmpl w:val="57966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FA52B42"/>
    <w:multiLevelType w:val="hybridMultilevel"/>
    <w:tmpl w:val="769CBCA0"/>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FD018F7"/>
    <w:multiLevelType w:val="hybridMultilevel"/>
    <w:tmpl w:val="D3A607C8"/>
    <w:lvl w:ilvl="0" w:tplc="803E6CD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0516989"/>
    <w:multiLevelType w:val="hybridMultilevel"/>
    <w:tmpl w:val="AE1A9F26"/>
    <w:lvl w:ilvl="0" w:tplc="781C2F4C">
      <w:start w:val="1"/>
      <w:numFmt w:val="lowerLetter"/>
      <w:lvlText w:val="(%1)"/>
      <w:lvlJc w:val="left"/>
      <w:pPr>
        <w:ind w:left="644" w:hanging="360"/>
      </w:pPr>
      <w:rPr>
        <w:rFonts w:ascii="Calibri" w:eastAsia="Calibri" w:hAnsi="Calibri" w:cs="Calibri" w:hint="default"/>
        <w:b w:val="0"/>
        <w:bCs w:val="0"/>
        <w:i w:val="0"/>
        <w:iCs w:val="0"/>
        <w:spacing w:val="-1"/>
        <w:w w:val="100"/>
        <w:sz w:val="22"/>
        <w:szCs w:val="22"/>
      </w:rPr>
    </w:lvl>
    <w:lvl w:ilvl="1" w:tplc="0C09001B">
      <w:start w:val="1"/>
      <w:numFmt w:val="lowerRoman"/>
      <w:lvlText w:val="%2."/>
      <w:lvlJc w:val="right"/>
      <w:pPr>
        <w:ind w:left="1364" w:hanging="360"/>
      </w:pPr>
      <w:rPr>
        <w:rFonts w:hint="default"/>
      </w:rPr>
    </w:lvl>
    <w:lvl w:ilvl="2" w:tplc="781C2F4C">
      <w:start w:val="1"/>
      <w:numFmt w:val="lowerLetter"/>
      <w:lvlText w:val="(%3)"/>
      <w:lvlJc w:val="left"/>
      <w:pPr>
        <w:ind w:left="2084" w:hanging="360"/>
      </w:pPr>
      <w:rPr>
        <w:rFonts w:ascii="Calibri" w:eastAsia="Calibri" w:hAnsi="Calibri" w:cs="Calibri" w:hint="default"/>
        <w:b w:val="0"/>
        <w:bCs w:val="0"/>
        <w:i w:val="0"/>
        <w:iCs w:val="0"/>
        <w:spacing w:val="-1"/>
        <w:w w:val="100"/>
        <w:sz w:val="22"/>
        <w:szCs w:val="22"/>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22BA794A"/>
    <w:multiLevelType w:val="hybridMultilevel"/>
    <w:tmpl w:val="CD6A141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3" w15:restartNumberingAfterBreak="0">
    <w:nsid w:val="22BB0FE9"/>
    <w:multiLevelType w:val="hybridMultilevel"/>
    <w:tmpl w:val="350A2B38"/>
    <w:lvl w:ilvl="0" w:tplc="781C2F4C">
      <w:start w:val="1"/>
      <w:numFmt w:val="lowerLetter"/>
      <w:lvlText w:val="(%1)"/>
      <w:lvlJc w:val="left"/>
      <w:pPr>
        <w:ind w:left="720" w:hanging="360"/>
      </w:pPr>
      <w:rPr>
        <w:rFonts w:ascii="Calibri" w:eastAsia="Calibri" w:hAnsi="Calibri" w:cs="Calibri" w:hint="default"/>
        <w:b w:val="0"/>
        <w:bCs w:val="0"/>
        <w:i w:val="0"/>
        <w:iCs w:val="0"/>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3385172"/>
    <w:multiLevelType w:val="hybridMultilevel"/>
    <w:tmpl w:val="86840D7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23D67E85"/>
    <w:multiLevelType w:val="hybridMultilevel"/>
    <w:tmpl w:val="F312BC1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54336A1"/>
    <w:multiLevelType w:val="hybridMultilevel"/>
    <w:tmpl w:val="D8D27310"/>
    <w:lvl w:ilvl="0" w:tplc="803E6CD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5444F96"/>
    <w:multiLevelType w:val="hybridMultilevel"/>
    <w:tmpl w:val="D6283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25475138"/>
    <w:multiLevelType w:val="hybridMultilevel"/>
    <w:tmpl w:val="44DADA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25584B7B"/>
    <w:multiLevelType w:val="hybridMultilevel"/>
    <w:tmpl w:val="01DA58C8"/>
    <w:lvl w:ilvl="0" w:tplc="0C090019">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60" w15:restartNumberingAfterBreak="0">
    <w:nsid w:val="2561404A"/>
    <w:multiLevelType w:val="hybridMultilevel"/>
    <w:tmpl w:val="4554FD5E"/>
    <w:lvl w:ilvl="0" w:tplc="48647564">
      <w:start w:val="1"/>
      <w:numFmt w:val="lowerLetter"/>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1" w15:restartNumberingAfterBreak="0">
    <w:nsid w:val="25724964"/>
    <w:multiLevelType w:val="hybridMultilevel"/>
    <w:tmpl w:val="9E943720"/>
    <w:lvl w:ilvl="0" w:tplc="0C09001B">
      <w:start w:val="1"/>
      <w:numFmt w:val="lowerRoman"/>
      <w:lvlText w:val="%1."/>
      <w:lvlJc w:val="right"/>
      <w:pPr>
        <w:ind w:left="1496" w:hanging="360"/>
      </w:pPr>
    </w:lvl>
    <w:lvl w:ilvl="1" w:tplc="0C090019">
      <w:start w:val="1"/>
      <w:numFmt w:val="lowerLetter"/>
      <w:lvlText w:val="%2."/>
      <w:lvlJc w:val="left"/>
      <w:pPr>
        <w:ind w:left="2216" w:hanging="360"/>
      </w:pPr>
    </w:lvl>
    <w:lvl w:ilvl="2" w:tplc="0C09001B" w:tentative="1">
      <w:start w:val="1"/>
      <w:numFmt w:val="lowerRoman"/>
      <w:lvlText w:val="%3."/>
      <w:lvlJc w:val="right"/>
      <w:pPr>
        <w:ind w:left="2936" w:hanging="180"/>
      </w:pPr>
    </w:lvl>
    <w:lvl w:ilvl="3" w:tplc="0C09000F" w:tentative="1">
      <w:start w:val="1"/>
      <w:numFmt w:val="decimal"/>
      <w:lvlText w:val="%4."/>
      <w:lvlJc w:val="left"/>
      <w:pPr>
        <w:ind w:left="3656" w:hanging="360"/>
      </w:pPr>
    </w:lvl>
    <w:lvl w:ilvl="4" w:tplc="0C090019" w:tentative="1">
      <w:start w:val="1"/>
      <w:numFmt w:val="lowerLetter"/>
      <w:lvlText w:val="%5."/>
      <w:lvlJc w:val="left"/>
      <w:pPr>
        <w:ind w:left="4376" w:hanging="360"/>
      </w:pPr>
    </w:lvl>
    <w:lvl w:ilvl="5" w:tplc="0C09001B" w:tentative="1">
      <w:start w:val="1"/>
      <w:numFmt w:val="lowerRoman"/>
      <w:lvlText w:val="%6."/>
      <w:lvlJc w:val="right"/>
      <w:pPr>
        <w:ind w:left="5096" w:hanging="180"/>
      </w:pPr>
    </w:lvl>
    <w:lvl w:ilvl="6" w:tplc="0C09000F" w:tentative="1">
      <w:start w:val="1"/>
      <w:numFmt w:val="decimal"/>
      <w:lvlText w:val="%7."/>
      <w:lvlJc w:val="left"/>
      <w:pPr>
        <w:ind w:left="5816" w:hanging="360"/>
      </w:pPr>
    </w:lvl>
    <w:lvl w:ilvl="7" w:tplc="0C090019" w:tentative="1">
      <w:start w:val="1"/>
      <w:numFmt w:val="lowerLetter"/>
      <w:lvlText w:val="%8."/>
      <w:lvlJc w:val="left"/>
      <w:pPr>
        <w:ind w:left="6536" w:hanging="360"/>
      </w:pPr>
    </w:lvl>
    <w:lvl w:ilvl="8" w:tplc="0C09001B" w:tentative="1">
      <w:start w:val="1"/>
      <w:numFmt w:val="lowerRoman"/>
      <w:lvlText w:val="%9."/>
      <w:lvlJc w:val="right"/>
      <w:pPr>
        <w:ind w:left="7256" w:hanging="180"/>
      </w:pPr>
    </w:lvl>
  </w:abstractNum>
  <w:abstractNum w:abstractNumId="62" w15:restartNumberingAfterBreak="0">
    <w:nsid w:val="269279C1"/>
    <w:multiLevelType w:val="hybridMultilevel"/>
    <w:tmpl w:val="434A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69B3B53"/>
    <w:multiLevelType w:val="hybridMultilevel"/>
    <w:tmpl w:val="713212F2"/>
    <w:lvl w:ilvl="0" w:tplc="803E6CD4">
      <w:start w:val="1"/>
      <w:numFmt w:val="lowerLetter"/>
      <w:lvlText w:val="(%1)"/>
      <w:lvlJc w:val="left"/>
      <w:pPr>
        <w:ind w:left="1288" w:hanging="360"/>
      </w:pPr>
      <w:rPr>
        <w:rFonts w:hint="default"/>
      </w:r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64" w15:restartNumberingAfterBreak="0">
    <w:nsid w:val="270403F6"/>
    <w:multiLevelType w:val="hybridMultilevel"/>
    <w:tmpl w:val="538EED50"/>
    <w:lvl w:ilvl="0" w:tplc="0C090017">
      <w:start w:val="1"/>
      <w:numFmt w:val="lowerLetter"/>
      <w:lvlText w:val="%1)"/>
      <w:lvlJc w:val="left"/>
      <w:pPr>
        <w:ind w:left="936" w:hanging="360"/>
      </w:pPr>
    </w:lvl>
    <w:lvl w:ilvl="1" w:tplc="CE0C533A">
      <w:start w:val="1"/>
      <w:numFmt w:val="lowerRoman"/>
      <w:lvlText w:val="(%2)"/>
      <w:lvlJc w:val="left"/>
      <w:pPr>
        <w:ind w:left="1656" w:hanging="360"/>
      </w:pPr>
      <w:rPr>
        <w:rFonts w:hint="default"/>
      </w:r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65" w15:restartNumberingAfterBreak="0">
    <w:nsid w:val="270A6B91"/>
    <w:multiLevelType w:val="hybridMultilevel"/>
    <w:tmpl w:val="D4CC3EF0"/>
    <w:lvl w:ilvl="0" w:tplc="0C090019">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66" w15:restartNumberingAfterBreak="0">
    <w:nsid w:val="272E3F76"/>
    <w:multiLevelType w:val="multilevel"/>
    <w:tmpl w:val="3E5E177A"/>
    <w:name w:val="NTG Table Bullet List3322"/>
    <w:numStyleLink w:val="Tablenumberlist"/>
  </w:abstractNum>
  <w:abstractNum w:abstractNumId="67" w15:restartNumberingAfterBreak="0">
    <w:nsid w:val="27CE4608"/>
    <w:multiLevelType w:val="multilevel"/>
    <w:tmpl w:val="3E5E177A"/>
    <w:name w:val="NTG Table Bullet List33222"/>
    <w:numStyleLink w:val="Tablenumberlist"/>
  </w:abstractNum>
  <w:abstractNum w:abstractNumId="68" w15:restartNumberingAfterBreak="0">
    <w:nsid w:val="27D83E4D"/>
    <w:multiLevelType w:val="multilevel"/>
    <w:tmpl w:val="3928FD02"/>
    <w:numStyleLink w:val="Bulletlist"/>
  </w:abstractNum>
  <w:abstractNum w:abstractNumId="69" w15:restartNumberingAfterBreak="0">
    <w:nsid w:val="28FC73BC"/>
    <w:multiLevelType w:val="hybridMultilevel"/>
    <w:tmpl w:val="8A30E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96E1D55"/>
    <w:multiLevelType w:val="multilevel"/>
    <w:tmpl w:val="7728DBE0"/>
    <w:lvl w:ilvl="0">
      <w:start w:val="1"/>
      <w:numFmt w:val="lowerLetter"/>
      <w:lvlText w:val="%1."/>
      <w:lvlJc w:val="left"/>
      <w:pPr>
        <w:ind w:left="1288" w:hanging="360"/>
      </w:pPr>
      <w:rPr>
        <w:rFonts w:hint="default"/>
      </w:rPr>
    </w:lvl>
    <w:lvl w:ilvl="1">
      <w:start w:val="3"/>
      <w:numFmt w:val="decimal"/>
      <w:isLgl/>
      <w:lvlText w:val="%1.%2"/>
      <w:lvlJc w:val="left"/>
      <w:pPr>
        <w:ind w:left="1468" w:hanging="54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71" w15:restartNumberingAfterBreak="0">
    <w:nsid w:val="2C282928"/>
    <w:multiLevelType w:val="hybridMultilevel"/>
    <w:tmpl w:val="2AD8029C"/>
    <w:lvl w:ilvl="0" w:tplc="4864756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D292FAC"/>
    <w:multiLevelType w:val="hybridMultilevel"/>
    <w:tmpl w:val="CD00012E"/>
    <w:lvl w:ilvl="0" w:tplc="0C090019">
      <w:start w:val="1"/>
      <w:numFmt w:val="lowerLetter"/>
      <w:lvlText w:val="%1."/>
      <w:lvlJc w:val="left"/>
      <w:pPr>
        <w:ind w:left="644" w:hanging="360"/>
      </w:pPr>
    </w:lvl>
    <w:lvl w:ilvl="1" w:tplc="0C09001B">
      <w:start w:val="1"/>
      <w:numFmt w:val="lowerRoman"/>
      <w:lvlText w:val="%2."/>
      <w:lvlJc w:val="righ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74" w15:restartNumberingAfterBreak="0">
    <w:nsid w:val="2D874D50"/>
    <w:multiLevelType w:val="hybridMultilevel"/>
    <w:tmpl w:val="53E6FE20"/>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2E693641"/>
    <w:multiLevelType w:val="multilevel"/>
    <w:tmpl w:val="3E5E177A"/>
    <w:name w:val="NTG Table Bullet List33"/>
    <w:numStyleLink w:val="Tablenumberlist"/>
  </w:abstractNum>
  <w:abstractNum w:abstractNumId="76" w15:restartNumberingAfterBreak="0">
    <w:nsid w:val="2EF077BC"/>
    <w:multiLevelType w:val="multilevel"/>
    <w:tmpl w:val="0C78A7AC"/>
    <w:name w:val="NTG Table Bullet List33222222222222222222"/>
    <w:numStyleLink w:val="Tablebulletlist"/>
  </w:abstractNum>
  <w:abstractNum w:abstractNumId="77" w15:restartNumberingAfterBreak="0">
    <w:nsid w:val="2F917832"/>
    <w:multiLevelType w:val="hybridMultilevel"/>
    <w:tmpl w:val="AF5E1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0573CD0"/>
    <w:multiLevelType w:val="hybridMultilevel"/>
    <w:tmpl w:val="829E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0D16D25"/>
    <w:multiLevelType w:val="hybridMultilevel"/>
    <w:tmpl w:val="C9100910"/>
    <w:lvl w:ilvl="0" w:tplc="4864756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2DF44DA"/>
    <w:multiLevelType w:val="multilevel"/>
    <w:tmpl w:val="3E5E177A"/>
    <w:name w:val="NTG Table Bullet List3222323"/>
    <w:numStyleLink w:val="Tablenumberlist"/>
  </w:abstractNum>
  <w:abstractNum w:abstractNumId="81" w15:restartNumberingAfterBreak="0">
    <w:nsid w:val="32EE23AB"/>
    <w:multiLevelType w:val="hybridMultilevel"/>
    <w:tmpl w:val="174C2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35E5BED"/>
    <w:multiLevelType w:val="hybridMultilevel"/>
    <w:tmpl w:val="AB78A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3" w15:restartNumberingAfterBreak="0">
    <w:nsid w:val="337551CD"/>
    <w:multiLevelType w:val="hybridMultilevel"/>
    <w:tmpl w:val="E2A2078A"/>
    <w:lvl w:ilvl="0" w:tplc="0C090019">
      <w:start w:val="1"/>
      <w:numFmt w:val="lowerLetter"/>
      <w:lvlText w:val="%1."/>
      <w:lvlJc w:val="left"/>
      <w:pPr>
        <w:ind w:left="1288" w:hanging="360"/>
      </w:p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84" w15:restartNumberingAfterBreak="0">
    <w:nsid w:val="33836451"/>
    <w:multiLevelType w:val="hybridMultilevel"/>
    <w:tmpl w:val="8E002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3A61BAB"/>
    <w:multiLevelType w:val="hybridMultilevel"/>
    <w:tmpl w:val="61D2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3F759A4"/>
    <w:multiLevelType w:val="hybridMultilevel"/>
    <w:tmpl w:val="87729CB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4392309"/>
    <w:multiLevelType w:val="hybridMultilevel"/>
    <w:tmpl w:val="8272B28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8" w15:restartNumberingAfterBreak="0">
    <w:nsid w:val="34B12AB6"/>
    <w:multiLevelType w:val="hybridMultilevel"/>
    <w:tmpl w:val="A4DC3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4F84DB5"/>
    <w:multiLevelType w:val="hybridMultilevel"/>
    <w:tmpl w:val="99B08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59302A5"/>
    <w:multiLevelType w:val="hybridMultilevel"/>
    <w:tmpl w:val="3DAA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2" w15:restartNumberingAfterBreak="0">
    <w:nsid w:val="37614C81"/>
    <w:multiLevelType w:val="hybridMultilevel"/>
    <w:tmpl w:val="6C68632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7810E3E"/>
    <w:multiLevelType w:val="hybridMultilevel"/>
    <w:tmpl w:val="0F2C91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5" w15:restartNumberingAfterBreak="0">
    <w:nsid w:val="37835F20"/>
    <w:multiLevelType w:val="hybridMultilevel"/>
    <w:tmpl w:val="415A6518"/>
    <w:lvl w:ilvl="0" w:tplc="803E6CD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79766E0"/>
    <w:multiLevelType w:val="hybridMultilevel"/>
    <w:tmpl w:val="F88A5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7AF7A36"/>
    <w:multiLevelType w:val="hybridMultilevel"/>
    <w:tmpl w:val="6388D426"/>
    <w:lvl w:ilvl="0" w:tplc="803E6C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398A1DF5"/>
    <w:multiLevelType w:val="hybridMultilevel"/>
    <w:tmpl w:val="D9DC7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9A8140D"/>
    <w:multiLevelType w:val="hybridMultilevel"/>
    <w:tmpl w:val="F83CBD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3A6322A3"/>
    <w:multiLevelType w:val="hybridMultilevel"/>
    <w:tmpl w:val="156ADEE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3B173346"/>
    <w:multiLevelType w:val="hybridMultilevel"/>
    <w:tmpl w:val="4E600F40"/>
    <w:lvl w:ilvl="0" w:tplc="0C090019">
      <w:start w:val="1"/>
      <w:numFmt w:val="lowerLetter"/>
      <w:lvlText w:val="%1."/>
      <w:lvlJc w:val="left"/>
      <w:pPr>
        <w:ind w:left="770" w:hanging="360"/>
      </w:pPr>
    </w:lvl>
    <w:lvl w:ilvl="1" w:tplc="0C09001B">
      <w:start w:val="1"/>
      <w:numFmt w:val="lowerRoman"/>
      <w:lvlText w:val="%2."/>
      <w:lvlJc w:val="right"/>
      <w:pPr>
        <w:ind w:left="1490" w:hanging="360"/>
      </w:pPr>
    </w:lvl>
    <w:lvl w:ilvl="2" w:tplc="0C09001B">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02" w15:restartNumberingAfterBreak="0">
    <w:nsid w:val="3BCA6286"/>
    <w:multiLevelType w:val="hybridMultilevel"/>
    <w:tmpl w:val="56686D6E"/>
    <w:lvl w:ilvl="0" w:tplc="0C090019">
      <w:start w:val="1"/>
      <w:numFmt w:val="lowerLetter"/>
      <w:lvlText w:val="%1."/>
      <w:lvlJc w:val="left"/>
      <w:pPr>
        <w:ind w:left="644" w:hanging="360"/>
      </w:pPr>
    </w:lvl>
    <w:lvl w:ilvl="1" w:tplc="0C09001B">
      <w:start w:val="1"/>
      <w:numFmt w:val="lowerRoman"/>
      <w:lvlText w:val="%2."/>
      <w:lvlJc w:val="righ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3" w15:restartNumberingAfterBreak="0">
    <w:nsid w:val="3BE61945"/>
    <w:multiLevelType w:val="multilevel"/>
    <w:tmpl w:val="3928FD02"/>
    <w:name w:val="NTG Table Bullet List332222222222222222"/>
    <w:numStyleLink w:val="Bulletlist"/>
  </w:abstractNum>
  <w:abstractNum w:abstractNumId="104" w15:restartNumberingAfterBreak="0">
    <w:nsid w:val="3C4A272E"/>
    <w:multiLevelType w:val="hybridMultilevel"/>
    <w:tmpl w:val="A4666150"/>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05" w15:restartNumberingAfterBreak="0">
    <w:nsid w:val="3D1C2BD4"/>
    <w:multiLevelType w:val="hybridMultilevel"/>
    <w:tmpl w:val="2C76F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DF10DBB"/>
    <w:multiLevelType w:val="hybridMultilevel"/>
    <w:tmpl w:val="0664A88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07" w15:restartNumberingAfterBreak="0">
    <w:nsid w:val="3EBC6345"/>
    <w:multiLevelType w:val="hybridMultilevel"/>
    <w:tmpl w:val="A69C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3FC22AFC"/>
    <w:multiLevelType w:val="hybridMultilevel"/>
    <w:tmpl w:val="00680A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FCE7E19"/>
    <w:multiLevelType w:val="hybridMultilevel"/>
    <w:tmpl w:val="8D3A874C"/>
    <w:lvl w:ilvl="0" w:tplc="0C090001">
      <w:start w:val="1"/>
      <w:numFmt w:val="bullet"/>
      <w:lvlText w:val=""/>
      <w:lvlJc w:val="left"/>
      <w:pPr>
        <w:tabs>
          <w:tab w:val="num" w:pos="928"/>
        </w:tabs>
        <w:ind w:left="928"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110" w15:restartNumberingAfterBreak="0">
    <w:nsid w:val="40EA094E"/>
    <w:multiLevelType w:val="hybridMultilevel"/>
    <w:tmpl w:val="5EF2F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11B7645"/>
    <w:multiLevelType w:val="hybridMultilevel"/>
    <w:tmpl w:val="00260D2A"/>
    <w:lvl w:ilvl="0" w:tplc="CE0C533A">
      <w:start w:val="1"/>
      <w:numFmt w:val="lowerRoman"/>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135573C"/>
    <w:multiLevelType w:val="hybridMultilevel"/>
    <w:tmpl w:val="C110FA14"/>
    <w:lvl w:ilvl="0" w:tplc="FFFFFFFF">
      <w:start w:val="1"/>
      <w:numFmt w:val="lowerLetter"/>
      <w:lvlText w:val="%1."/>
      <w:lvlJc w:val="left"/>
      <w:pPr>
        <w:ind w:left="1440" w:hanging="360"/>
      </w:pPr>
    </w:lvl>
    <w:lvl w:ilvl="1" w:tplc="0C09001B">
      <w:start w:val="1"/>
      <w:numFmt w:val="lowerRoman"/>
      <w:lvlText w:val="%2."/>
      <w:lvlJc w:val="right"/>
      <w:pPr>
        <w:ind w:left="2008"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15:restartNumberingAfterBreak="0">
    <w:nsid w:val="42544287"/>
    <w:multiLevelType w:val="hybridMultilevel"/>
    <w:tmpl w:val="47B08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2A20155"/>
    <w:multiLevelType w:val="hybridMultilevel"/>
    <w:tmpl w:val="8DF2E7DC"/>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15" w15:restartNumberingAfterBreak="0">
    <w:nsid w:val="43085478"/>
    <w:multiLevelType w:val="hybridMultilevel"/>
    <w:tmpl w:val="7AC2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38D3B42"/>
    <w:multiLevelType w:val="hybridMultilevel"/>
    <w:tmpl w:val="47E6B4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7" w15:restartNumberingAfterBreak="0">
    <w:nsid w:val="43AD1430"/>
    <w:multiLevelType w:val="hybridMultilevel"/>
    <w:tmpl w:val="394EF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8" w15:restartNumberingAfterBreak="0">
    <w:nsid w:val="451D305F"/>
    <w:multiLevelType w:val="hybridMultilevel"/>
    <w:tmpl w:val="C5F62404"/>
    <w:lvl w:ilvl="0" w:tplc="0C090019">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19" w15:restartNumberingAfterBreak="0">
    <w:nsid w:val="457D0EA9"/>
    <w:multiLevelType w:val="hybridMultilevel"/>
    <w:tmpl w:val="3FB46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6F14E92"/>
    <w:multiLevelType w:val="hybridMultilevel"/>
    <w:tmpl w:val="E4985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75425D8"/>
    <w:multiLevelType w:val="hybridMultilevel"/>
    <w:tmpl w:val="2A9C2CCE"/>
    <w:lvl w:ilvl="0" w:tplc="803E6C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7D3251A"/>
    <w:multiLevelType w:val="hybridMultilevel"/>
    <w:tmpl w:val="F9C825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8A93655"/>
    <w:multiLevelType w:val="hybridMultilevel"/>
    <w:tmpl w:val="5608DAC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9FD3A20"/>
    <w:multiLevelType w:val="multilevel"/>
    <w:tmpl w:val="3E5E177A"/>
    <w:name w:val="NTG Table Bullet List3322222222222"/>
    <w:numStyleLink w:val="Tablenumberlist"/>
  </w:abstractNum>
  <w:abstractNum w:abstractNumId="125" w15:restartNumberingAfterBreak="0">
    <w:nsid w:val="4A864709"/>
    <w:multiLevelType w:val="hybridMultilevel"/>
    <w:tmpl w:val="B76EA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4AB94CB3"/>
    <w:multiLevelType w:val="hybridMultilevel"/>
    <w:tmpl w:val="09404D80"/>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8AFE94F6">
      <w:start w:val="1"/>
      <w:numFmt w:val="bullet"/>
      <w:lvlText w:val="-"/>
      <w:lvlJc w:val="left"/>
      <w:pPr>
        <w:ind w:left="2340" w:hanging="360"/>
      </w:pPr>
      <w:rPr>
        <w:rFonts w:ascii="Lato" w:eastAsia="Calibri" w:hAnsi="Lato" w:cs="Times New Roman"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7" w15:restartNumberingAfterBreak="0">
    <w:nsid w:val="4B7212E1"/>
    <w:multiLevelType w:val="hybridMultilevel"/>
    <w:tmpl w:val="F6B29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129" w15:restartNumberingAfterBreak="0">
    <w:nsid w:val="4CF04DF1"/>
    <w:multiLevelType w:val="hybridMultilevel"/>
    <w:tmpl w:val="B0B82780"/>
    <w:lvl w:ilvl="0" w:tplc="9D0C6B66">
      <w:start w:val="1"/>
      <w:numFmt w:val="decimal"/>
      <w:lvlText w:val="%1"/>
      <w:lvlJc w:val="left"/>
      <w:pPr>
        <w:ind w:left="1803" w:hanging="569"/>
      </w:pPr>
      <w:rPr>
        <w:rFonts w:ascii="Arial" w:eastAsia="Arial" w:hAnsi="Arial" w:cs="Arial" w:hint="default"/>
        <w:b w:val="0"/>
        <w:bCs w:val="0"/>
        <w:i w:val="0"/>
        <w:iCs w:val="0"/>
        <w:w w:val="99"/>
        <w:sz w:val="18"/>
        <w:szCs w:val="18"/>
        <w:lang w:val="en-AU" w:eastAsia="en-US" w:bidi="ar-SA"/>
      </w:rPr>
    </w:lvl>
    <w:lvl w:ilvl="1" w:tplc="B5BCA386">
      <w:numFmt w:val="bullet"/>
      <w:lvlText w:val=""/>
      <w:lvlJc w:val="left"/>
      <w:pPr>
        <w:ind w:left="2370" w:hanging="567"/>
      </w:pPr>
      <w:rPr>
        <w:rFonts w:ascii="Symbol" w:eastAsia="Symbol" w:hAnsi="Symbol" w:cs="Symbol" w:hint="default"/>
        <w:b w:val="0"/>
        <w:bCs w:val="0"/>
        <w:i w:val="0"/>
        <w:iCs w:val="0"/>
        <w:w w:val="100"/>
        <w:sz w:val="18"/>
        <w:szCs w:val="18"/>
        <w:lang w:val="en-AU" w:eastAsia="en-US" w:bidi="ar-SA"/>
      </w:rPr>
    </w:lvl>
    <w:lvl w:ilvl="2" w:tplc="DDB03CCC">
      <w:numFmt w:val="bullet"/>
      <w:lvlText w:val="•"/>
      <w:lvlJc w:val="left"/>
      <w:pPr>
        <w:ind w:left="3116" w:hanging="567"/>
      </w:pPr>
      <w:rPr>
        <w:rFonts w:hint="default"/>
        <w:lang w:val="en-AU" w:eastAsia="en-US" w:bidi="ar-SA"/>
      </w:rPr>
    </w:lvl>
    <w:lvl w:ilvl="3" w:tplc="BC160B2E">
      <w:numFmt w:val="bullet"/>
      <w:lvlText w:val="•"/>
      <w:lvlJc w:val="left"/>
      <w:pPr>
        <w:ind w:left="3852" w:hanging="567"/>
      </w:pPr>
      <w:rPr>
        <w:rFonts w:hint="default"/>
        <w:lang w:val="en-AU" w:eastAsia="en-US" w:bidi="ar-SA"/>
      </w:rPr>
    </w:lvl>
    <w:lvl w:ilvl="4" w:tplc="672EE11A">
      <w:numFmt w:val="bullet"/>
      <w:lvlText w:val="•"/>
      <w:lvlJc w:val="left"/>
      <w:pPr>
        <w:ind w:left="4588" w:hanging="567"/>
      </w:pPr>
      <w:rPr>
        <w:rFonts w:hint="default"/>
        <w:lang w:val="en-AU" w:eastAsia="en-US" w:bidi="ar-SA"/>
      </w:rPr>
    </w:lvl>
    <w:lvl w:ilvl="5" w:tplc="276220BE">
      <w:numFmt w:val="bullet"/>
      <w:lvlText w:val="•"/>
      <w:lvlJc w:val="left"/>
      <w:pPr>
        <w:ind w:left="5325" w:hanging="567"/>
      </w:pPr>
      <w:rPr>
        <w:rFonts w:hint="default"/>
        <w:lang w:val="en-AU" w:eastAsia="en-US" w:bidi="ar-SA"/>
      </w:rPr>
    </w:lvl>
    <w:lvl w:ilvl="6" w:tplc="9A948B58">
      <w:numFmt w:val="bullet"/>
      <w:lvlText w:val="•"/>
      <w:lvlJc w:val="left"/>
      <w:pPr>
        <w:ind w:left="6061" w:hanging="567"/>
      </w:pPr>
      <w:rPr>
        <w:rFonts w:hint="default"/>
        <w:lang w:val="en-AU" w:eastAsia="en-US" w:bidi="ar-SA"/>
      </w:rPr>
    </w:lvl>
    <w:lvl w:ilvl="7" w:tplc="14CC13FA">
      <w:numFmt w:val="bullet"/>
      <w:lvlText w:val="•"/>
      <w:lvlJc w:val="left"/>
      <w:pPr>
        <w:ind w:left="6797" w:hanging="567"/>
      </w:pPr>
      <w:rPr>
        <w:rFonts w:hint="default"/>
        <w:lang w:val="en-AU" w:eastAsia="en-US" w:bidi="ar-SA"/>
      </w:rPr>
    </w:lvl>
    <w:lvl w:ilvl="8" w:tplc="DD64CD92">
      <w:numFmt w:val="bullet"/>
      <w:lvlText w:val="•"/>
      <w:lvlJc w:val="left"/>
      <w:pPr>
        <w:ind w:left="7533" w:hanging="567"/>
      </w:pPr>
      <w:rPr>
        <w:rFonts w:hint="default"/>
        <w:lang w:val="en-AU" w:eastAsia="en-US" w:bidi="ar-SA"/>
      </w:rPr>
    </w:lvl>
  </w:abstractNum>
  <w:abstractNum w:abstractNumId="1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131" w15:restartNumberingAfterBreak="0">
    <w:nsid w:val="4DD069D6"/>
    <w:multiLevelType w:val="hybridMultilevel"/>
    <w:tmpl w:val="271A6C9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4E931DFE"/>
    <w:multiLevelType w:val="hybridMultilevel"/>
    <w:tmpl w:val="A6B86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4EB650EA"/>
    <w:multiLevelType w:val="hybridMultilevel"/>
    <w:tmpl w:val="1AA47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FC1524A"/>
    <w:multiLevelType w:val="hybridMultilevel"/>
    <w:tmpl w:val="6E7AB386"/>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FC90658"/>
    <w:multiLevelType w:val="hybridMultilevel"/>
    <w:tmpl w:val="3BFEF93A"/>
    <w:lvl w:ilvl="0" w:tplc="486475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01B6BCE"/>
    <w:multiLevelType w:val="multilevel"/>
    <w:tmpl w:val="77768502"/>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rPr>
    </w:lvl>
    <w:lvl w:ilvl="2">
      <w:start w:val="1"/>
      <w:numFmt w:val="lowerRoman"/>
      <w:lvlText w:val="%3."/>
      <w:lvlJc w:val="righ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start w:val="1"/>
      <w:numFmt w:val="decimal"/>
      <w:lvlText w:val="(%5)"/>
      <w:lvlJc w:val="left"/>
      <w:pPr>
        <w:ind w:left="3690" w:hanging="45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0440EAF"/>
    <w:multiLevelType w:val="hybridMultilevel"/>
    <w:tmpl w:val="FC305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510743F6"/>
    <w:multiLevelType w:val="multilevel"/>
    <w:tmpl w:val="F836C726"/>
    <w:lvl w:ilvl="0">
      <w:start w:val="1"/>
      <w:numFmt w:val="decimal"/>
      <w:lvlText w:val="%1."/>
      <w:lvlJc w:val="left"/>
      <w:pPr>
        <w:ind w:left="928" w:hanging="360"/>
      </w:pPr>
    </w:lvl>
    <w:lvl w:ilvl="1">
      <w:start w:val="3"/>
      <w:numFmt w:val="decimal"/>
      <w:isLgl/>
      <w:lvlText w:val="%1.%2"/>
      <w:lvlJc w:val="left"/>
      <w:pPr>
        <w:ind w:left="1108"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9" w15:restartNumberingAfterBreak="0">
    <w:nsid w:val="51807049"/>
    <w:multiLevelType w:val="hybridMultilevel"/>
    <w:tmpl w:val="E6F4D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51C8290B"/>
    <w:multiLevelType w:val="hybridMultilevel"/>
    <w:tmpl w:val="6E320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51F14EC8"/>
    <w:multiLevelType w:val="hybridMultilevel"/>
    <w:tmpl w:val="84029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532A3F2C"/>
    <w:multiLevelType w:val="hybridMultilevel"/>
    <w:tmpl w:val="54F25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3566184"/>
    <w:multiLevelType w:val="hybridMultilevel"/>
    <w:tmpl w:val="C2969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3842BC6"/>
    <w:multiLevelType w:val="multilevel"/>
    <w:tmpl w:val="0C78A7AC"/>
    <w:numStyleLink w:val="Tablebulletlist"/>
  </w:abstractNum>
  <w:abstractNum w:abstractNumId="145" w15:restartNumberingAfterBreak="0">
    <w:nsid w:val="53A06111"/>
    <w:multiLevelType w:val="hybridMultilevel"/>
    <w:tmpl w:val="479E0A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147" w15:restartNumberingAfterBreak="0">
    <w:nsid w:val="561472A8"/>
    <w:multiLevelType w:val="hybridMultilevel"/>
    <w:tmpl w:val="CEA2C2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6D902A6"/>
    <w:multiLevelType w:val="hybridMultilevel"/>
    <w:tmpl w:val="82567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56DA2CAE"/>
    <w:multiLevelType w:val="multilevel"/>
    <w:tmpl w:val="3E5E177A"/>
    <w:name w:val="NTG Table Bullet List332222222222222"/>
    <w:numStyleLink w:val="Tablenumberlist"/>
  </w:abstractNum>
  <w:abstractNum w:abstractNumId="150" w15:restartNumberingAfterBreak="0">
    <w:nsid w:val="579C4B6C"/>
    <w:multiLevelType w:val="hybridMultilevel"/>
    <w:tmpl w:val="7CFEB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583359D9"/>
    <w:multiLevelType w:val="multilevel"/>
    <w:tmpl w:val="3E5E177A"/>
    <w:name w:val="NTG Table Bullet List332222222"/>
    <w:numStyleLink w:val="Tablenumberlist"/>
  </w:abstractNum>
  <w:abstractNum w:abstractNumId="152" w15:restartNumberingAfterBreak="0">
    <w:nsid w:val="59722356"/>
    <w:multiLevelType w:val="hybridMultilevel"/>
    <w:tmpl w:val="5470B1E6"/>
    <w:lvl w:ilvl="0" w:tplc="F3BAC210">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59AB351A"/>
    <w:multiLevelType w:val="hybridMultilevel"/>
    <w:tmpl w:val="DF763C32"/>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4" w15:restartNumberingAfterBreak="0">
    <w:nsid w:val="59BF3E1C"/>
    <w:multiLevelType w:val="hybridMultilevel"/>
    <w:tmpl w:val="D5581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59BF43C6"/>
    <w:multiLevelType w:val="hybridMultilevel"/>
    <w:tmpl w:val="71DA58F2"/>
    <w:lvl w:ilvl="0" w:tplc="D5967FBE">
      <w:start w:val="1"/>
      <w:numFmt w:val="decimal"/>
      <w:lvlText w:val="(%1)"/>
      <w:lvlJc w:val="left"/>
      <w:pPr>
        <w:ind w:left="668" w:hanging="567"/>
      </w:pPr>
      <w:rPr>
        <w:rFonts w:ascii="Arial" w:eastAsia="Arial" w:hAnsi="Arial" w:cs="Arial" w:hint="default"/>
        <w:b w:val="0"/>
        <w:bCs w:val="0"/>
        <w:i w:val="0"/>
        <w:iCs w:val="0"/>
        <w:w w:val="100"/>
        <w:sz w:val="22"/>
        <w:szCs w:val="22"/>
        <w:lang w:val="en-AU" w:eastAsia="en-US" w:bidi="ar-SA"/>
      </w:rPr>
    </w:lvl>
    <w:lvl w:ilvl="1" w:tplc="24924416">
      <w:start w:val="1"/>
      <w:numFmt w:val="lowerLetter"/>
      <w:lvlText w:val="(%2)"/>
      <w:lvlJc w:val="left"/>
      <w:pPr>
        <w:ind w:left="1234" w:hanging="567"/>
      </w:pPr>
      <w:rPr>
        <w:rFonts w:ascii="Arial" w:eastAsia="Arial" w:hAnsi="Arial" w:cs="Arial" w:hint="default"/>
        <w:b w:val="0"/>
        <w:bCs w:val="0"/>
        <w:i w:val="0"/>
        <w:iCs w:val="0"/>
        <w:spacing w:val="-1"/>
        <w:w w:val="100"/>
        <w:sz w:val="22"/>
        <w:szCs w:val="22"/>
        <w:lang w:val="en-AU" w:eastAsia="en-US" w:bidi="ar-SA"/>
      </w:rPr>
    </w:lvl>
    <w:lvl w:ilvl="2" w:tplc="8C40DECA">
      <w:numFmt w:val="bullet"/>
      <w:lvlText w:val=""/>
      <w:lvlJc w:val="left"/>
      <w:pPr>
        <w:ind w:left="2370" w:hanging="567"/>
      </w:pPr>
      <w:rPr>
        <w:rFonts w:ascii="Symbol" w:eastAsia="Symbol" w:hAnsi="Symbol" w:cs="Symbol" w:hint="default"/>
        <w:b w:val="0"/>
        <w:bCs w:val="0"/>
        <w:i w:val="0"/>
        <w:iCs w:val="0"/>
        <w:w w:val="100"/>
        <w:sz w:val="18"/>
        <w:szCs w:val="18"/>
        <w:lang w:val="en-AU" w:eastAsia="en-US" w:bidi="ar-SA"/>
      </w:rPr>
    </w:lvl>
    <w:lvl w:ilvl="3" w:tplc="8BAE2B58">
      <w:numFmt w:val="bullet"/>
      <w:lvlText w:val="•"/>
      <w:lvlJc w:val="left"/>
      <w:pPr>
        <w:ind w:left="3208" w:hanging="567"/>
      </w:pPr>
      <w:rPr>
        <w:rFonts w:hint="default"/>
        <w:lang w:val="en-AU" w:eastAsia="en-US" w:bidi="ar-SA"/>
      </w:rPr>
    </w:lvl>
    <w:lvl w:ilvl="4" w:tplc="4C7EF070">
      <w:numFmt w:val="bullet"/>
      <w:lvlText w:val="•"/>
      <w:lvlJc w:val="left"/>
      <w:pPr>
        <w:ind w:left="4036" w:hanging="567"/>
      </w:pPr>
      <w:rPr>
        <w:rFonts w:hint="default"/>
        <w:lang w:val="en-AU" w:eastAsia="en-US" w:bidi="ar-SA"/>
      </w:rPr>
    </w:lvl>
    <w:lvl w:ilvl="5" w:tplc="94888E04">
      <w:numFmt w:val="bullet"/>
      <w:lvlText w:val="•"/>
      <w:lvlJc w:val="left"/>
      <w:pPr>
        <w:ind w:left="4864" w:hanging="567"/>
      </w:pPr>
      <w:rPr>
        <w:rFonts w:hint="default"/>
        <w:lang w:val="en-AU" w:eastAsia="en-US" w:bidi="ar-SA"/>
      </w:rPr>
    </w:lvl>
    <w:lvl w:ilvl="6" w:tplc="9C6083DE">
      <w:numFmt w:val="bullet"/>
      <w:lvlText w:val="•"/>
      <w:lvlJc w:val="left"/>
      <w:pPr>
        <w:ind w:left="5693" w:hanging="567"/>
      </w:pPr>
      <w:rPr>
        <w:rFonts w:hint="default"/>
        <w:lang w:val="en-AU" w:eastAsia="en-US" w:bidi="ar-SA"/>
      </w:rPr>
    </w:lvl>
    <w:lvl w:ilvl="7" w:tplc="85E2D75A">
      <w:numFmt w:val="bullet"/>
      <w:lvlText w:val="•"/>
      <w:lvlJc w:val="left"/>
      <w:pPr>
        <w:ind w:left="6521" w:hanging="567"/>
      </w:pPr>
      <w:rPr>
        <w:rFonts w:hint="default"/>
        <w:lang w:val="en-AU" w:eastAsia="en-US" w:bidi="ar-SA"/>
      </w:rPr>
    </w:lvl>
    <w:lvl w:ilvl="8" w:tplc="40D6D51E">
      <w:numFmt w:val="bullet"/>
      <w:lvlText w:val="•"/>
      <w:lvlJc w:val="left"/>
      <w:pPr>
        <w:ind w:left="7349" w:hanging="567"/>
      </w:pPr>
      <w:rPr>
        <w:rFonts w:hint="default"/>
        <w:lang w:val="en-AU" w:eastAsia="en-US" w:bidi="ar-SA"/>
      </w:rPr>
    </w:lvl>
  </w:abstractNum>
  <w:abstractNum w:abstractNumId="156" w15:restartNumberingAfterBreak="0">
    <w:nsid w:val="59C65AEA"/>
    <w:multiLevelType w:val="hybridMultilevel"/>
    <w:tmpl w:val="05BA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5A3850A7"/>
    <w:multiLevelType w:val="hybridMultilevel"/>
    <w:tmpl w:val="9D8471D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8" w15:restartNumberingAfterBreak="0">
    <w:nsid w:val="5AF364AE"/>
    <w:multiLevelType w:val="hybridMultilevel"/>
    <w:tmpl w:val="6094AC4C"/>
    <w:lvl w:ilvl="0" w:tplc="B0C29BF6">
      <w:start w:val="1"/>
      <w:numFmt w:val="lowerRoman"/>
      <w:lvlText w:val="(%1)"/>
      <w:lvlJc w:val="righ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9" w15:restartNumberingAfterBreak="0">
    <w:nsid w:val="5B9A5FFE"/>
    <w:multiLevelType w:val="multilevel"/>
    <w:tmpl w:val="0C78A7AC"/>
    <w:name w:val="NTG Table Bullet List33222222222222"/>
    <w:numStyleLink w:val="Tablebulletlist"/>
  </w:abstractNum>
  <w:abstractNum w:abstractNumId="160" w15:restartNumberingAfterBreak="0">
    <w:nsid w:val="5C3F2448"/>
    <w:multiLevelType w:val="hybridMultilevel"/>
    <w:tmpl w:val="36BC3642"/>
    <w:lvl w:ilvl="0" w:tplc="C96E2EFC">
      <w:start w:val="1"/>
      <w:numFmt w:val="lowerLetter"/>
      <w:lvlText w:val="(%1)"/>
      <w:lvlJc w:val="left"/>
      <w:pPr>
        <w:ind w:left="765" w:hanging="360"/>
      </w:pPr>
      <w:rPr>
        <w:rFonts w:ascii="Lato" w:hAnsi="Lato" w:hint="default"/>
        <w:sz w:val="22"/>
        <w:szCs w:val="24"/>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61" w15:restartNumberingAfterBreak="0">
    <w:nsid w:val="5C5A3E4B"/>
    <w:multiLevelType w:val="hybridMultilevel"/>
    <w:tmpl w:val="2D02101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5D444259"/>
    <w:multiLevelType w:val="multilevel"/>
    <w:tmpl w:val="0C78A7AC"/>
    <w:name w:val="NTG Table Bullet List332222"/>
    <w:numStyleLink w:val="Tablebulletlist"/>
  </w:abstractNum>
  <w:abstractNum w:abstractNumId="163" w15:restartNumberingAfterBreak="0">
    <w:nsid w:val="5F784357"/>
    <w:multiLevelType w:val="hybridMultilevel"/>
    <w:tmpl w:val="452C381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4" w15:restartNumberingAfterBreak="0">
    <w:nsid w:val="5FC41C2C"/>
    <w:multiLevelType w:val="hybridMultilevel"/>
    <w:tmpl w:val="FA44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6021268C"/>
    <w:multiLevelType w:val="hybridMultilevel"/>
    <w:tmpl w:val="080AC252"/>
    <w:lvl w:ilvl="0" w:tplc="0C090001">
      <w:start w:val="1"/>
      <w:numFmt w:val="bullet"/>
      <w:lvlText w:val=""/>
      <w:lvlJc w:val="left"/>
      <w:pPr>
        <w:ind w:left="779" w:hanging="360"/>
      </w:pPr>
      <w:rPr>
        <w:rFonts w:ascii="Symbol" w:hAnsi="Symbol" w:hint="default"/>
      </w:rPr>
    </w:lvl>
    <w:lvl w:ilvl="1" w:tplc="0C090003">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66" w15:restartNumberingAfterBreak="0">
    <w:nsid w:val="613E5BA6"/>
    <w:multiLevelType w:val="hybridMultilevel"/>
    <w:tmpl w:val="28DE561E"/>
    <w:lvl w:ilvl="0" w:tplc="0C09000F">
      <w:start w:val="1"/>
      <w:numFmt w:val="decimal"/>
      <w:lvlText w:val="%1."/>
      <w:lvlJc w:val="left"/>
      <w:pPr>
        <w:ind w:left="720" w:hanging="360"/>
      </w:pPr>
    </w:lvl>
    <w:lvl w:ilvl="1" w:tplc="803E6CD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16E155F"/>
    <w:multiLevelType w:val="hybridMultilevel"/>
    <w:tmpl w:val="075E0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630917C1"/>
    <w:multiLevelType w:val="hybridMultilevel"/>
    <w:tmpl w:val="F0B01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63D10670"/>
    <w:multiLevelType w:val="hybridMultilevel"/>
    <w:tmpl w:val="3AF8B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64876DE6"/>
    <w:multiLevelType w:val="hybridMultilevel"/>
    <w:tmpl w:val="00680A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5205AF4"/>
    <w:multiLevelType w:val="hybridMultilevel"/>
    <w:tmpl w:val="643EF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66EA7A59"/>
    <w:multiLevelType w:val="hybridMultilevel"/>
    <w:tmpl w:val="415A6518"/>
    <w:lvl w:ilvl="0" w:tplc="803E6CD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679B6DDB"/>
    <w:multiLevelType w:val="hybridMultilevel"/>
    <w:tmpl w:val="6CCC4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8B523AE"/>
    <w:multiLevelType w:val="hybridMultilevel"/>
    <w:tmpl w:val="EFD6A4B0"/>
    <w:lvl w:ilvl="0" w:tplc="0C090019">
      <w:start w:val="1"/>
      <w:numFmt w:val="lowerLetter"/>
      <w:lvlText w:val="%1."/>
      <w:lvlJc w:val="left"/>
      <w:pPr>
        <w:ind w:left="644" w:hanging="360"/>
      </w:pPr>
    </w:lvl>
    <w:lvl w:ilvl="1" w:tplc="0C09001B">
      <w:start w:val="1"/>
      <w:numFmt w:val="lowerRoman"/>
      <w:lvlText w:val="%2."/>
      <w:lvlJc w:val="righ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69262556"/>
    <w:multiLevelType w:val="multilevel"/>
    <w:tmpl w:val="3E5E177A"/>
    <w:name w:val="NTG Table Bullet List3322222222222222"/>
    <w:numStyleLink w:val="Tablenumberlist"/>
  </w:abstractNum>
  <w:abstractNum w:abstractNumId="176" w15:restartNumberingAfterBreak="0">
    <w:nsid w:val="69D31776"/>
    <w:multiLevelType w:val="hybridMultilevel"/>
    <w:tmpl w:val="821E4FA4"/>
    <w:lvl w:ilvl="0" w:tplc="D27C87E0">
      <w:start w:val="1"/>
      <w:numFmt w:val="decimal"/>
      <w:lvlText w:val="(%1)"/>
      <w:lvlJc w:val="left"/>
      <w:pPr>
        <w:ind w:left="668" w:hanging="567"/>
      </w:pPr>
      <w:rPr>
        <w:rFonts w:ascii="Arial" w:eastAsia="Arial" w:hAnsi="Arial" w:cs="Arial" w:hint="default"/>
        <w:b w:val="0"/>
        <w:bCs w:val="0"/>
        <w:i w:val="0"/>
        <w:iCs w:val="0"/>
        <w:w w:val="100"/>
        <w:sz w:val="22"/>
        <w:szCs w:val="22"/>
        <w:lang w:val="en-AU" w:eastAsia="en-US" w:bidi="ar-SA"/>
      </w:rPr>
    </w:lvl>
    <w:lvl w:ilvl="1" w:tplc="19788BB4">
      <w:start w:val="1"/>
      <w:numFmt w:val="lowerLetter"/>
      <w:lvlText w:val="(%2)"/>
      <w:lvlJc w:val="left"/>
      <w:pPr>
        <w:ind w:left="1234" w:hanging="567"/>
      </w:pPr>
      <w:rPr>
        <w:rFonts w:ascii="Arial" w:eastAsia="Arial" w:hAnsi="Arial" w:cs="Arial" w:hint="default"/>
        <w:b w:val="0"/>
        <w:bCs w:val="0"/>
        <w:i w:val="0"/>
        <w:iCs w:val="0"/>
        <w:spacing w:val="-1"/>
        <w:w w:val="100"/>
        <w:sz w:val="22"/>
        <w:szCs w:val="22"/>
        <w:lang w:val="en-AU" w:eastAsia="en-US" w:bidi="ar-SA"/>
      </w:rPr>
    </w:lvl>
    <w:lvl w:ilvl="2" w:tplc="09DCA9F0">
      <w:start w:val="1"/>
      <w:numFmt w:val="lowerRoman"/>
      <w:lvlText w:val="(%3)"/>
      <w:lvlJc w:val="left"/>
      <w:pPr>
        <w:ind w:left="1803" w:hanging="569"/>
      </w:pPr>
      <w:rPr>
        <w:rFonts w:ascii="Arial" w:eastAsia="Arial" w:hAnsi="Arial" w:cs="Arial" w:hint="default"/>
        <w:b w:val="0"/>
        <w:bCs w:val="0"/>
        <w:i w:val="0"/>
        <w:iCs w:val="0"/>
        <w:spacing w:val="-2"/>
        <w:w w:val="100"/>
        <w:sz w:val="22"/>
        <w:szCs w:val="22"/>
        <w:lang w:val="en-AU" w:eastAsia="en-US" w:bidi="ar-SA"/>
      </w:rPr>
    </w:lvl>
    <w:lvl w:ilvl="3" w:tplc="D46E3AB0">
      <w:numFmt w:val="bullet"/>
      <w:lvlText w:val="•"/>
      <w:lvlJc w:val="left"/>
      <w:pPr>
        <w:ind w:left="2700" w:hanging="569"/>
      </w:pPr>
      <w:rPr>
        <w:rFonts w:hint="default"/>
        <w:lang w:val="en-AU" w:eastAsia="en-US" w:bidi="ar-SA"/>
      </w:rPr>
    </w:lvl>
    <w:lvl w:ilvl="4" w:tplc="FCA61C3A">
      <w:numFmt w:val="bullet"/>
      <w:lvlText w:val="•"/>
      <w:lvlJc w:val="left"/>
      <w:pPr>
        <w:ind w:left="3601" w:hanging="569"/>
      </w:pPr>
      <w:rPr>
        <w:rFonts w:hint="default"/>
        <w:lang w:val="en-AU" w:eastAsia="en-US" w:bidi="ar-SA"/>
      </w:rPr>
    </w:lvl>
    <w:lvl w:ilvl="5" w:tplc="53DA489E">
      <w:numFmt w:val="bullet"/>
      <w:lvlText w:val="•"/>
      <w:lvlJc w:val="left"/>
      <w:pPr>
        <w:ind w:left="4502" w:hanging="569"/>
      </w:pPr>
      <w:rPr>
        <w:rFonts w:hint="default"/>
        <w:lang w:val="en-AU" w:eastAsia="en-US" w:bidi="ar-SA"/>
      </w:rPr>
    </w:lvl>
    <w:lvl w:ilvl="6" w:tplc="3D6A8DFA">
      <w:numFmt w:val="bullet"/>
      <w:lvlText w:val="•"/>
      <w:lvlJc w:val="left"/>
      <w:pPr>
        <w:ind w:left="5403" w:hanging="569"/>
      </w:pPr>
      <w:rPr>
        <w:rFonts w:hint="default"/>
        <w:lang w:val="en-AU" w:eastAsia="en-US" w:bidi="ar-SA"/>
      </w:rPr>
    </w:lvl>
    <w:lvl w:ilvl="7" w:tplc="46A49456">
      <w:numFmt w:val="bullet"/>
      <w:lvlText w:val="•"/>
      <w:lvlJc w:val="left"/>
      <w:pPr>
        <w:ind w:left="6304" w:hanging="569"/>
      </w:pPr>
      <w:rPr>
        <w:rFonts w:hint="default"/>
        <w:lang w:val="en-AU" w:eastAsia="en-US" w:bidi="ar-SA"/>
      </w:rPr>
    </w:lvl>
    <w:lvl w:ilvl="8" w:tplc="39E67D9A">
      <w:numFmt w:val="bullet"/>
      <w:lvlText w:val="•"/>
      <w:lvlJc w:val="left"/>
      <w:pPr>
        <w:ind w:left="7204" w:hanging="569"/>
      </w:pPr>
      <w:rPr>
        <w:rFonts w:hint="default"/>
        <w:lang w:val="en-AU" w:eastAsia="en-US" w:bidi="ar-SA"/>
      </w:rPr>
    </w:lvl>
  </w:abstractNum>
  <w:abstractNum w:abstractNumId="177" w15:restartNumberingAfterBreak="0">
    <w:nsid w:val="6A661B8D"/>
    <w:multiLevelType w:val="hybridMultilevel"/>
    <w:tmpl w:val="321CE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6C0420D1"/>
    <w:multiLevelType w:val="hybridMultilevel"/>
    <w:tmpl w:val="65420924"/>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C3D32EA"/>
    <w:multiLevelType w:val="hybridMultilevel"/>
    <w:tmpl w:val="E41C9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D616172"/>
    <w:multiLevelType w:val="hybridMultilevel"/>
    <w:tmpl w:val="0930CEBA"/>
    <w:lvl w:ilvl="0" w:tplc="1958C5A0">
      <w:start w:val="5"/>
      <w:numFmt w:val="bullet"/>
      <w:lvlText w:val="•"/>
      <w:lvlJc w:val="left"/>
      <w:pPr>
        <w:ind w:left="720" w:hanging="360"/>
      </w:pPr>
      <w:rPr>
        <w:rFonts w:ascii="Lato" w:eastAsia="Calibri" w:hAnsi="Lato"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6D662030"/>
    <w:multiLevelType w:val="hybridMultilevel"/>
    <w:tmpl w:val="F1B67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2" w15:restartNumberingAfterBreak="0">
    <w:nsid w:val="6ED94766"/>
    <w:multiLevelType w:val="hybridMultilevel"/>
    <w:tmpl w:val="CF047468"/>
    <w:lvl w:ilvl="0" w:tplc="803E6C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F195F97"/>
    <w:multiLevelType w:val="hybridMultilevel"/>
    <w:tmpl w:val="CADAA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F706198"/>
    <w:multiLevelType w:val="hybridMultilevel"/>
    <w:tmpl w:val="949ED9E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85" w15:restartNumberingAfterBreak="0">
    <w:nsid w:val="70245E58"/>
    <w:multiLevelType w:val="hybridMultilevel"/>
    <w:tmpl w:val="588A081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6" w15:restartNumberingAfterBreak="0">
    <w:nsid w:val="70B22BFA"/>
    <w:multiLevelType w:val="hybridMultilevel"/>
    <w:tmpl w:val="B5F04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71A339CD"/>
    <w:multiLevelType w:val="hybridMultilevel"/>
    <w:tmpl w:val="268C0CA8"/>
    <w:lvl w:ilvl="0" w:tplc="0C09001B">
      <w:start w:val="1"/>
      <w:numFmt w:val="lowerRoman"/>
      <w:lvlText w:val="%1."/>
      <w:lvlJc w:val="right"/>
      <w:pPr>
        <w:ind w:left="1288" w:hanging="360"/>
      </w:pPr>
    </w:lvl>
    <w:lvl w:ilvl="1" w:tplc="0C09001B">
      <w:start w:val="1"/>
      <w:numFmt w:val="lowerRoman"/>
      <w:lvlText w:val="%2."/>
      <w:lvlJc w:val="right"/>
      <w:pPr>
        <w:ind w:left="2008" w:hanging="360"/>
      </w:pPr>
    </w:lvl>
    <w:lvl w:ilvl="2" w:tplc="0C09001B">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88" w15:restartNumberingAfterBreak="0">
    <w:nsid w:val="72270EFD"/>
    <w:multiLevelType w:val="hybridMultilevel"/>
    <w:tmpl w:val="5F7A3308"/>
    <w:lvl w:ilvl="0" w:tplc="0C09001B">
      <w:start w:val="1"/>
      <w:numFmt w:val="lowerRoman"/>
      <w:lvlText w:val="%1."/>
      <w:lvlJc w:val="right"/>
      <w:pPr>
        <w:ind w:left="2064" w:hanging="360"/>
      </w:pPr>
    </w:lvl>
    <w:lvl w:ilvl="1" w:tplc="0C090019" w:tentative="1">
      <w:start w:val="1"/>
      <w:numFmt w:val="lowerLetter"/>
      <w:lvlText w:val="%2."/>
      <w:lvlJc w:val="left"/>
      <w:pPr>
        <w:ind w:left="2784" w:hanging="360"/>
      </w:pPr>
    </w:lvl>
    <w:lvl w:ilvl="2" w:tplc="0C09001B" w:tentative="1">
      <w:start w:val="1"/>
      <w:numFmt w:val="lowerRoman"/>
      <w:lvlText w:val="%3."/>
      <w:lvlJc w:val="right"/>
      <w:pPr>
        <w:ind w:left="3504" w:hanging="180"/>
      </w:pPr>
    </w:lvl>
    <w:lvl w:ilvl="3" w:tplc="0C09000F" w:tentative="1">
      <w:start w:val="1"/>
      <w:numFmt w:val="decimal"/>
      <w:lvlText w:val="%4."/>
      <w:lvlJc w:val="left"/>
      <w:pPr>
        <w:ind w:left="4224" w:hanging="360"/>
      </w:pPr>
    </w:lvl>
    <w:lvl w:ilvl="4" w:tplc="0C090019" w:tentative="1">
      <w:start w:val="1"/>
      <w:numFmt w:val="lowerLetter"/>
      <w:lvlText w:val="%5."/>
      <w:lvlJc w:val="left"/>
      <w:pPr>
        <w:ind w:left="4944" w:hanging="360"/>
      </w:pPr>
    </w:lvl>
    <w:lvl w:ilvl="5" w:tplc="0C09001B" w:tentative="1">
      <w:start w:val="1"/>
      <w:numFmt w:val="lowerRoman"/>
      <w:lvlText w:val="%6."/>
      <w:lvlJc w:val="right"/>
      <w:pPr>
        <w:ind w:left="5664" w:hanging="180"/>
      </w:pPr>
    </w:lvl>
    <w:lvl w:ilvl="6" w:tplc="0C09000F" w:tentative="1">
      <w:start w:val="1"/>
      <w:numFmt w:val="decimal"/>
      <w:lvlText w:val="%7."/>
      <w:lvlJc w:val="left"/>
      <w:pPr>
        <w:ind w:left="6384" w:hanging="360"/>
      </w:pPr>
    </w:lvl>
    <w:lvl w:ilvl="7" w:tplc="0C090019" w:tentative="1">
      <w:start w:val="1"/>
      <w:numFmt w:val="lowerLetter"/>
      <w:lvlText w:val="%8."/>
      <w:lvlJc w:val="left"/>
      <w:pPr>
        <w:ind w:left="7104" w:hanging="360"/>
      </w:pPr>
    </w:lvl>
    <w:lvl w:ilvl="8" w:tplc="0C09001B" w:tentative="1">
      <w:start w:val="1"/>
      <w:numFmt w:val="lowerRoman"/>
      <w:lvlText w:val="%9."/>
      <w:lvlJc w:val="right"/>
      <w:pPr>
        <w:ind w:left="7824" w:hanging="180"/>
      </w:pPr>
    </w:lvl>
  </w:abstractNum>
  <w:abstractNum w:abstractNumId="189" w15:restartNumberingAfterBreak="0">
    <w:nsid w:val="72C546D7"/>
    <w:multiLevelType w:val="hybridMultilevel"/>
    <w:tmpl w:val="F63AB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37947F8"/>
    <w:multiLevelType w:val="hybridMultilevel"/>
    <w:tmpl w:val="502E4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73845A8D"/>
    <w:multiLevelType w:val="hybridMultilevel"/>
    <w:tmpl w:val="1E669234"/>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92" w15:restartNumberingAfterBreak="0">
    <w:nsid w:val="73B40E98"/>
    <w:multiLevelType w:val="hybridMultilevel"/>
    <w:tmpl w:val="2DDEFFD8"/>
    <w:lvl w:ilvl="0" w:tplc="803E6CD4">
      <w:start w:val="1"/>
      <w:numFmt w:val="lowerLetter"/>
      <w:lvlText w:val="(%1)"/>
      <w:lvlJc w:val="left"/>
      <w:pPr>
        <w:ind w:left="1288" w:hanging="360"/>
      </w:pPr>
      <w:rPr>
        <w:rFonts w:hint="default"/>
      </w:rPr>
    </w:lvl>
    <w:lvl w:ilvl="1" w:tplc="0C09001B">
      <w:start w:val="1"/>
      <w:numFmt w:val="lowerRoman"/>
      <w:lvlText w:val="%2."/>
      <w:lvlJc w:val="righ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93" w15:restartNumberingAfterBreak="0">
    <w:nsid w:val="7453664D"/>
    <w:multiLevelType w:val="multilevel"/>
    <w:tmpl w:val="0C78A7AC"/>
    <w:name w:val="NTG Table Bullet List3322222222222222222"/>
    <w:numStyleLink w:val="Tablebulletlist"/>
  </w:abstractNum>
  <w:abstractNum w:abstractNumId="194" w15:restartNumberingAfterBreak="0">
    <w:nsid w:val="75260015"/>
    <w:multiLevelType w:val="hybridMultilevel"/>
    <w:tmpl w:val="C6648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76027FC0"/>
    <w:multiLevelType w:val="hybridMultilevel"/>
    <w:tmpl w:val="9524F0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76141D1E"/>
    <w:multiLevelType w:val="multilevel"/>
    <w:tmpl w:val="0C78A7AC"/>
    <w:name w:val="NTG Table Bullet List332222222222"/>
    <w:numStyleLink w:val="Tablebulletlist"/>
  </w:abstractNum>
  <w:abstractNum w:abstractNumId="197" w15:restartNumberingAfterBreak="0">
    <w:nsid w:val="76224095"/>
    <w:multiLevelType w:val="hybridMultilevel"/>
    <w:tmpl w:val="9272984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98" w15:restartNumberingAfterBreak="0">
    <w:nsid w:val="762C4B02"/>
    <w:multiLevelType w:val="hybridMultilevel"/>
    <w:tmpl w:val="8008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707203E"/>
    <w:multiLevelType w:val="hybridMultilevel"/>
    <w:tmpl w:val="7A9E5D3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7750F8C"/>
    <w:multiLevelType w:val="hybridMultilevel"/>
    <w:tmpl w:val="5DA273F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1" w15:restartNumberingAfterBreak="0">
    <w:nsid w:val="77CB7484"/>
    <w:multiLevelType w:val="hybridMultilevel"/>
    <w:tmpl w:val="578026D6"/>
    <w:lvl w:ilvl="0" w:tplc="2C4A7B92">
      <w:start w:val="1"/>
      <w:numFmt w:val="decimal"/>
      <w:lvlText w:val="(%1)"/>
      <w:lvlJc w:val="left"/>
      <w:pPr>
        <w:ind w:left="668" w:hanging="567"/>
      </w:pPr>
      <w:rPr>
        <w:rFonts w:ascii="Arial" w:eastAsia="Arial" w:hAnsi="Arial" w:cs="Arial" w:hint="default"/>
        <w:b w:val="0"/>
        <w:bCs w:val="0"/>
        <w:i w:val="0"/>
        <w:iCs w:val="0"/>
        <w:w w:val="100"/>
        <w:sz w:val="22"/>
        <w:szCs w:val="22"/>
        <w:lang w:val="en-AU" w:eastAsia="en-US" w:bidi="ar-SA"/>
      </w:rPr>
    </w:lvl>
    <w:lvl w:ilvl="1" w:tplc="04B03AD6">
      <w:numFmt w:val="bullet"/>
      <w:lvlText w:val=""/>
      <w:lvlJc w:val="left"/>
      <w:pPr>
        <w:ind w:left="2370" w:hanging="567"/>
      </w:pPr>
      <w:rPr>
        <w:rFonts w:ascii="Symbol" w:eastAsia="Symbol" w:hAnsi="Symbol" w:cs="Symbol" w:hint="default"/>
        <w:b w:val="0"/>
        <w:bCs w:val="0"/>
        <w:i w:val="0"/>
        <w:iCs w:val="0"/>
        <w:w w:val="100"/>
        <w:sz w:val="18"/>
        <w:szCs w:val="18"/>
        <w:lang w:val="en-AU" w:eastAsia="en-US" w:bidi="ar-SA"/>
      </w:rPr>
    </w:lvl>
    <w:lvl w:ilvl="2" w:tplc="AC0CDA46">
      <w:numFmt w:val="bullet"/>
      <w:lvlText w:val="•"/>
      <w:lvlJc w:val="left"/>
      <w:pPr>
        <w:ind w:left="3116" w:hanging="567"/>
      </w:pPr>
      <w:rPr>
        <w:rFonts w:hint="default"/>
        <w:lang w:val="en-AU" w:eastAsia="en-US" w:bidi="ar-SA"/>
      </w:rPr>
    </w:lvl>
    <w:lvl w:ilvl="3" w:tplc="4C4C717A">
      <w:numFmt w:val="bullet"/>
      <w:lvlText w:val="•"/>
      <w:lvlJc w:val="left"/>
      <w:pPr>
        <w:ind w:left="3852" w:hanging="567"/>
      </w:pPr>
      <w:rPr>
        <w:rFonts w:hint="default"/>
        <w:lang w:val="en-AU" w:eastAsia="en-US" w:bidi="ar-SA"/>
      </w:rPr>
    </w:lvl>
    <w:lvl w:ilvl="4" w:tplc="DA2664E8">
      <w:numFmt w:val="bullet"/>
      <w:lvlText w:val="•"/>
      <w:lvlJc w:val="left"/>
      <w:pPr>
        <w:ind w:left="4588" w:hanging="567"/>
      </w:pPr>
      <w:rPr>
        <w:rFonts w:hint="default"/>
        <w:lang w:val="en-AU" w:eastAsia="en-US" w:bidi="ar-SA"/>
      </w:rPr>
    </w:lvl>
    <w:lvl w:ilvl="5" w:tplc="83C45AE2">
      <w:numFmt w:val="bullet"/>
      <w:lvlText w:val="•"/>
      <w:lvlJc w:val="left"/>
      <w:pPr>
        <w:ind w:left="5325" w:hanging="567"/>
      </w:pPr>
      <w:rPr>
        <w:rFonts w:hint="default"/>
        <w:lang w:val="en-AU" w:eastAsia="en-US" w:bidi="ar-SA"/>
      </w:rPr>
    </w:lvl>
    <w:lvl w:ilvl="6" w:tplc="19C02210">
      <w:numFmt w:val="bullet"/>
      <w:lvlText w:val="•"/>
      <w:lvlJc w:val="left"/>
      <w:pPr>
        <w:ind w:left="6061" w:hanging="567"/>
      </w:pPr>
      <w:rPr>
        <w:rFonts w:hint="default"/>
        <w:lang w:val="en-AU" w:eastAsia="en-US" w:bidi="ar-SA"/>
      </w:rPr>
    </w:lvl>
    <w:lvl w:ilvl="7" w:tplc="170A1A52">
      <w:numFmt w:val="bullet"/>
      <w:lvlText w:val="•"/>
      <w:lvlJc w:val="left"/>
      <w:pPr>
        <w:ind w:left="6797" w:hanging="567"/>
      </w:pPr>
      <w:rPr>
        <w:rFonts w:hint="default"/>
        <w:lang w:val="en-AU" w:eastAsia="en-US" w:bidi="ar-SA"/>
      </w:rPr>
    </w:lvl>
    <w:lvl w:ilvl="8" w:tplc="39026538">
      <w:numFmt w:val="bullet"/>
      <w:lvlText w:val="•"/>
      <w:lvlJc w:val="left"/>
      <w:pPr>
        <w:ind w:left="7533" w:hanging="567"/>
      </w:pPr>
      <w:rPr>
        <w:rFonts w:hint="default"/>
        <w:lang w:val="en-AU" w:eastAsia="en-US" w:bidi="ar-SA"/>
      </w:rPr>
    </w:lvl>
  </w:abstractNum>
  <w:abstractNum w:abstractNumId="202" w15:restartNumberingAfterBreak="0">
    <w:nsid w:val="789669C8"/>
    <w:multiLevelType w:val="hybridMultilevel"/>
    <w:tmpl w:val="CF3E3466"/>
    <w:lvl w:ilvl="0" w:tplc="0C090001">
      <w:start w:val="1"/>
      <w:numFmt w:val="bullet"/>
      <w:lvlText w:val=""/>
      <w:lvlJc w:val="left"/>
      <w:pPr>
        <w:tabs>
          <w:tab w:val="num" w:pos="720"/>
        </w:tabs>
        <w:ind w:left="720" w:hanging="360"/>
      </w:pPr>
      <w:rPr>
        <w:rFonts w:ascii="Symbol" w:hAnsi="Symbol" w:hint="default"/>
      </w:rPr>
    </w:lvl>
    <w:lvl w:ilvl="1" w:tplc="87D0C7CA">
      <w:start w:val="1"/>
      <w:numFmt w:val="bullet"/>
      <w:lvlText w:val="•"/>
      <w:lvlJc w:val="left"/>
      <w:pPr>
        <w:tabs>
          <w:tab w:val="num" w:pos="1440"/>
        </w:tabs>
        <w:ind w:left="1440" w:hanging="360"/>
      </w:pPr>
      <w:rPr>
        <w:rFonts w:ascii="Arial" w:hAnsi="Arial" w:hint="default"/>
      </w:rPr>
    </w:lvl>
    <w:lvl w:ilvl="2" w:tplc="11A09018" w:tentative="1">
      <w:start w:val="1"/>
      <w:numFmt w:val="bullet"/>
      <w:lvlText w:val="•"/>
      <w:lvlJc w:val="left"/>
      <w:pPr>
        <w:tabs>
          <w:tab w:val="num" w:pos="2160"/>
        </w:tabs>
        <w:ind w:left="2160" w:hanging="360"/>
      </w:pPr>
      <w:rPr>
        <w:rFonts w:ascii="Arial" w:hAnsi="Arial" w:hint="default"/>
      </w:rPr>
    </w:lvl>
    <w:lvl w:ilvl="3" w:tplc="7C74F4DC" w:tentative="1">
      <w:start w:val="1"/>
      <w:numFmt w:val="bullet"/>
      <w:lvlText w:val="•"/>
      <w:lvlJc w:val="left"/>
      <w:pPr>
        <w:tabs>
          <w:tab w:val="num" w:pos="2880"/>
        </w:tabs>
        <w:ind w:left="2880" w:hanging="360"/>
      </w:pPr>
      <w:rPr>
        <w:rFonts w:ascii="Arial" w:hAnsi="Arial" w:hint="default"/>
      </w:rPr>
    </w:lvl>
    <w:lvl w:ilvl="4" w:tplc="618241E6" w:tentative="1">
      <w:start w:val="1"/>
      <w:numFmt w:val="bullet"/>
      <w:lvlText w:val="•"/>
      <w:lvlJc w:val="left"/>
      <w:pPr>
        <w:tabs>
          <w:tab w:val="num" w:pos="3600"/>
        </w:tabs>
        <w:ind w:left="3600" w:hanging="360"/>
      </w:pPr>
      <w:rPr>
        <w:rFonts w:ascii="Arial" w:hAnsi="Arial" w:hint="default"/>
      </w:rPr>
    </w:lvl>
    <w:lvl w:ilvl="5" w:tplc="95AC66BA" w:tentative="1">
      <w:start w:val="1"/>
      <w:numFmt w:val="bullet"/>
      <w:lvlText w:val="•"/>
      <w:lvlJc w:val="left"/>
      <w:pPr>
        <w:tabs>
          <w:tab w:val="num" w:pos="4320"/>
        </w:tabs>
        <w:ind w:left="4320" w:hanging="360"/>
      </w:pPr>
      <w:rPr>
        <w:rFonts w:ascii="Arial" w:hAnsi="Arial" w:hint="default"/>
      </w:rPr>
    </w:lvl>
    <w:lvl w:ilvl="6" w:tplc="5096ED6A" w:tentative="1">
      <w:start w:val="1"/>
      <w:numFmt w:val="bullet"/>
      <w:lvlText w:val="•"/>
      <w:lvlJc w:val="left"/>
      <w:pPr>
        <w:tabs>
          <w:tab w:val="num" w:pos="5040"/>
        </w:tabs>
        <w:ind w:left="5040" w:hanging="360"/>
      </w:pPr>
      <w:rPr>
        <w:rFonts w:ascii="Arial" w:hAnsi="Arial" w:hint="default"/>
      </w:rPr>
    </w:lvl>
    <w:lvl w:ilvl="7" w:tplc="9028CD92" w:tentative="1">
      <w:start w:val="1"/>
      <w:numFmt w:val="bullet"/>
      <w:lvlText w:val="•"/>
      <w:lvlJc w:val="left"/>
      <w:pPr>
        <w:tabs>
          <w:tab w:val="num" w:pos="5760"/>
        </w:tabs>
        <w:ind w:left="5760" w:hanging="360"/>
      </w:pPr>
      <w:rPr>
        <w:rFonts w:ascii="Arial" w:hAnsi="Arial" w:hint="default"/>
      </w:rPr>
    </w:lvl>
    <w:lvl w:ilvl="8" w:tplc="E4B24244" w:tentative="1">
      <w:start w:val="1"/>
      <w:numFmt w:val="bullet"/>
      <w:lvlText w:val="•"/>
      <w:lvlJc w:val="left"/>
      <w:pPr>
        <w:tabs>
          <w:tab w:val="num" w:pos="6480"/>
        </w:tabs>
        <w:ind w:left="6480" w:hanging="360"/>
      </w:pPr>
      <w:rPr>
        <w:rFonts w:ascii="Arial" w:hAnsi="Arial" w:hint="default"/>
      </w:rPr>
    </w:lvl>
  </w:abstractNum>
  <w:abstractNum w:abstractNumId="203" w15:restartNumberingAfterBreak="0">
    <w:nsid w:val="7951737E"/>
    <w:multiLevelType w:val="hybridMultilevel"/>
    <w:tmpl w:val="713212F2"/>
    <w:lvl w:ilvl="0" w:tplc="FFFFFFFF">
      <w:start w:val="1"/>
      <w:numFmt w:val="lowerLetter"/>
      <w:lvlText w:val="(%1)"/>
      <w:lvlJc w:val="left"/>
      <w:pPr>
        <w:ind w:left="1288" w:hanging="360"/>
      </w:pPr>
      <w:rPr>
        <w:rFonts w:hint="default"/>
      </w:rPr>
    </w:lvl>
    <w:lvl w:ilvl="1" w:tplc="FFFFFFFF">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04"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1427"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205" w15:restartNumberingAfterBreak="0">
    <w:nsid w:val="7A3930E4"/>
    <w:multiLevelType w:val="hybridMultilevel"/>
    <w:tmpl w:val="ACF4A446"/>
    <w:lvl w:ilvl="0" w:tplc="0C090019">
      <w:start w:val="1"/>
      <w:numFmt w:val="lowerLetter"/>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6" w15:restartNumberingAfterBreak="0">
    <w:nsid w:val="7AD57E35"/>
    <w:multiLevelType w:val="hybridMultilevel"/>
    <w:tmpl w:val="AD369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7D9E659B"/>
    <w:multiLevelType w:val="hybridMultilevel"/>
    <w:tmpl w:val="5E961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7DD661B5"/>
    <w:multiLevelType w:val="hybridMultilevel"/>
    <w:tmpl w:val="33F47A7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9" w15:restartNumberingAfterBreak="0">
    <w:nsid w:val="7E530C51"/>
    <w:multiLevelType w:val="hybridMultilevel"/>
    <w:tmpl w:val="69DEF122"/>
    <w:lvl w:ilvl="0" w:tplc="0C090001">
      <w:start w:val="1"/>
      <w:numFmt w:val="bullet"/>
      <w:lvlText w:val=""/>
      <w:lvlJc w:val="left"/>
      <w:pPr>
        <w:tabs>
          <w:tab w:val="num" w:pos="720"/>
        </w:tabs>
        <w:ind w:left="720" w:hanging="360"/>
      </w:pPr>
      <w:rPr>
        <w:rFonts w:ascii="Symbol" w:hAnsi="Symbol" w:hint="default"/>
      </w:rPr>
    </w:lvl>
    <w:lvl w:ilvl="1" w:tplc="87D0C7CA">
      <w:start w:val="1"/>
      <w:numFmt w:val="bullet"/>
      <w:lvlText w:val="•"/>
      <w:lvlJc w:val="left"/>
      <w:pPr>
        <w:tabs>
          <w:tab w:val="num" w:pos="1440"/>
        </w:tabs>
        <w:ind w:left="1440" w:hanging="360"/>
      </w:pPr>
      <w:rPr>
        <w:rFonts w:ascii="Arial" w:hAnsi="Arial" w:hint="default"/>
      </w:rPr>
    </w:lvl>
    <w:lvl w:ilvl="2" w:tplc="11A09018">
      <w:start w:val="1"/>
      <w:numFmt w:val="bullet"/>
      <w:lvlText w:val="•"/>
      <w:lvlJc w:val="left"/>
      <w:pPr>
        <w:tabs>
          <w:tab w:val="num" w:pos="2160"/>
        </w:tabs>
        <w:ind w:left="2160" w:hanging="360"/>
      </w:pPr>
      <w:rPr>
        <w:rFonts w:ascii="Arial" w:hAnsi="Arial" w:hint="default"/>
      </w:rPr>
    </w:lvl>
    <w:lvl w:ilvl="3" w:tplc="7C74F4DC" w:tentative="1">
      <w:start w:val="1"/>
      <w:numFmt w:val="bullet"/>
      <w:lvlText w:val="•"/>
      <w:lvlJc w:val="left"/>
      <w:pPr>
        <w:tabs>
          <w:tab w:val="num" w:pos="2880"/>
        </w:tabs>
        <w:ind w:left="2880" w:hanging="360"/>
      </w:pPr>
      <w:rPr>
        <w:rFonts w:ascii="Arial" w:hAnsi="Arial" w:hint="default"/>
      </w:rPr>
    </w:lvl>
    <w:lvl w:ilvl="4" w:tplc="618241E6" w:tentative="1">
      <w:start w:val="1"/>
      <w:numFmt w:val="bullet"/>
      <w:lvlText w:val="•"/>
      <w:lvlJc w:val="left"/>
      <w:pPr>
        <w:tabs>
          <w:tab w:val="num" w:pos="3600"/>
        </w:tabs>
        <w:ind w:left="3600" w:hanging="360"/>
      </w:pPr>
      <w:rPr>
        <w:rFonts w:ascii="Arial" w:hAnsi="Arial" w:hint="default"/>
      </w:rPr>
    </w:lvl>
    <w:lvl w:ilvl="5" w:tplc="95AC66BA" w:tentative="1">
      <w:start w:val="1"/>
      <w:numFmt w:val="bullet"/>
      <w:lvlText w:val="•"/>
      <w:lvlJc w:val="left"/>
      <w:pPr>
        <w:tabs>
          <w:tab w:val="num" w:pos="4320"/>
        </w:tabs>
        <w:ind w:left="4320" w:hanging="360"/>
      </w:pPr>
      <w:rPr>
        <w:rFonts w:ascii="Arial" w:hAnsi="Arial" w:hint="default"/>
      </w:rPr>
    </w:lvl>
    <w:lvl w:ilvl="6" w:tplc="5096ED6A" w:tentative="1">
      <w:start w:val="1"/>
      <w:numFmt w:val="bullet"/>
      <w:lvlText w:val="•"/>
      <w:lvlJc w:val="left"/>
      <w:pPr>
        <w:tabs>
          <w:tab w:val="num" w:pos="5040"/>
        </w:tabs>
        <w:ind w:left="5040" w:hanging="360"/>
      </w:pPr>
      <w:rPr>
        <w:rFonts w:ascii="Arial" w:hAnsi="Arial" w:hint="default"/>
      </w:rPr>
    </w:lvl>
    <w:lvl w:ilvl="7" w:tplc="9028CD92" w:tentative="1">
      <w:start w:val="1"/>
      <w:numFmt w:val="bullet"/>
      <w:lvlText w:val="•"/>
      <w:lvlJc w:val="left"/>
      <w:pPr>
        <w:tabs>
          <w:tab w:val="num" w:pos="5760"/>
        </w:tabs>
        <w:ind w:left="5760" w:hanging="360"/>
      </w:pPr>
      <w:rPr>
        <w:rFonts w:ascii="Arial" w:hAnsi="Arial" w:hint="default"/>
      </w:rPr>
    </w:lvl>
    <w:lvl w:ilvl="8" w:tplc="E4B24244" w:tentative="1">
      <w:start w:val="1"/>
      <w:numFmt w:val="bullet"/>
      <w:lvlText w:val="•"/>
      <w:lvlJc w:val="left"/>
      <w:pPr>
        <w:tabs>
          <w:tab w:val="num" w:pos="6480"/>
        </w:tabs>
        <w:ind w:left="6480" w:hanging="360"/>
      </w:pPr>
      <w:rPr>
        <w:rFonts w:ascii="Arial" w:hAnsi="Arial" w:hint="default"/>
      </w:rPr>
    </w:lvl>
  </w:abstractNum>
  <w:abstractNum w:abstractNumId="21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11" w15:restartNumberingAfterBreak="0">
    <w:nsid w:val="7EF12629"/>
    <w:multiLevelType w:val="hybridMultilevel"/>
    <w:tmpl w:val="47FE2B8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7F9F4F58"/>
    <w:multiLevelType w:val="hybridMultilevel"/>
    <w:tmpl w:val="06AEB8F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1"/>
  </w:num>
  <w:num w:numId="2">
    <w:abstractNumId w:val="51"/>
  </w:num>
  <w:num w:numId="3">
    <w:abstractNumId w:val="204"/>
  </w:num>
  <w:num w:numId="4">
    <w:abstractNumId w:val="128"/>
  </w:num>
  <w:num w:numId="5">
    <w:abstractNumId w:val="73"/>
  </w:num>
  <w:num w:numId="6">
    <w:abstractNumId w:val="39"/>
  </w:num>
  <w:num w:numId="7">
    <w:abstractNumId w:val="144"/>
  </w:num>
  <w:num w:numId="8">
    <w:abstractNumId w:val="68"/>
  </w:num>
  <w:num w:numId="9">
    <w:abstractNumId w:val="93"/>
  </w:num>
  <w:num w:numId="10">
    <w:abstractNumId w:val="120"/>
  </w:num>
  <w:num w:numId="11">
    <w:abstractNumId w:val="180"/>
  </w:num>
  <w:num w:numId="12">
    <w:abstractNumId w:val="166"/>
  </w:num>
  <w:num w:numId="13">
    <w:abstractNumId w:val="110"/>
  </w:num>
  <w:num w:numId="14">
    <w:abstractNumId w:val="136"/>
  </w:num>
  <w:num w:numId="15">
    <w:abstractNumId w:val="95"/>
  </w:num>
  <w:num w:numId="16">
    <w:abstractNumId w:val="172"/>
  </w:num>
  <w:num w:numId="17">
    <w:abstractNumId w:val="27"/>
  </w:num>
  <w:num w:numId="18">
    <w:abstractNumId w:val="123"/>
  </w:num>
  <w:num w:numId="19">
    <w:abstractNumId w:val="64"/>
  </w:num>
  <w:num w:numId="20">
    <w:abstractNumId w:val="165"/>
  </w:num>
  <w:num w:numId="21">
    <w:abstractNumId w:val="106"/>
  </w:num>
  <w:num w:numId="22">
    <w:abstractNumId w:val="191"/>
  </w:num>
  <w:num w:numId="23">
    <w:abstractNumId w:val="1"/>
  </w:num>
  <w:num w:numId="24">
    <w:abstractNumId w:val="114"/>
  </w:num>
  <w:num w:numId="25">
    <w:abstractNumId w:val="47"/>
  </w:num>
  <w:num w:numId="26">
    <w:abstractNumId w:val="184"/>
  </w:num>
  <w:num w:numId="27">
    <w:abstractNumId w:val="2"/>
  </w:num>
  <w:num w:numId="28">
    <w:abstractNumId w:val="141"/>
  </w:num>
  <w:num w:numId="29">
    <w:abstractNumId w:val="111"/>
  </w:num>
  <w:num w:numId="30">
    <w:abstractNumId w:val="18"/>
  </w:num>
  <w:num w:numId="31">
    <w:abstractNumId w:val="132"/>
  </w:num>
  <w:num w:numId="32">
    <w:abstractNumId w:val="84"/>
  </w:num>
  <w:num w:numId="33">
    <w:abstractNumId w:val="142"/>
  </w:num>
  <w:num w:numId="34">
    <w:abstractNumId w:val="85"/>
  </w:num>
  <w:num w:numId="35">
    <w:abstractNumId w:val="107"/>
  </w:num>
  <w:num w:numId="36">
    <w:abstractNumId w:val="22"/>
  </w:num>
  <w:num w:numId="37">
    <w:abstractNumId w:val="97"/>
  </w:num>
  <w:num w:numId="38">
    <w:abstractNumId w:val="148"/>
  </w:num>
  <w:num w:numId="39">
    <w:abstractNumId w:val="81"/>
  </w:num>
  <w:num w:numId="40">
    <w:abstractNumId w:val="63"/>
  </w:num>
  <w:num w:numId="41">
    <w:abstractNumId w:val="192"/>
  </w:num>
  <w:num w:numId="42">
    <w:abstractNumId w:val="169"/>
  </w:num>
  <w:num w:numId="43">
    <w:abstractNumId w:val="69"/>
  </w:num>
  <w:num w:numId="44">
    <w:abstractNumId w:val="14"/>
  </w:num>
  <w:num w:numId="45">
    <w:abstractNumId w:val="163"/>
  </w:num>
  <w:num w:numId="46">
    <w:abstractNumId w:val="115"/>
  </w:num>
  <w:num w:numId="47">
    <w:abstractNumId w:val="119"/>
  </w:num>
  <w:num w:numId="48">
    <w:abstractNumId w:val="88"/>
  </w:num>
  <w:num w:numId="49">
    <w:abstractNumId w:val="135"/>
  </w:num>
  <w:num w:numId="50">
    <w:abstractNumId w:val="145"/>
  </w:num>
  <w:num w:numId="51">
    <w:abstractNumId w:val="156"/>
  </w:num>
  <w:num w:numId="52">
    <w:abstractNumId w:val="183"/>
  </w:num>
  <w:num w:numId="53">
    <w:abstractNumId w:val="161"/>
  </w:num>
  <w:num w:numId="54">
    <w:abstractNumId w:val="188"/>
  </w:num>
  <w:num w:numId="55">
    <w:abstractNumId w:val="90"/>
  </w:num>
  <w:num w:numId="56">
    <w:abstractNumId w:val="31"/>
  </w:num>
  <w:num w:numId="57">
    <w:abstractNumId w:val="10"/>
  </w:num>
  <w:num w:numId="58">
    <w:abstractNumId w:val="122"/>
  </w:num>
  <w:num w:numId="59">
    <w:abstractNumId w:val="74"/>
  </w:num>
  <w:num w:numId="60">
    <w:abstractNumId w:val="25"/>
  </w:num>
  <w:num w:numId="61">
    <w:abstractNumId w:val="173"/>
  </w:num>
  <w:num w:numId="62">
    <w:abstractNumId w:val="199"/>
  </w:num>
  <w:num w:numId="63">
    <w:abstractNumId w:val="19"/>
  </w:num>
  <w:num w:numId="64">
    <w:abstractNumId w:val="187"/>
  </w:num>
  <w:num w:numId="65">
    <w:abstractNumId w:val="29"/>
  </w:num>
  <w:num w:numId="66">
    <w:abstractNumId w:val="112"/>
  </w:num>
  <w:num w:numId="67">
    <w:abstractNumId w:val="82"/>
  </w:num>
  <w:num w:numId="68">
    <w:abstractNumId w:val="44"/>
  </w:num>
  <w:num w:numId="69">
    <w:abstractNumId w:val="182"/>
  </w:num>
  <w:num w:numId="70">
    <w:abstractNumId w:val="160"/>
  </w:num>
  <w:num w:numId="71">
    <w:abstractNumId w:val="11"/>
  </w:num>
  <w:num w:numId="72">
    <w:abstractNumId w:val="56"/>
  </w:num>
  <w:num w:numId="73">
    <w:abstractNumId w:val="203"/>
  </w:num>
  <w:num w:numId="74">
    <w:abstractNumId w:val="121"/>
  </w:num>
  <w:num w:numId="75">
    <w:abstractNumId w:val="117"/>
  </w:num>
  <w:num w:numId="76">
    <w:abstractNumId w:val="207"/>
  </w:num>
  <w:num w:numId="77">
    <w:abstractNumId w:val="178"/>
  </w:num>
  <w:num w:numId="78">
    <w:abstractNumId w:val="49"/>
  </w:num>
  <w:num w:numId="79">
    <w:abstractNumId w:val="133"/>
  </w:num>
  <w:num w:numId="80">
    <w:abstractNumId w:val="113"/>
  </w:num>
  <w:num w:numId="81">
    <w:abstractNumId w:val="150"/>
  </w:num>
  <w:num w:numId="82">
    <w:abstractNumId w:val="139"/>
  </w:num>
  <w:num w:numId="83">
    <w:abstractNumId w:val="96"/>
  </w:num>
  <w:num w:numId="84">
    <w:abstractNumId w:val="94"/>
  </w:num>
  <w:num w:numId="85">
    <w:abstractNumId w:val="171"/>
  </w:num>
  <w:num w:numId="86">
    <w:abstractNumId w:val="60"/>
  </w:num>
  <w:num w:numId="87">
    <w:abstractNumId w:val="13"/>
  </w:num>
  <w:num w:numId="88">
    <w:abstractNumId w:val="57"/>
  </w:num>
  <w:num w:numId="89">
    <w:abstractNumId w:val="33"/>
  </w:num>
  <w:num w:numId="90">
    <w:abstractNumId w:val="181"/>
  </w:num>
  <w:num w:numId="91">
    <w:abstractNumId w:val="71"/>
  </w:num>
  <w:num w:numId="92">
    <w:abstractNumId w:val="79"/>
  </w:num>
  <w:num w:numId="93">
    <w:abstractNumId w:val="28"/>
  </w:num>
  <w:num w:numId="94">
    <w:abstractNumId w:val="78"/>
  </w:num>
  <w:num w:numId="95">
    <w:abstractNumId w:val="197"/>
  </w:num>
  <w:num w:numId="96">
    <w:abstractNumId w:val="3"/>
  </w:num>
  <w:num w:numId="97">
    <w:abstractNumId w:val="190"/>
  </w:num>
  <w:num w:numId="98">
    <w:abstractNumId w:val="126"/>
  </w:num>
  <w:num w:numId="99">
    <w:abstractNumId w:val="48"/>
  </w:num>
  <w:num w:numId="1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6"/>
  </w:num>
  <w:num w:numId="102">
    <w:abstractNumId w:val="6"/>
  </w:num>
  <w:num w:numId="103">
    <w:abstractNumId w:val="138"/>
  </w:num>
  <w:num w:numId="104">
    <w:abstractNumId w:val="83"/>
  </w:num>
  <w:num w:numId="105">
    <w:abstractNumId w:val="26"/>
  </w:num>
  <w:num w:numId="106">
    <w:abstractNumId w:val="100"/>
  </w:num>
  <w:num w:numId="107">
    <w:abstractNumId w:val="195"/>
  </w:num>
  <w:num w:numId="108">
    <w:abstractNumId w:val="5"/>
  </w:num>
  <w:num w:numId="109">
    <w:abstractNumId w:val="0"/>
  </w:num>
  <w:num w:numId="110">
    <w:abstractNumId w:val="8"/>
  </w:num>
  <w:num w:numId="111">
    <w:abstractNumId w:val="7"/>
  </w:num>
  <w:num w:numId="112">
    <w:abstractNumId w:val="194"/>
  </w:num>
  <w:num w:numId="113">
    <w:abstractNumId w:val="77"/>
  </w:num>
  <w:num w:numId="114">
    <w:abstractNumId w:val="189"/>
  </w:num>
  <w:num w:numId="115">
    <w:abstractNumId w:val="177"/>
  </w:num>
  <w:num w:numId="116">
    <w:abstractNumId w:val="52"/>
  </w:num>
  <w:num w:numId="117">
    <w:abstractNumId w:val="154"/>
  </w:num>
  <w:num w:numId="118">
    <w:abstractNumId w:val="41"/>
  </w:num>
  <w:num w:numId="119">
    <w:abstractNumId w:val="211"/>
  </w:num>
  <w:num w:numId="120">
    <w:abstractNumId w:val="50"/>
  </w:num>
  <w:num w:numId="121">
    <w:abstractNumId w:val="140"/>
  </w:num>
  <w:num w:numId="122">
    <w:abstractNumId w:val="53"/>
  </w:num>
  <w:num w:numId="123">
    <w:abstractNumId w:val="200"/>
  </w:num>
  <w:num w:numId="124">
    <w:abstractNumId w:val="32"/>
  </w:num>
  <w:num w:numId="125">
    <w:abstractNumId w:val="9"/>
  </w:num>
  <w:num w:numId="126">
    <w:abstractNumId w:val="87"/>
  </w:num>
  <w:num w:numId="127">
    <w:abstractNumId w:val="35"/>
  </w:num>
  <w:num w:numId="128">
    <w:abstractNumId w:val="127"/>
  </w:num>
  <w:num w:numId="129">
    <w:abstractNumId w:val="62"/>
  </w:num>
  <w:num w:numId="130">
    <w:abstractNumId w:val="179"/>
  </w:num>
  <w:num w:numId="131">
    <w:abstractNumId w:val="198"/>
  </w:num>
  <w:num w:numId="132">
    <w:abstractNumId w:val="89"/>
  </w:num>
  <w:num w:numId="133">
    <w:abstractNumId w:val="164"/>
  </w:num>
  <w:num w:numId="134">
    <w:abstractNumId w:val="105"/>
  </w:num>
  <w:num w:numId="135">
    <w:abstractNumId w:val="15"/>
  </w:num>
  <w:num w:numId="136">
    <w:abstractNumId w:val="86"/>
  </w:num>
  <w:num w:numId="137">
    <w:abstractNumId w:val="65"/>
  </w:num>
  <w:num w:numId="138">
    <w:abstractNumId w:val="99"/>
  </w:num>
  <w:num w:numId="139">
    <w:abstractNumId w:val="118"/>
  </w:num>
  <w:num w:numId="140">
    <w:abstractNumId w:val="16"/>
  </w:num>
  <w:num w:numId="141">
    <w:abstractNumId w:val="167"/>
  </w:num>
  <w:num w:numId="142">
    <w:abstractNumId w:val="152"/>
  </w:num>
  <w:num w:numId="14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7"/>
  </w:num>
  <w:num w:numId="145">
    <w:abstractNumId w:val="137"/>
  </w:num>
  <w:num w:numId="146">
    <w:abstractNumId w:val="70"/>
  </w:num>
  <w:num w:numId="147">
    <w:abstractNumId w:val="186"/>
  </w:num>
  <w:num w:numId="148">
    <w:abstractNumId w:val="168"/>
  </w:num>
  <w:num w:numId="149">
    <w:abstractNumId w:val="59"/>
  </w:num>
  <w:num w:numId="150">
    <w:abstractNumId w:val="143"/>
  </w:num>
  <w:num w:numId="151">
    <w:abstractNumId w:val="4"/>
  </w:num>
  <w:num w:numId="152">
    <w:abstractNumId w:val="101"/>
  </w:num>
  <w:num w:numId="153">
    <w:abstractNumId w:val="61"/>
  </w:num>
  <w:num w:numId="154">
    <w:abstractNumId w:val="131"/>
  </w:num>
  <w:num w:numId="155">
    <w:abstractNumId w:val="134"/>
  </w:num>
  <w:num w:numId="156">
    <w:abstractNumId w:val="98"/>
  </w:num>
  <w:num w:numId="157">
    <w:abstractNumId w:val="201"/>
  </w:num>
  <w:num w:numId="158">
    <w:abstractNumId w:val="155"/>
  </w:num>
  <w:num w:numId="159">
    <w:abstractNumId w:val="129"/>
  </w:num>
  <w:num w:numId="160">
    <w:abstractNumId w:val="176"/>
  </w:num>
  <w:num w:numId="161">
    <w:abstractNumId w:val="153"/>
  </w:num>
  <w:num w:numId="162">
    <w:abstractNumId w:val="205"/>
  </w:num>
  <w:num w:numId="163">
    <w:abstractNumId w:val="102"/>
  </w:num>
  <w:num w:numId="164">
    <w:abstractNumId w:val="104"/>
  </w:num>
  <w:num w:numId="165">
    <w:abstractNumId w:val="108"/>
  </w:num>
  <w:num w:numId="166">
    <w:abstractNumId w:val="170"/>
  </w:num>
  <w:num w:numId="167">
    <w:abstractNumId w:val="43"/>
  </w:num>
  <w:num w:numId="168">
    <w:abstractNumId w:val="174"/>
  </w:num>
  <w:num w:numId="169">
    <w:abstractNumId w:val="72"/>
  </w:num>
  <w:num w:numId="170">
    <w:abstractNumId w:val="147"/>
  </w:num>
  <w:num w:numId="171">
    <w:abstractNumId w:val="109"/>
  </w:num>
  <w:num w:numId="172">
    <w:abstractNumId w:val="209"/>
  </w:num>
  <w:num w:numId="173">
    <w:abstractNumId w:val="202"/>
  </w:num>
  <w:num w:numId="174">
    <w:abstractNumId w:val="157"/>
  </w:num>
  <w:num w:numId="175">
    <w:abstractNumId w:val="158"/>
  </w:num>
  <w:num w:numId="176">
    <w:abstractNumId w:val="185"/>
  </w:num>
  <w:num w:numId="177">
    <w:abstractNumId w:val="212"/>
  </w:num>
  <w:num w:numId="178">
    <w:abstractNumId w:val="20"/>
  </w:num>
  <w:num w:numId="179">
    <w:abstractNumId w:val="46"/>
  </w:num>
  <w:num w:numId="180">
    <w:abstractNumId w:val="92"/>
  </w:num>
  <w:num w:numId="181">
    <w:abstractNumId w:val="208"/>
  </w:num>
  <w:num w:numId="182">
    <w:abstractNumId w:val="54"/>
  </w:num>
  <w:num w:numId="183">
    <w:abstractNumId w:val="116"/>
  </w:num>
  <w:num w:numId="184">
    <w:abstractNumId w:val="17"/>
  </w:num>
  <w:num w:numId="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25"/>
  </w:num>
  <w:num w:numId="202">
    <w:abstractNumId w:val="55"/>
  </w:num>
  <w:num w:numId="203">
    <w:abstractNumId w:val="34"/>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formatting="1" w:enforcement="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0C"/>
    <w:rsid w:val="000000B1"/>
    <w:rsid w:val="00000239"/>
    <w:rsid w:val="00000284"/>
    <w:rsid w:val="0000044B"/>
    <w:rsid w:val="000008C5"/>
    <w:rsid w:val="0000107A"/>
    <w:rsid w:val="00001DDF"/>
    <w:rsid w:val="00002288"/>
    <w:rsid w:val="0000259A"/>
    <w:rsid w:val="00002A94"/>
    <w:rsid w:val="0000322D"/>
    <w:rsid w:val="0000327F"/>
    <w:rsid w:val="0000452D"/>
    <w:rsid w:val="000045DA"/>
    <w:rsid w:val="000046C5"/>
    <w:rsid w:val="0000471A"/>
    <w:rsid w:val="000049A1"/>
    <w:rsid w:val="000051BD"/>
    <w:rsid w:val="0000577E"/>
    <w:rsid w:val="00005F24"/>
    <w:rsid w:val="000060AB"/>
    <w:rsid w:val="0000610F"/>
    <w:rsid w:val="000065E5"/>
    <w:rsid w:val="00006CF0"/>
    <w:rsid w:val="00006D2F"/>
    <w:rsid w:val="000073AC"/>
    <w:rsid w:val="00007670"/>
    <w:rsid w:val="00007B36"/>
    <w:rsid w:val="00007C1A"/>
    <w:rsid w:val="00007C42"/>
    <w:rsid w:val="00007EAE"/>
    <w:rsid w:val="00010665"/>
    <w:rsid w:val="00010883"/>
    <w:rsid w:val="00010884"/>
    <w:rsid w:val="00010DE1"/>
    <w:rsid w:val="000114FE"/>
    <w:rsid w:val="00011530"/>
    <w:rsid w:val="00011979"/>
    <w:rsid w:val="0001232F"/>
    <w:rsid w:val="00012BC0"/>
    <w:rsid w:val="00013352"/>
    <w:rsid w:val="000136FB"/>
    <w:rsid w:val="00013ACD"/>
    <w:rsid w:val="0001402B"/>
    <w:rsid w:val="0001438A"/>
    <w:rsid w:val="000143F8"/>
    <w:rsid w:val="00015E5F"/>
    <w:rsid w:val="000160D4"/>
    <w:rsid w:val="000166C8"/>
    <w:rsid w:val="00017D68"/>
    <w:rsid w:val="00017F0C"/>
    <w:rsid w:val="00020D02"/>
    <w:rsid w:val="00020F7B"/>
    <w:rsid w:val="00021A1F"/>
    <w:rsid w:val="00021FC6"/>
    <w:rsid w:val="00022896"/>
    <w:rsid w:val="000232F3"/>
    <w:rsid w:val="0002354E"/>
    <w:rsid w:val="000235BE"/>
    <w:rsid w:val="00023623"/>
    <w:rsid w:val="000238B4"/>
    <w:rsid w:val="0002393A"/>
    <w:rsid w:val="00024444"/>
    <w:rsid w:val="0002485B"/>
    <w:rsid w:val="00025605"/>
    <w:rsid w:val="0002568F"/>
    <w:rsid w:val="0002618E"/>
    <w:rsid w:val="000264D1"/>
    <w:rsid w:val="000264DB"/>
    <w:rsid w:val="00026AD4"/>
    <w:rsid w:val="00027C1A"/>
    <w:rsid w:val="00027D68"/>
    <w:rsid w:val="00027DB8"/>
    <w:rsid w:val="000306E9"/>
    <w:rsid w:val="000307A7"/>
    <w:rsid w:val="00030DA6"/>
    <w:rsid w:val="00031A96"/>
    <w:rsid w:val="000323CC"/>
    <w:rsid w:val="00032875"/>
    <w:rsid w:val="00032AB5"/>
    <w:rsid w:val="0003313C"/>
    <w:rsid w:val="00033AB9"/>
    <w:rsid w:val="0003427C"/>
    <w:rsid w:val="00034AB9"/>
    <w:rsid w:val="00034CD9"/>
    <w:rsid w:val="00035686"/>
    <w:rsid w:val="00036A83"/>
    <w:rsid w:val="00036E12"/>
    <w:rsid w:val="00037000"/>
    <w:rsid w:val="000375FB"/>
    <w:rsid w:val="0003765B"/>
    <w:rsid w:val="00037696"/>
    <w:rsid w:val="0003769B"/>
    <w:rsid w:val="0004091B"/>
    <w:rsid w:val="00040BF3"/>
    <w:rsid w:val="0004116B"/>
    <w:rsid w:val="00041333"/>
    <w:rsid w:val="0004177B"/>
    <w:rsid w:val="000419BD"/>
    <w:rsid w:val="00042CD9"/>
    <w:rsid w:val="00043013"/>
    <w:rsid w:val="0004350D"/>
    <w:rsid w:val="00043A3B"/>
    <w:rsid w:val="00043BDA"/>
    <w:rsid w:val="000448DD"/>
    <w:rsid w:val="0004523E"/>
    <w:rsid w:val="0004562E"/>
    <w:rsid w:val="00045DA2"/>
    <w:rsid w:val="00046155"/>
    <w:rsid w:val="000464E6"/>
    <w:rsid w:val="00046978"/>
    <w:rsid w:val="00046B02"/>
    <w:rsid w:val="00046C59"/>
    <w:rsid w:val="0004765A"/>
    <w:rsid w:val="0004783D"/>
    <w:rsid w:val="0004791E"/>
    <w:rsid w:val="00047DF6"/>
    <w:rsid w:val="00047E4B"/>
    <w:rsid w:val="00047E61"/>
    <w:rsid w:val="00050358"/>
    <w:rsid w:val="000506F9"/>
    <w:rsid w:val="0005090E"/>
    <w:rsid w:val="00050976"/>
    <w:rsid w:val="0005118D"/>
    <w:rsid w:val="00051362"/>
    <w:rsid w:val="000516E7"/>
    <w:rsid w:val="00051F45"/>
    <w:rsid w:val="00051F8D"/>
    <w:rsid w:val="00052297"/>
    <w:rsid w:val="000528DE"/>
    <w:rsid w:val="00052953"/>
    <w:rsid w:val="00052B11"/>
    <w:rsid w:val="00053359"/>
    <w:rsid w:val="0005341A"/>
    <w:rsid w:val="0005355C"/>
    <w:rsid w:val="00054BD2"/>
    <w:rsid w:val="00055104"/>
    <w:rsid w:val="000552CB"/>
    <w:rsid w:val="0005537D"/>
    <w:rsid w:val="0005542B"/>
    <w:rsid w:val="000568FC"/>
    <w:rsid w:val="00056DEF"/>
    <w:rsid w:val="000570B2"/>
    <w:rsid w:val="000577A2"/>
    <w:rsid w:val="00057B1E"/>
    <w:rsid w:val="00057E69"/>
    <w:rsid w:val="00060A4E"/>
    <w:rsid w:val="00061820"/>
    <w:rsid w:val="00062A4B"/>
    <w:rsid w:val="00062E71"/>
    <w:rsid w:val="0006333A"/>
    <w:rsid w:val="00063645"/>
    <w:rsid w:val="00063FD7"/>
    <w:rsid w:val="00065788"/>
    <w:rsid w:val="000657B2"/>
    <w:rsid w:val="00065BE1"/>
    <w:rsid w:val="0006620E"/>
    <w:rsid w:val="00066AF6"/>
    <w:rsid w:val="000673C4"/>
    <w:rsid w:val="00067C61"/>
    <w:rsid w:val="00067E83"/>
    <w:rsid w:val="00067FDB"/>
    <w:rsid w:val="0007000F"/>
    <w:rsid w:val="00070625"/>
    <w:rsid w:val="000708C6"/>
    <w:rsid w:val="0007135B"/>
    <w:rsid w:val="0007150E"/>
    <w:rsid w:val="000720BE"/>
    <w:rsid w:val="0007259C"/>
    <w:rsid w:val="000733DC"/>
    <w:rsid w:val="0007391D"/>
    <w:rsid w:val="00073B41"/>
    <w:rsid w:val="00074178"/>
    <w:rsid w:val="00074723"/>
    <w:rsid w:val="00074A1C"/>
    <w:rsid w:val="00074C63"/>
    <w:rsid w:val="00075606"/>
    <w:rsid w:val="0007581B"/>
    <w:rsid w:val="00075842"/>
    <w:rsid w:val="000759A1"/>
    <w:rsid w:val="00076581"/>
    <w:rsid w:val="00077A73"/>
    <w:rsid w:val="00077C82"/>
    <w:rsid w:val="00077E74"/>
    <w:rsid w:val="00080202"/>
    <w:rsid w:val="00080500"/>
    <w:rsid w:val="00080DCD"/>
    <w:rsid w:val="00080E22"/>
    <w:rsid w:val="00081B36"/>
    <w:rsid w:val="00081DFC"/>
    <w:rsid w:val="00082573"/>
    <w:rsid w:val="00082E2E"/>
    <w:rsid w:val="0008354C"/>
    <w:rsid w:val="000840A3"/>
    <w:rsid w:val="00084FD9"/>
    <w:rsid w:val="00085062"/>
    <w:rsid w:val="000854F5"/>
    <w:rsid w:val="00085975"/>
    <w:rsid w:val="00085D47"/>
    <w:rsid w:val="00085E3A"/>
    <w:rsid w:val="00085FAF"/>
    <w:rsid w:val="00086A5F"/>
    <w:rsid w:val="00086BCC"/>
    <w:rsid w:val="00086F94"/>
    <w:rsid w:val="000870CC"/>
    <w:rsid w:val="00087484"/>
    <w:rsid w:val="00087813"/>
    <w:rsid w:val="00087D66"/>
    <w:rsid w:val="00090CFC"/>
    <w:rsid w:val="000911EF"/>
    <w:rsid w:val="00091573"/>
    <w:rsid w:val="000919FA"/>
    <w:rsid w:val="00093067"/>
    <w:rsid w:val="0009316E"/>
    <w:rsid w:val="000941D3"/>
    <w:rsid w:val="0009518D"/>
    <w:rsid w:val="000959D5"/>
    <w:rsid w:val="000959F7"/>
    <w:rsid w:val="00095C39"/>
    <w:rsid w:val="00095D45"/>
    <w:rsid w:val="00095F2B"/>
    <w:rsid w:val="0009605E"/>
    <w:rsid w:val="000962C5"/>
    <w:rsid w:val="0009639E"/>
    <w:rsid w:val="000970FD"/>
    <w:rsid w:val="000977A2"/>
    <w:rsid w:val="0009794C"/>
    <w:rsid w:val="00097D02"/>
    <w:rsid w:val="000A0556"/>
    <w:rsid w:val="000A0775"/>
    <w:rsid w:val="000A0824"/>
    <w:rsid w:val="000A09DB"/>
    <w:rsid w:val="000A1794"/>
    <w:rsid w:val="000A187E"/>
    <w:rsid w:val="000A25E8"/>
    <w:rsid w:val="000A2E4F"/>
    <w:rsid w:val="000A300B"/>
    <w:rsid w:val="000A3287"/>
    <w:rsid w:val="000A328F"/>
    <w:rsid w:val="000A336A"/>
    <w:rsid w:val="000A35CA"/>
    <w:rsid w:val="000A3683"/>
    <w:rsid w:val="000A3B88"/>
    <w:rsid w:val="000A407D"/>
    <w:rsid w:val="000A4317"/>
    <w:rsid w:val="000A4370"/>
    <w:rsid w:val="000A4F12"/>
    <w:rsid w:val="000A52AF"/>
    <w:rsid w:val="000A53A1"/>
    <w:rsid w:val="000A559C"/>
    <w:rsid w:val="000A574D"/>
    <w:rsid w:val="000A58CC"/>
    <w:rsid w:val="000A5D7C"/>
    <w:rsid w:val="000A5DF1"/>
    <w:rsid w:val="000A66C3"/>
    <w:rsid w:val="000A7160"/>
    <w:rsid w:val="000A7513"/>
    <w:rsid w:val="000A786A"/>
    <w:rsid w:val="000A786C"/>
    <w:rsid w:val="000B0E80"/>
    <w:rsid w:val="000B0F00"/>
    <w:rsid w:val="000B109D"/>
    <w:rsid w:val="000B280D"/>
    <w:rsid w:val="000B29DB"/>
    <w:rsid w:val="000B2CA1"/>
    <w:rsid w:val="000B3E35"/>
    <w:rsid w:val="000B3F8D"/>
    <w:rsid w:val="000B48C8"/>
    <w:rsid w:val="000B4A0E"/>
    <w:rsid w:val="000B4B4E"/>
    <w:rsid w:val="000B4F78"/>
    <w:rsid w:val="000B5395"/>
    <w:rsid w:val="000B6E48"/>
    <w:rsid w:val="000B7A20"/>
    <w:rsid w:val="000B7C98"/>
    <w:rsid w:val="000C0589"/>
    <w:rsid w:val="000C0EBE"/>
    <w:rsid w:val="000C1A29"/>
    <w:rsid w:val="000C2B33"/>
    <w:rsid w:val="000C30CE"/>
    <w:rsid w:val="000C34DB"/>
    <w:rsid w:val="000C366D"/>
    <w:rsid w:val="000C3C09"/>
    <w:rsid w:val="000C3DD0"/>
    <w:rsid w:val="000C4411"/>
    <w:rsid w:val="000C48A8"/>
    <w:rsid w:val="000C491F"/>
    <w:rsid w:val="000C52CA"/>
    <w:rsid w:val="000C54B2"/>
    <w:rsid w:val="000C58DB"/>
    <w:rsid w:val="000C5AAF"/>
    <w:rsid w:val="000C5E15"/>
    <w:rsid w:val="000C6630"/>
    <w:rsid w:val="000C6666"/>
    <w:rsid w:val="000C7C73"/>
    <w:rsid w:val="000C7F8B"/>
    <w:rsid w:val="000D0820"/>
    <w:rsid w:val="000D1739"/>
    <w:rsid w:val="000D1F29"/>
    <w:rsid w:val="000D2059"/>
    <w:rsid w:val="000D206B"/>
    <w:rsid w:val="000D25F7"/>
    <w:rsid w:val="000D2BAA"/>
    <w:rsid w:val="000D2D38"/>
    <w:rsid w:val="000D2E62"/>
    <w:rsid w:val="000D35F0"/>
    <w:rsid w:val="000D3C5D"/>
    <w:rsid w:val="000D3F20"/>
    <w:rsid w:val="000D514E"/>
    <w:rsid w:val="000D5A06"/>
    <w:rsid w:val="000D5C31"/>
    <w:rsid w:val="000D5E1D"/>
    <w:rsid w:val="000D633D"/>
    <w:rsid w:val="000D65EB"/>
    <w:rsid w:val="000D6920"/>
    <w:rsid w:val="000D6EBD"/>
    <w:rsid w:val="000E05CA"/>
    <w:rsid w:val="000E0962"/>
    <w:rsid w:val="000E0C8C"/>
    <w:rsid w:val="000E136F"/>
    <w:rsid w:val="000E14D1"/>
    <w:rsid w:val="000E19CA"/>
    <w:rsid w:val="000E1BEC"/>
    <w:rsid w:val="000E2240"/>
    <w:rsid w:val="000E342B"/>
    <w:rsid w:val="000E3647"/>
    <w:rsid w:val="000E37D2"/>
    <w:rsid w:val="000E38FB"/>
    <w:rsid w:val="000E3942"/>
    <w:rsid w:val="000E48E2"/>
    <w:rsid w:val="000E4AA2"/>
    <w:rsid w:val="000E4BCC"/>
    <w:rsid w:val="000E4F63"/>
    <w:rsid w:val="000E530C"/>
    <w:rsid w:val="000E5DD2"/>
    <w:rsid w:val="000E6204"/>
    <w:rsid w:val="000E6376"/>
    <w:rsid w:val="000E78CF"/>
    <w:rsid w:val="000F025E"/>
    <w:rsid w:val="000F0FCD"/>
    <w:rsid w:val="000F11EF"/>
    <w:rsid w:val="000F15A5"/>
    <w:rsid w:val="000F19A6"/>
    <w:rsid w:val="000F2958"/>
    <w:rsid w:val="000F329F"/>
    <w:rsid w:val="000F3897"/>
    <w:rsid w:val="000F4116"/>
    <w:rsid w:val="000F4163"/>
    <w:rsid w:val="000F4805"/>
    <w:rsid w:val="000F4AE2"/>
    <w:rsid w:val="000F4B95"/>
    <w:rsid w:val="000F4E26"/>
    <w:rsid w:val="000F5969"/>
    <w:rsid w:val="000F66C8"/>
    <w:rsid w:val="000F681A"/>
    <w:rsid w:val="000F6CF6"/>
    <w:rsid w:val="000F74AF"/>
    <w:rsid w:val="000F7F09"/>
    <w:rsid w:val="00100547"/>
    <w:rsid w:val="0010068F"/>
    <w:rsid w:val="00100B44"/>
    <w:rsid w:val="00100C3F"/>
    <w:rsid w:val="00100FF5"/>
    <w:rsid w:val="00101771"/>
    <w:rsid w:val="00101AC5"/>
    <w:rsid w:val="00101C0D"/>
    <w:rsid w:val="00102178"/>
    <w:rsid w:val="001021A6"/>
    <w:rsid w:val="0010259E"/>
    <w:rsid w:val="0010260E"/>
    <w:rsid w:val="00102F6C"/>
    <w:rsid w:val="001035EB"/>
    <w:rsid w:val="00103AB3"/>
    <w:rsid w:val="00104E7F"/>
    <w:rsid w:val="00105AD9"/>
    <w:rsid w:val="00107119"/>
    <w:rsid w:val="0010723C"/>
    <w:rsid w:val="0010730F"/>
    <w:rsid w:val="00107B2B"/>
    <w:rsid w:val="00107FB2"/>
    <w:rsid w:val="00107FB8"/>
    <w:rsid w:val="001106DA"/>
    <w:rsid w:val="00110898"/>
    <w:rsid w:val="001108C8"/>
    <w:rsid w:val="0011092D"/>
    <w:rsid w:val="00112240"/>
    <w:rsid w:val="0011232B"/>
    <w:rsid w:val="0011295F"/>
    <w:rsid w:val="0011358D"/>
    <w:rsid w:val="001137EC"/>
    <w:rsid w:val="001137FD"/>
    <w:rsid w:val="001145FC"/>
    <w:rsid w:val="00114B1A"/>
    <w:rsid w:val="001152F5"/>
    <w:rsid w:val="00115E74"/>
    <w:rsid w:val="0011663A"/>
    <w:rsid w:val="0011692A"/>
    <w:rsid w:val="001171D3"/>
    <w:rsid w:val="001172F8"/>
    <w:rsid w:val="0011734A"/>
    <w:rsid w:val="00117743"/>
    <w:rsid w:val="00117900"/>
    <w:rsid w:val="00117C6F"/>
    <w:rsid w:val="00117F5B"/>
    <w:rsid w:val="00117F83"/>
    <w:rsid w:val="001201E4"/>
    <w:rsid w:val="00120691"/>
    <w:rsid w:val="001206D6"/>
    <w:rsid w:val="001213A6"/>
    <w:rsid w:val="0012271B"/>
    <w:rsid w:val="0012299A"/>
    <w:rsid w:val="00122D54"/>
    <w:rsid w:val="00123F1E"/>
    <w:rsid w:val="00124C56"/>
    <w:rsid w:val="00124E85"/>
    <w:rsid w:val="0012556D"/>
    <w:rsid w:val="00125979"/>
    <w:rsid w:val="001268CB"/>
    <w:rsid w:val="00126A70"/>
    <w:rsid w:val="00127572"/>
    <w:rsid w:val="00127655"/>
    <w:rsid w:val="00127A3C"/>
    <w:rsid w:val="00127C18"/>
    <w:rsid w:val="001304C7"/>
    <w:rsid w:val="00131654"/>
    <w:rsid w:val="00131703"/>
    <w:rsid w:val="00131B36"/>
    <w:rsid w:val="00131E4E"/>
    <w:rsid w:val="00132658"/>
    <w:rsid w:val="001334AF"/>
    <w:rsid w:val="0013396D"/>
    <w:rsid w:val="00133FD4"/>
    <w:rsid w:val="00134685"/>
    <w:rsid w:val="00135043"/>
    <w:rsid w:val="001352B6"/>
    <w:rsid w:val="00135C34"/>
    <w:rsid w:val="00136F86"/>
    <w:rsid w:val="00137177"/>
    <w:rsid w:val="0014065C"/>
    <w:rsid w:val="00140888"/>
    <w:rsid w:val="0014126A"/>
    <w:rsid w:val="001414FC"/>
    <w:rsid w:val="001420D3"/>
    <w:rsid w:val="00142A6B"/>
    <w:rsid w:val="00142DC4"/>
    <w:rsid w:val="00142EDE"/>
    <w:rsid w:val="0014343A"/>
    <w:rsid w:val="0014418C"/>
    <w:rsid w:val="00144506"/>
    <w:rsid w:val="00144961"/>
    <w:rsid w:val="0014549D"/>
    <w:rsid w:val="00145829"/>
    <w:rsid w:val="001466B4"/>
    <w:rsid w:val="00147636"/>
    <w:rsid w:val="00147C42"/>
    <w:rsid w:val="00147DED"/>
    <w:rsid w:val="00150212"/>
    <w:rsid w:val="001508D7"/>
    <w:rsid w:val="0015097B"/>
    <w:rsid w:val="00150DC0"/>
    <w:rsid w:val="00150F78"/>
    <w:rsid w:val="00153335"/>
    <w:rsid w:val="00153E0F"/>
    <w:rsid w:val="00154351"/>
    <w:rsid w:val="001543DF"/>
    <w:rsid w:val="001546F6"/>
    <w:rsid w:val="00156364"/>
    <w:rsid w:val="001563F3"/>
    <w:rsid w:val="0015667A"/>
    <w:rsid w:val="00156CD4"/>
    <w:rsid w:val="00157AD4"/>
    <w:rsid w:val="00157E90"/>
    <w:rsid w:val="00160C5F"/>
    <w:rsid w:val="00161709"/>
    <w:rsid w:val="00161C46"/>
    <w:rsid w:val="00161CC6"/>
    <w:rsid w:val="00161EFA"/>
    <w:rsid w:val="00162259"/>
    <w:rsid w:val="0016261A"/>
    <w:rsid w:val="00163114"/>
    <w:rsid w:val="0016437E"/>
    <w:rsid w:val="001645B3"/>
    <w:rsid w:val="00164A3E"/>
    <w:rsid w:val="0016514E"/>
    <w:rsid w:val="00165291"/>
    <w:rsid w:val="001657C7"/>
    <w:rsid w:val="00165BBF"/>
    <w:rsid w:val="00166B72"/>
    <w:rsid w:val="00166C6D"/>
    <w:rsid w:val="00166CAC"/>
    <w:rsid w:val="00166FF6"/>
    <w:rsid w:val="00167242"/>
    <w:rsid w:val="0016782A"/>
    <w:rsid w:val="00170009"/>
    <w:rsid w:val="00170533"/>
    <w:rsid w:val="00170840"/>
    <w:rsid w:val="00170E54"/>
    <w:rsid w:val="0017170A"/>
    <w:rsid w:val="00171B85"/>
    <w:rsid w:val="00171EFF"/>
    <w:rsid w:val="00172C77"/>
    <w:rsid w:val="00173444"/>
    <w:rsid w:val="00173C5D"/>
    <w:rsid w:val="0017479D"/>
    <w:rsid w:val="00174DCA"/>
    <w:rsid w:val="001752F9"/>
    <w:rsid w:val="0017582C"/>
    <w:rsid w:val="00175CBB"/>
    <w:rsid w:val="00176123"/>
    <w:rsid w:val="00176FAA"/>
    <w:rsid w:val="001775DC"/>
    <w:rsid w:val="001802CF"/>
    <w:rsid w:val="001803CD"/>
    <w:rsid w:val="0018045A"/>
    <w:rsid w:val="001804B8"/>
    <w:rsid w:val="0018057D"/>
    <w:rsid w:val="00181334"/>
    <w:rsid w:val="00181620"/>
    <w:rsid w:val="00182CDE"/>
    <w:rsid w:val="00183532"/>
    <w:rsid w:val="00183A6F"/>
    <w:rsid w:val="00183FE5"/>
    <w:rsid w:val="00184181"/>
    <w:rsid w:val="00184969"/>
    <w:rsid w:val="00184A41"/>
    <w:rsid w:val="00184A69"/>
    <w:rsid w:val="00184BB7"/>
    <w:rsid w:val="001851FB"/>
    <w:rsid w:val="0018588C"/>
    <w:rsid w:val="00185B8D"/>
    <w:rsid w:val="00185D72"/>
    <w:rsid w:val="00185ED7"/>
    <w:rsid w:val="001861D7"/>
    <w:rsid w:val="00186262"/>
    <w:rsid w:val="00186B67"/>
    <w:rsid w:val="001871B0"/>
    <w:rsid w:val="001906BA"/>
    <w:rsid w:val="00190DB7"/>
    <w:rsid w:val="0019102B"/>
    <w:rsid w:val="00191E3B"/>
    <w:rsid w:val="00192402"/>
    <w:rsid w:val="0019294D"/>
    <w:rsid w:val="0019398C"/>
    <w:rsid w:val="0019446E"/>
    <w:rsid w:val="0019461A"/>
    <w:rsid w:val="0019481A"/>
    <w:rsid w:val="00194902"/>
    <w:rsid w:val="00194B1C"/>
    <w:rsid w:val="001951F0"/>
    <w:rsid w:val="001952F8"/>
    <w:rsid w:val="001957AD"/>
    <w:rsid w:val="00195C76"/>
    <w:rsid w:val="0019655D"/>
    <w:rsid w:val="00196639"/>
    <w:rsid w:val="00196AEC"/>
    <w:rsid w:val="00196D04"/>
    <w:rsid w:val="001971D8"/>
    <w:rsid w:val="001A071C"/>
    <w:rsid w:val="001A0B2B"/>
    <w:rsid w:val="001A0B8C"/>
    <w:rsid w:val="001A0C3F"/>
    <w:rsid w:val="001A1A2B"/>
    <w:rsid w:val="001A1FFF"/>
    <w:rsid w:val="001A2536"/>
    <w:rsid w:val="001A2B7F"/>
    <w:rsid w:val="001A3AFD"/>
    <w:rsid w:val="001A416E"/>
    <w:rsid w:val="001A496C"/>
    <w:rsid w:val="001A4FC6"/>
    <w:rsid w:val="001A529E"/>
    <w:rsid w:val="001A5E6C"/>
    <w:rsid w:val="001A6304"/>
    <w:rsid w:val="001A6567"/>
    <w:rsid w:val="001A65FA"/>
    <w:rsid w:val="001A6A46"/>
    <w:rsid w:val="001A6B76"/>
    <w:rsid w:val="001A7433"/>
    <w:rsid w:val="001A779E"/>
    <w:rsid w:val="001B0056"/>
    <w:rsid w:val="001B03B9"/>
    <w:rsid w:val="001B0690"/>
    <w:rsid w:val="001B08FB"/>
    <w:rsid w:val="001B1500"/>
    <w:rsid w:val="001B1976"/>
    <w:rsid w:val="001B2552"/>
    <w:rsid w:val="001B2B6C"/>
    <w:rsid w:val="001B2FB8"/>
    <w:rsid w:val="001B3161"/>
    <w:rsid w:val="001B3E53"/>
    <w:rsid w:val="001B4463"/>
    <w:rsid w:val="001B473E"/>
    <w:rsid w:val="001B47AF"/>
    <w:rsid w:val="001B5376"/>
    <w:rsid w:val="001B5E42"/>
    <w:rsid w:val="001B5FC4"/>
    <w:rsid w:val="001B623F"/>
    <w:rsid w:val="001B62B6"/>
    <w:rsid w:val="001B67B3"/>
    <w:rsid w:val="001B6FC2"/>
    <w:rsid w:val="001B7198"/>
    <w:rsid w:val="001B799F"/>
    <w:rsid w:val="001B7C9A"/>
    <w:rsid w:val="001B7F3A"/>
    <w:rsid w:val="001C01B8"/>
    <w:rsid w:val="001C04D7"/>
    <w:rsid w:val="001C0C0E"/>
    <w:rsid w:val="001C1171"/>
    <w:rsid w:val="001C153C"/>
    <w:rsid w:val="001C16A0"/>
    <w:rsid w:val="001C2A35"/>
    <w:rsid w:val="001C2BF7"/>
    <w:rsid w:val="001C2D05"/>
    <w:rsid w:val="001C3A7B"/>
    <w:rsid w:val="001C3CA2"/>
    <w:rsid w:val="001C45CA"/>
    <w:rsid w:val="001C4821"/>
    <w:rsid w:val="001C4D24"/>
    <w:rsid w:val="001C57B1"/>
    <w:rsid w:val="001C5B26"/>
    <w:rsid w:val="001C5D0A"/>
    <w:rsid w:val="001C6749"/>
    <w:rsid w:val="001C67B2"/>
    <w:rsid w:val="001C6BB1"/>
    <w:rsid w:val="001C6BBB"/>
    <w:rsid w:val="001C6C7B"/>
    <w:rsid w:val="001C73BE"/>
    <w:rsid w:val="001C75A0"/>
    <w:rsid w:val="001C794C"/>
    <w:rsid w:val="001C7B46"/>
    <w:rsid w:val="001C7BAF"/>
    <w:rsid w:val="001C7E79"/>
    <w:rsid w:val="001D01C4"/>
    <w:rsid w:val="001D04EC"/>
    <w:rsid w:val="001D0DED"/>
    <w:rsid w:val="001D34EC"/>
    <w:rsid w:val="001D3629"/>
    <w:rsid w:val="001D36F5"/>
    <w:rsid w:val="001D37AA"/>
    <w:rsid w:val="001D41D9"/>
    <w:rsid w:val="001D4873"/>
    <w:rsid w:val="001D52B0"/>
    <w:rsid w:val="001D5752"/>
    <w:rsid w:val="001D5A18"/>
    <w:rsid w:val="001D5AB5"/>
    <w:rsid w:val="001D5DFB"/>
    <w:rsid w:val="001D6BD8"/>
    <w:rsid w:val="001D6E32"/>
    <w:rsid w:val="001D6FC7"/>
    <w:rsid w:val="001D7CA4"/>
    <w:rsid w:val="001E04D0"/>
    <w:rsid w:val="001E057F"/>
    <w:rsid w:val="001E0F87"/>
    <w:rsid w:val="001E11D7"/>
    <w:rsid w:val="001E140B"/>
    <w:rsid w:val="001E14EB"/>
    <w:rsid w:val="001E1B98"/>
    <w:rsid w:val="001E1D4D"/>
    <w:rsid w:val="001E2D85"/>
    <w:rsid w:val="001E30ED"/>
    <w:rsid w:val="001E5BC6"/>
    <w:rsid w:val="001E5E40"/>
    <w:rsid w:val="001E6CD3"/>
    <w:rsid w:val="001E7CB7"/>
    <w:rsid w:val="001F0823"/>
    <w:rsid w:val="001F13E5"/>
    <w:rsid w:val="001F17CE"/>
    <w:rsid w:val="001F2116"/>
    <w:rsid w:val="001F22C0"/>
    <w:rsid w:val="001F2B97"/>
    <w:rsid w:val="001F2D00"/>
    <w:rsid w:val="001F3283"/>
    <w:rsid w:val="001F3E55"/>
    <w:rsid w:val="001F3E95"/>
    <w:rsid w:val="001F4AA6"/>
    <w:rsid w:val="001F4BEC"/>
    <w:rsid w:val="001F4D7D"/>
    <w:rsid w:val="001F5438"/>
    <w:rsid w:val="001F59E6"/>
    <w:rsid w:val="001F66DB"/>
    <w:rsid w:val="00200332"/>
    <w:rsid w:val="00200416"/>
    <w:rsid w:val="002004A8"/>
    <w:rsid w:val="00200A25"/>
    <w:rsid w:val="002010B4"/>
    <w:rsid w:val="00202014"/>
    <w:rsid w:val="002031C0"/>
    <w:rsid w:val="00204E3F"/>
    <w:rsid w:val="00205405"/>
    <w:rsid w:val="00205D2B"/>
    <w:rsid w:val="00205E74"/>
    <w:rsid w:val="00206137"/>
    <w:rsid w:val="00206936"/>
    <w:rsid w:val="00206C6F"/>
    <w:rsid w:val="00206FBD"/>
    <w:rsid w:val="00206FF2"/>
    <w:rsid w:val="00207121"/>
    <w:rsid w:val="00207746"/>
    <w:rsid w:val="002101EB"/>
    <w:rsid w:val="002104A5"/>
    <w:rsid w:val="002106AE"/>
    <w:rsid w:val="002108CB"/>
    <w:rsid w:val="00210E52"/>
    <w:rsid w:val="0021114C"/>
    <w:rsid w:val="0021140E"/>
    <w:rsid w:val="002119C5"/>
    <w:rsid w:val="00212E2A"/>
    <w:rsid w:val="00212E69"/>
    <w:rsid w:val="002132DE"/>
    <w:rsid w:val="00213D75"/>
    <w:rsid w:val="00213E5E"/>
    <w:rsid w:val="00213F99"/>
    <w:rsid w:val="0021430A"/>
    <w:rsid w:val="00215B48"/>
    <w:rsid w:val="002160E8"/>
    <w:rsid w:val="002177F3"/>
    <w:rsid w:val="00217F7A"/>
    <w:rsid w:val="00220535"/>
    <w:rsid w:val="00221220"/>
    <w:rsid w:val="002212A0"/>
    <w:rsid w:val="00221721"/>
    <w:rsid w:val="00221D86"/>
    <w:rsid w:val="00222C57"/>
    <w:rsid w:val="00222C87"/>
    <w:rsid w:val="0022300A"/>
    <w:rsid w:val="002231D4"/>
    <w:rsid w:val="00223672"/>
    <w:rsid w:val="00223CD6"/>
    <w:rsid w:val="00223D7D"/>
    <w:rsid w:val="00223E81"/>
    <w:rsid w:val="002241F8"/>
    <w:rsid w:val="00224B9A"/>
    <w:rsid w:val="00224EE1"/>
    <w:rsid w:val="00225AD9"/>
    <w:rsid w:val="00225F4C"/>
    <w:rsid w:val="00226A65"/>
    <w:rsid w:val="002278CD"/>
    <w:rsid w:val="00230031"/>
    <w:rsid w:val="002301CE"/>
    <w:rsid w:val="00230638"/>
    <w:rsid w:val="0023086F"/>
    <w:rsid w:val="00230A2C"/>
    <w:rsid w:val="00230DF4"/>
    <w:rsid w:val="0023141F"/>
    <w:rsid w:val="00232A60"/>
    <w:rsid w:val="00232C03"/>
    <w:rsid w:val="00232FBC"/>
    <w:rsid w:val="00233440"/>
    <w:rsid w:val="00233562"/>
    <w:rsid w:val="002335D2"/>
    <w:rsid w:val="002337E2"/>
    <w:rsid w:val="00233B88"/>
    <w:rsid w:val="00233F93"/>
    <w:rsid w:val="00234FB5"/>
    <w:rsid w:val="0023510B"/>
    <w:rsid w:val="0023562B"/>
    <w:rsid w:val="002359A3"/>
    <w:rsid w:val="00235C01"/>
    <w:rsid w:val="00235F8D"/>
    <w:rsid w:val="00236745"/>
    <w:rsid w:val="002367D7"/>
    <w:rsid w:val="00236878"/>
    <w:rsid w:val="0023723D"/>
    <w:rsid w:val="00237DB2"/>
    <w:rsid w:val="00237F76"/>
    <w:rsid w:val="0024012F"/>
    <w:rsid w:val="002402D7"/>
    <w:rsid w:val="00241749"/>
    <w:rsid w:val="00241E63"/>
    <w:rsid w:val="0024225E"/>
    <w:rsid w:val="002432AB"/>
    <w:rsid w:val="002432F0"/>
    <w:rsid w:val="002439BD"/>
    <w:rsid w:val="00243D87"/>
    <w:rsid w:val="002444AA"/>
    <w:rsid w:val="00244B27"/>
    <w:rsid w:val="00244B33"/>
    <w:rsid w:val="00244DF1"/>
    <w:rsid w:val="00244F5F"/>
    <w:rsid w:val="0024549D"/>
    <w:rsid w:val="0024570B"/>
    <w:rsid w:val="00245F97"/>
    <w:rsid w:val="00245FBF"/>
    <w:rsid w:val="00246C6A"/>
    <w:rsid w:val="002472A9"/>
    <w:rsid w:val="00247343"/>
    <w:rsid w:val="00247538"/>
    <w:rsid w:val="00247564"/>
    <w:rsid w:val="00247BBF"/>
    <w:rsid w:val="00250D5C"/>
    <w:rsid w:val="00250E16"/>
    <w:rsid w:val="002514E6"/>
    <w:rsid w:val="002518B3"/>
    <w:rsid w:val="00252A94"/>
    <w:rsid w:val="002534A6"/>
    <w:rsid w:val="00253C8F"/>
    <w:rsid w:val="0025433B"/>
    <w:rsid w:val="00254808"/>
    <w:rsid w:val="0025553D"/>
    <w:rsid w:val="00255F2C"/>
    <w:rsid w:val="002568B5"/>
    <w:rsid w:val="00256930"/>
    <w:rsid w:val="00256C19"/>
    <w:rsid w:val="002576EF"/>
    <w:rsid w:val="00257F1C"/>
    <w:rsid w:val="002601FB"/>
    <w:rsid w:val="002603FC"/>
    <w:rsid w:val="00260587"/>
    <w:rsid w:val="00260D02"/>
    <w:rsid w:val="00261592"/>
    <w:rsid w:val="002619DD"/>
    <w:rsid w:val="00262F27"/>
    <w:rsid w:val="002631F8"/>
    <w:rsid w:val="0026370B"/>
    <w:rsid w:val="00264C40"/>
    <w:rsid w:val="00264C90"/>
    <w:rsid w:val="00264E56"/>
    <w:rsid w:val="00264F6E"/>
    <w:rsid w:val="00265C56"/>
    <w:rsid w:val="00266044"/>
    <w:rsid w:val="00267CCF"/>
    <w:rsid w:val="00270712"/>
    <w:rsid w:val="0027072F"/>
    <w:rsid w:val="0027114E"/>
    <w:rsid w:val="002716CD"/>
    <w:rsid w:val="00271808"/>
    <w:rsid w:val="00272232"/>
    <w:rsid w:val="002725AF"/>
    <w:rsid w:val="00273265"/>
    <w:rsid w:val="0027350A"/>
    <w:rsid w:val="002743F5"/>
    <w:rsid w:val="00274495"/>
    <w:rsid w:val="0027478F"/>
    <w:rsid w:val="00274B9F"/>
    <w:rsid w:val="00274D4B"/>
    <w:rsid w:val="00274DAD"/>
    <w:rsid w:val="002756AF"/>
    <w:rsid w:val="00275727"/>
    <w:rsid w:val="00275814"/>
    <w:rsid w:val="00275BC6"/>
    <w:rsid w:val="002777B1"/>
    <w:rsid w:val="00277B30"/>
    <w:rsid w:val="00280173"/>
    <w:rsid w:val="0028040C"/>
    <w:rsid w:val="002806F5"/>
    <w:rsid w:val="00280906"/>
    <w:rsid w:val="00281577"/>
    <w:rsid w:val="002834E5"/>
    <w:rsid w:val="00283E41"/>
    <w:rsid w:val="00283EAD"/>
    <w:rsid w:val="00283F37"/>
    <w:rsid w:val="00284011"/>
    <w:rsid w:val="00284264"/>
    <w:rsid w:val="00284FE8"/>
    <w:rsid w:val="00285002"/>
    <w:rsid w:val="002854DC"/>
    <w:rsid w:val="0028598E"/>
    <w:rsid w:val="00286D7B"/>
    <w:rsid w:val="002871F1"/>
    <w:rsid w:val="0028731B"/>
    <w:rsid w:val="00287B47"/>
    <w:rsid w:val="00290596"/>
    <w:rsid w:val="0029099B"/>
    <w:rsid w:val="00291598"/>
    <w:rsid w:val="00291F46"/>
    <w:rsid w:val="00292037"/>
    <w:rsid w:val="002923CB"/>
    <w:rsid w:val="00292435"/>
    <w:rsid w:val="00292523"/>
    <w:rsid w:val="002926BC"/>
    <w:rsid w:val="00292FF1"/>
    <w:rsid w:val="00293A72"/>
    <w:rsid w:val="00293B54"/>
    <w:rsid w:val="00294CD3"/>
    <w:rsid w:val="0029519A"/>
    <w:rsid w:val="0029534E"/>
    <w:rsid w:val="00295B1D"/>
    <w:rsid w:val="00295CBF"/>
    <w:rsid w:val="002963B2"/>
    <w:rsid w:val="0029650D"/>
    <w:rsid w:val="00296D65"/>
    <w:rsid w:val="00296E8A"/>
    <w:rsid w:val="002973FC"/>
    <w:rsid w:val="00297BB9"/>
    <w:rsid w:val="00297BDC"/>
    <w:rsid w:val="00297DB7"/>
    <w:rsid w:val="002A0160"/>
    <w:rsid w:val="002A1261"/>
    <w:rsid w:val="002A1344"/>
    <w:rsid w:val="002A1E12"/>
    <w:rsid w:val="002A2EE7"/>
    <w:rsid w:val="002A30C3"/>
    <w:rsid w:val="002A30E6"/>
    <w:rsid w:val="002A3578"/>
    <w:rsid w:val="002A4C3B"/>
    <w:rsid w:val="002A548A"/>
    <w:rsid w:val="002A5B9D"/>
    <w:rsid w:val="002A5BC4"/>
    <w:rsid w:val="002A62FA"/>
    <w:rsid w:val="002A6F6A"/>
    <w:rsid w:val="002A70C1"/>
    <w:rsid w:val="002A7521"/>
    <w:rsid w:val="002A75C7"/>
    <w:rsid w:val="002A7662"/>
    <w:rsid w:val="002A7712"/>
    <w:rsid w:val="002A7EC8"/>
    <w:rsid w:val="002B0249"/>
    <w:rsid w:val="002B0260"/>
    <w:rsid w:val="002B0483"/>
    <w:rsid w:val="002B08CC"/>
    <w:rsid w:val="002B1B6B"/>
    <w:rsid w:val="002B1C9B"/>
    <w:rsid w:val="002B22DE"/>
    <w:rsid w:val="002B2AC5"/>
    <w:rsid w:val="002B2B84"/>
    <w:rsid w:val="002B31EC"/>
    <w:rsid w:val="002B3635"/>
    <w:rsid w:val="002B38F7"/>
    <w:rsid w:val="002B3B3A"/>
    <w:rsid w:val="002B417B"/>
    <w:rsid w:val="002B4681"/>
    <w:rsid w:val="002B4B59"/>
    <w:rsid w:val="002B4C0D"/>
    <w:rsid w:val="002B4D5A"/>
    <w:rsid w:val="002B4D7E"/>
    <w:rsid w:val="002B5591"/>
    <w:rsid w:val="002B5886"/>
    <w:rsid w:val="002B62B4"/>
    <w:rsid w:val="002B63CF"/>
    <w:rsid w:val="002B6AA4"/>
    <w:rsid w:val="002B6B00"/>
    <w:rsid w:val="002C0B28"/>
    <w:rsid w:val="002C0C75"/>
    <w:rsid w:val="002C159E"/>
    <w:rsid w:val="002C1968"/>
    <w:rsid w:val="002C1F00"/>
    <w:rsid w:val="002C1FE9"/>
    <w:rsid w:val="002C23A0"/>
    <w:rsid w:val="002C3CBB"/>
    <w:rsid w:val="002C3F50"/>
    <w:rsid w:val="002C3F60"/>
    <w:rsid w:val="002C4439"/>
    <w:rsid w:val="002C5E4C"/>
    <w:rsid w:val="002C6742"/>
    <w:rsid w:val="002C6DE4"/>
    <w:rsid w:val="002C6ED4"/>
    <w:rsid w:val="002C7009"/>
    <w:rsid w:val="002C7CDA"/>
    <w:rsid w:val="002D021D"/>
    <w:rsid w:val="002D08DE"/>
    <w:rsid w:val="002D0E31"/>
    <w:rsid w:val="002D0F52"/>
    <w:rsid w:val="002D13B8"/>
    <w:rsid w:val="002D270A"/>
    <w:rsid w:val="002D2D8A"/>
    <w:rsid w:val="002D2FFA"/>
    <w:rsid w:val="002D3A57"/>
    <w:rsid w:val="002D3BDD"/>
    <w:rsid w:val="002D3EC4"/>
    <w:rsid w:val="002D5640"/>
    <w:rsid w:val="002D56C7"/>
    <w:rsid w:val="002D7B73"/>
    <w:rsid w:val="002D7C13"/>
    <w:rsid w:val="002D7D05"/>
    <w:rsid w:val="002D7EC3"/>
    <w:rsid w:val="002E00FE"/>
    <w:rsid w:val="002E0B3F"/>
    <w:rsid w:val="002E0E91"/>
    <w:rsid w:val="002E0EED"/>
    <w:rsid w:val="002E20C8"/>
    <w:rsid w:val="002E2748"/>
    <w:rsid w:val="002E32AF"/>
    <w:rsid w:val="002E4290"/>
    <w:rsid w:val="002E5AD9"/>
    <w:rsid w:val="002E5B81"/>
    <w:rsid w:val="002E5B94"/>
    <w:rsid w:val="002E5EBA"/>
    <w:rsid w:val="002E640E"/>
    <w:rsid w:val="002E6448"/>
    <w:rsid w:val="002E66A6"/>
    <w:rsid w:val="002E6C67"/>
    <w:rsid w:val="002E70F3"/>
    <w:rsid w:val="002E7A00"/>
    <w:rsid w:val="002E7AD8"/>
    <w:rsid w:val="002F0213"/>
    <w:rsid w:val="002F0CED"/>
    <w:rsid w:val="002F0DB1"/>
    <w:rsid w:val="002F0FA3"/>
    <w:rsid w:val="002F1075"/>
    <w:rsid w:val="002F1376"/>
    <w:rsid w:val="002F2026"/>
    <w:rsid w:val="002F2084"/>
    <w:rsid w:val="002F2885"/>
    <w:rsid w:val="002F32D2"/>
    <w:rsid w:val="002F365F"/>
    <w:rsid w:val="002F367B"/>
    <w:rsid w:val="002F3CF1"/>
    <w:rsid w:val="002F3D63"/>
    <w:rsid w:val="002F4424"/>
    <w:rsid w:val="002F45A1"/>
    <w:rsid w:val="002F4AFE"/>
    <w:rsid w:val="002F524C"/>
    <w:rsid w:val="002F5DD8"/>
    <w:rsid w:val="002F663B"/>
    <w:rsid w:val="002F689F"/>
    <w:rsid w:val="002F6B72"/>
    <w:rsid w:val="002F6E92"/>
    <w:rsid w:val="002F6EF6"/>
    <w:rsid w:val="002F71BB"/>
    <w:rsid w:val="002F72A8"/>
    <w:rsid w:val="002F7872"/>
    <w:rsid w:val="00300069"/>
    <w:rsid w:val="00300B5E"/>
    <w:rsid w:val="00300D98"/>
    <w:rsid w:val="003015F1"/>
    <w:rsid w:val="003021E9"/>
    <w:rsid w:val="003026E5"/>
    <w:rsid w:val="003037F9"/>
    <w:rsid w:val="00303A2E"/>
    <w:rsid w:val="003044F3"/>
    <w:rsid w:val="0030545F"/>
    <w:rsid w:val="0030583E"/>
    <w:rsid w:val="003058D0"/>
    <w:rsid w:val="003061F7"/>
    <w:rsid w:val="00307FE1"/>
    <w:rsid w:val="003105A1"/>
    <w:rsid w:val="003107EE"/>
    <w:rsid w:val="00310DB9"/>
    <w:rsid w:val="00311143"/>
    <w:rsid w:val="00311EB9"/>
    <w:rsid w:val="003129CF"/>
    <w:rsid w:val="003130BD"/>
    <w:rsid w:val="003132F8"/>
    <w:rsid w:val="003134A2"/>
    <w:rsid w:val="00314933"/>
    <w:rsid w:val="00314A85"/>
    <w:rsid w:val="0031571C"/>
    <w:rsid w:val="00315BF1"/>
    <w:rsid w:val="0031603C"/>
    <w:rsid w:val="003160DD"/>
    <w:rsid w:val="003164BA"/>
    <w:rsid w:val="00316B66"/>
    <w:rsid w:val="003201A0"/>
    <w:rsid w:val="003208AE"/>
    <w:rsid w:val="00320A69"/>
    <w:rsid w:val="003216EA"/>
    <w:rsid w:val="003219B8"/>
    <w:rsid w:val="00322228"/>
    <w:rsid w:val="003223FE"/>
    <w:rsid w:val="003238AD"/>
    <w:rsid w:val="003238F2"/>
    <w:rsid w:val="003242AC"/>
    <w:rsid w:val="00324458"/>
    <w:rsid w:val="0032483C"/>
    <w:rsid w:val="00324E42"/>
    <w:rsid w:val="003258E6"/>
    <w:rsid w:val="0032614C"/>
    <w:rsid w:val="00327888"/>
    <w:rsid w:val="00330156"/>
    <w:rsid w:val="00330B7A"/>
    <w:rsid w:val="00330FC4"/>
    <w:rsid w:val="00331B6B"/>
    <w:rsid w:val="00332404"/>
    <w:rsid w:val="00334434"/>
    <w:rsid w:val="003348BD"/>
    <w:rsid w:val="00334C8B"/>
    <w:rsid w:val="003351F4"/>
    <w:rsid w:val="003358A8"/>
    <w:rsid w:val="00336C4A"/>
    <w:rsid w:val="0033776F"/>
    <w:rsid w:val="00337A76"/>
    <w:rsid w:val="00340146"/>
    <w:rsid w:val="0034052A"/>
    <w:rsid w:val="00340B7E"/>
    <w:rsid w:val="00340E83"/>
    <w:rsid w:val="003411BF"/>
    <w:rsid w:val="003418EA"/>
    <w:rsid w:val="00341E46"/>
    <w:rsid w:val="00342283"/>
    <w:rsid w:val="003426B0"/>
    <w:rsid w:val="00343874"/>
    <w:rsid w:val="00343A87"/>
    <w:rsid w:val="00344398"/>
    <w:rsid w:val="00344A36"/>
    <w:rsid w:val="00344A8B"/>
    <w:rsid w:val="003456F4"/>
    <w:rsid w:val="0034731E"/>
    <w:rsid w:val="00347434"/>
    <w:rsid w:val="00347549"/>
    <w:rsid w:val="00347FB6"/>
    <w:rsid w:val="00350005"/>
    <w:rsid w:val="003504FD"/>
    <w:rsid w:val="00350881"/>
    <w:rsid w:val="003508EF"/>
    <w:rsid w:val="00350C15"/>
    <w:rsid w:val="00350EBC"/>
    <w:rsid w:val="00351616"/>
    <w:rsid w:val="0035206E"/>
    <w:rsid w:val="00352179"/>
    <w:rsid w:val="00352863"/>
    <w:rsid w:val="00353620"/>
    <w:rsid w:val="00353E40"/>
    <w:rsid w:val="003549B4"/>
    <w:rsid w:val="00355DC0"/>
    <w:rsid w:val="00356121"/>
    <w:rsid w:val="0035680C"/>
    <w:rsid w:val="0035691A"/>
    <w:rsid w:val="003572B6"/>
    <w:rsid w:val="00357D55"/>
    <w:rsid w:val="00357E30"/>
    <w:rsid w:val="003607D6"/>
    <w:rsid w:val="00360BFD"/>
    <w:rsid w:val="00360F37"/>
    <w:rsid w:val="003610CF"/>
    <w:rsid w:val="00361464"/>
    <w:rsid w:val="003617A8"/>
    <w:rsid w:val="00361BB8"/>
    <w:rsid w:val="00361EEE"/>
    <w:rsid w:val="003625EB"/>
    <w:rsid w:val="0036260B"/>
    <w:rsid w:val="00362ECE"/>
    <w:rsid w:val="00363513"/>
    <w:rsid w:val="0036402E"/>
    <w:rsid w:val="003646B0"/>
    <w:rsid w:val="00364A8C"/>
    <w:rsid w:val="00364CFE"/>
    <w:rsid w:val="00364E04"/>
    <w:rsid w:val="0036510F"/>
    <w:rsid w:val="003657E5"/>
    <w:rsid w:val="0036589C"/>
    <w:rsid w:val="00365B47"/>
    <w:rsid w:val="00365CD4"/>
    <w:rsid w:val="0036632C"/>
    <w:rsid w:val="003669E0"/>
    <w:rsid w:val="00366B47"/>
    <w:rsid w:val="00366B7D"/>
    <w:rsid w:val="003670E2"/>
    <w:rsid w:val="003673F4"/>
    <w:rsid w:val="003678FC"/>
    <w:rsid w:val="003679B2"/>
    <w:rsid w:val="00370767"/>
    <w:rsid w:val="00370DCF"/>
    <w:rsid w:val="00371312"/>
    <w:rsid w:val="003718B7"/>
    <w:rsid w:val="00371BCD"/>
    <w:rsid w:val="00371DC7"/>
    <w:rsid w:val="003727C7"/>
    <w:rsid w:val="00373BCC"/>
    <w:rsid w:val="00373CFE"/>
    <w:rsid w:val="00373D99"/>
    <w:rsid w:val="0037477F"/>
    <w:rsid w:val="0037490B"/>
    <w:rsid w:val="003753F3"/>
    <w:rsid w:val="003757DB"/>
    <w:rsid w:val="003758FA"/>
    <w:rsid w:val="00375AFD"/>
    <w:rsid w:val="0037601B"/>
    <w:rsid w:val="003765C6"/>
    <w:rsid w:val="003768FE"/>
    <w:rsid w:val="00376BF0"/>
    <w:rsid w:val="003777A1"/>
    <w:rsid w:val="00377856"/>
    <w:rsid w:val="00377B21"/>
    <w:rsid w:val="00380193"/>
    <w:rsid w:val="0038066C"/>
    <w:rsid w:val="003810E5"/>
    <w:rsid w:val="00381763"/>
    <w:rsid w:val="00381EFC"/>
    <w:rsid w:val="003820BE"/>
    <w:rsid w:val="00382115"/>
    <w:rsid w:val="00382ECD"/>
    <w:rsid w:val="00383145"/>
    <w:rsid w:val="003831F4"/>
    <w:rsid w:val="00383499"/>
    <w:rsid w:val="003842D1"/>
    <w:rsid w:val="00385136"/>
    <w:rsid w:val="00385990"/>
    <w:rsid w:val="00385A00"/>
    <w:rsid w:val="00386403"/>
    <w:rsid w:val="0038689C"/>
    <w:rsid w:val="00386AC4"/>
    <w:rsid w:val="00386B4D"/>
    <w:rsid w:val="00387A3E"/>
    <w:rsid w:val="00387E62"/>
    <w:rsid w:val="00390038"/>
    <w:rsid w:val="00390830"/>
    <w:rsid w:val="00390CE3"/>
    <w:rsid w:val="003912A8"/>
    <w:rsid w:val="003914CB"/>
    <w:rsid w:val="0039161B"/>
    <w:rsid w:val="003918E1"/>
    <w:rsid w:val="0039194F"/>
    <w:rsid w:val="00391B13"/>
    <w:rsid w:val="00391BFD"/>
    <w:rsid w:val="00391E90"/>
    <w:rsid w:val="00392377"/>
    <w:rsid w:val="003927FB"/>
    <w:rsid w:val="00393328"/>
    <w:rsid w:val="003937BC"/>
    <w:rsid w:val="003938F8"/>
    <w:rsid w:val="00393F4F"/>
    <w:rsid w:val="0039419E"/>
    <w:rsid w:val="00394876"/>
    <w:rsid w:val="00394AAF"/>
    <w:rsid w:val="00394CE5"/>
    <w:rsid w:val="0039507E"/>
    <w:rsid w:val="0039520B"/>
    <w:rsid w:val="00395BEB"/>
    <w:rsid w:val="00395CE2"/>
    <w:rsid w:val="00395F04"/>
    <w:rsid w:val="00396747"/>
    <w:rsid w:val="0039692B"/>
    <w:rsid w:val="00396CA8"/>
    <w:rsid w:val="003974C7"/>
    <w:rsid w:val="00397984"/>
    <w:rsid w:val="00397FC0"/>
    <w:rsid w:val="00397FC3"/>
    <w:rsid w:val="003A0788"/>
    <w:rsid w:val="003A0E6E"/>
    <w:rsid w:val="003A0E82"/>
    <w:rsid w:val="003A17EC"/>
    <w:rsid w:val="003A1932"/>
    <w:rsid w:val="003A1C85"/>
    <w:rsid w:val="003A2BC8"/>
    <w:rsid w:val="003A3161"/>
    <w:rsid w:val="003A31C8"/>
    <w:rsid w:val="003A323E"/>
    <w:rsid w:val="003A3327"/>
    <w:rsid w:val="003A39E6"/>
    <w:rsid w:val="003A3B80"/>
    <w:rsid w:val="003A4C0D"/>
    <w:rsid w:val="003A59D4"/>
    <w:rsid w:val="003A613C"/>
    <w:rsid w:val="003A6341"/>
    <w:rsid w:val="003A664F"/>
    <w:rsid w:val="003A6F6A"/>
    <w:rsid w:val="003A7035"/>
    <w:rsid w:val="003A73DD"/>
    <w:rsid w:val="003A7833"/>
    <w:rsid w:val="003B066F"/>
    <w:rsid w:val="003B0F66"/>
    <w:rsid w:val="003B173F"/>
    <w:rsid w:val="003B1B6D"/>
    <w:rsid w:val="003B2972"/>
    <w:rsid w:val="003B2A89"/>
    <w:rsid w:val="003B2C4A"/>
    <w:rsid w:val="003B2D19"/>
    <w:rsid w:val="003B2FA6"/>
    <w:rsid w:val="003B2FEE"/>
    <w:rsid w:val="003B3089"/>
    <w:rsid w:val="003B37BD"/>
    <w:rsid w:val="003B399E"/>
    <w:rsid w:val="003B47C6"/>
    <w:rsid w:val="003B47EE"/>
    <w:rsid w:val="003B5FC1"/>
    <w:rsid w:val="003B631F"/>
    <w:rsid w:val="003B67FD"/>
    <w:rsid w:val="003B6A61"/>
    <w:rsid w:val="003B6B4E"/>
    <w:rsid w:val="003B74BE"/>
    <w:rsid w:val="003B7E6D"/>
    <w:rsid w:val="003C117B"/>
    <w:rsid w:val="003C2319"/>
    <w:rsid w:val="003C2CBF"/>
    <w:rsid w:val="003C2DAC"/>
    <w:rsid w:val="003C2E5E"/>
    <w:rsid w:val="003C3102"/>
    <w:rsid w:val="003C32E9"/>
    <w:rsid w:val="003C3608"/>
    <w:rsid w:val="003C48A5"/>
    <w:rsid w:val="003C48CC"/>
    <w:rsid w:val="003C4B72"/>
    <w:rsid w:val="003C5080"/>
    <w:rsid w:val="003C6C88"/>
    <w:rsid w:val="003C6CF6"/>
    <w:rsid w:val="003C733E"/>
    <w:rsid w:val="003C7781"/>
    <w:rsid w:val="003D043E"/>
    <w:rsid w:val="003D05C1"/>
    <w:rsid w:val="003D0DE9"/>
    <w:rsid w:val="003D1141"/>
    <w:rsid w:val="003D1D7A"/>
    <w:rsid w:val="003D201A"/>
    <w:rsid w:val="003D2351"/>
    <w:rsid w:val="003D2518"/>
    <w:rsid w:val="003D2A1E"/>
    <w:rsid w:val="003D2B1F"/>
    <w:rsid w:val="003D2B2C"/>
    <w:rsid w:val="003D2C4F"/>
    <w:rsid w:val="003D318B"/>
    <w:rsid w:val="003D3253"/>
    <w:rsid w:val="003D3850"/>
    <w:rsid w:val="003D3C4E"/>
    <w:rsid w:val="003D42C0"/>
    <w:rsid w:val="003D4925"/>
    <w:rsid w:val="003D501F"/>
    <w:rsid w:val="003D55C1"/>
    <w:rsid w:val="003D58A6"/>
    <w:rsid w:val="003D5B29"/>
    <w:rsid w:val="003D5D84"/>
    <w:rsid w:val="003D6505"/>
    <w:rsid w:val="003D6563"/>
    <w:rsid w:val="003D67A9"/>
    <w:rsid w:val="003D76DF"/>
    <w:rsid w:val="003D7818"/>
    <w:rsid w:val="003D7A16"/>
    <w:rsid w:val="003E03BE"/>
    <w:rsid w:val="003E0BAD"/>
    <w:rsid w:val="003E0BE5"/>
    <w:rsid w:val="003E16F8"/>
    <w:rsid w:val="003E1DAA"/>
    <w:rsid w:val="003E2445"/>
    <w:rsid w:val="003E2A86"/>
    <w:rsid w:val="003E2DF3"/>
    <w:rsid w:val="003E2F38"/>
    <w:rsid w:val="003E3BB2"/>
    <w:rsid w:val="003E4277"/>
    <w:rsid w:val="003E4B3E"/>
    <w:rsid w:val="003E5B83"/>
    <w:rsid w:val="003E5CD3"/>
    <w:rsid w:val="003E73A0"/>
    <w:rsid w:val="003E7BAD"/>
    <w:rsid w:val="003F006C"/>
    <w:rsid w:val="003F0FE3"/>
    <w:rsid w:val="003F1B97"/>
    <w:rsid w:val="003F1C90"/>
    <w:rsid w:val="003F204D"/>
    <w:rsid w:val="003F24EC"/>
    <w:rsid w:val="003F2C2D"/>
    <w:rsid w:val="003F2E86"/>
    <w:rsid w:val="003F3DB5"/>
    <w:rsid w:val="003F497D"/>
    <w:rsid w:val="003F5897"/>
    <w:rsid w:val="003F5B46"/>
    <w:rsid w:val="003F5B58"/>
    <w:rsid w:val="003F6202"/>
    <w:rsid w:val="003F6670"/>
    <w:rsid w:val="003F6D27"/>
    <w:rsid w:val="003F6D78"/>
    <w:rsid w:val="003F732E"/>
    <w:rsid w:val="003F7DF2"/>
    <w:rsid w:val="00400C97"/>
    <w:rsid w:val="00401014"/>
    <w:rsid w:val="00401339"/>
    <w:rsid w:val="0040146C"/>
    <w:rsid w:val="0040172D"/>
    <w:rsid w:val="004017D5"/>
    <w:rsid w:val="00402181"/>
    <w:rsid w:val="0040222A"/>
    <w:rsid w:val="00402F63"/>
    <w:rsid w:val="0040356C"/>
    <w:rsid w:val="00403ACE"/>
    <w:rsid w:val="004047BC"/>
    <w:rsid w:val="00404BAA"/>
    <w:rsid w:val="004052BF"/>
    <w:rsid w:val="00405F5A"/>
    <w:rsid w:val="00406497"/>
    <w:rsid w:val="004068E5"/>
    <w:rsid w:val="00406E16"/>
    <w:rsid w:val="00407653"/>
    <w:rsid w:val="004100DA"/>
    <w:rsid w:val="004100F7"/>
    <w:rsid w:val="00410DFE"/>
    <w:rsid w:val="004110E3"/>
    <w:rsid w:val="0041113B"/>
    <w:rsid w:val="00411458"/>
    <w:rsid w:val="0041148B"/>
    <w:rsid w:val="00411985"/>
    <w:rsid w:val="00412005"/>
    <w:rsid w:val="00413133"/>
    <w:rsid w:val="00413DE4"/>
    <w:rsid w:val="0041459B"/>
    <w:rsid w:val="00414CB3"/>
    <w:rsid w:val="00414EDA"/>
    <w:rsid w:val="0041563D"/>
    <w:rsid w:val="00415882"/>
    <w:rsid w:val="00415C1B"/>
    <w:rsid w:val="004167EC"/>
    <w:rsid w:val="00417E19"/>
    <w:rsid w:val="00417E5B"/>
    <w:rsid w:val="004206AD"/>
    <w:rsid w:val="00420C4B"/>
    <w:rsid w:val="00420CF5"/>
    <w:rsid w:val="00421D4C"/>
    <w:rsid w:val="004223B4"/>
    <w:rsid w:val="0042269D"/>
    <w:rsid w:val="00422874"/>
    <w:rsid w:val="00422BF4"/>
    <w:rsid w:val="00423642"/>
    <w:rsid w:val="00423FBB"/>
    <w:rsid w:val="004244EF"/>
    <w:rsid w:val="004251B1"/>
    <w:rsid w:val="004257DD"/>
    <w:rsid w:val="00426E25"/>
    <w:rsid w:val="0042710D"/>
    <w:rsid w:val="00427D9C"/>
    <w:rsid w:val="00427E7E"/>
    <w:rsid w:val="004310EB"/>
    <w:rsid w:val="004311FB"/>
    <w:rsid w:val="004313F9"/>
    <w:rsid w:val="0043193D"/>
    <w:rsid w:val="00431F66"/>
    <w:rsid w:val="004326C9"/>
    <w:rsid w:val="00433C17"/>
    <w:rsid w:val="004346D4"/>
    <w:rsid w:val="00434EAB"/>
    <w:rsid w:val="00435536"/>
    <w:rsid w:val="00435643"/>
    <w:rsid w:val="00436195"/>
    <w:rsid w:val="0043664A"/>
    <w:rsid w:val="00436FED"/>
    <w:rsid w:val="00437564"/>
    <w:rsid w:val="004379C2"/>
    <w:rsid w:val="004429BB"/>
    <w:rsid w:val="00442AD3"/>
    <w:rsid w:val="00442C0E"/>
    <w:rsid w:val="004433AE"/>
    <w:rsid w:val="00443B6E"/>
    <w:rsid w:val="00444684"/>
    <w:rsid w:val="00444903"/>
    <w:rsid w:val="00444B53"/>
    <w:rsid w:val="00444B7C"/>
    <w:rsid w:val="00445473"/>
    <w:rsid w:val="00445CC2"/>
    <w:rsid w:val="00446E50"/>
    <w:rsid w:val="00447219"/>
    <w:rsid w:val="004473D6"/>
    <w:rsid w:val="004477B0"/>
    <w:rsid w:val="004479D6"/>
    <w:rsid w:val="0045018D"/>
    <w:rsid w:val="00450314"/>
    <w:rsid w:val="0045090B"/>
    <w:rsid w:val="00450EA1"/>
    <w:rsid w:val="0045125B"/>
    <w:rsid w:val="004521CB"/>
    <w:rsid w:val="00453F87"/>
    <w:rsid w:val="004541BD"/>
    <w:rsid w:val="0045420A"/>
    <w:rsid w:val="00454399"/>
    <w:rsid w:val="004545DF"/>
    <w:rsid w:val="00454795"/>
    <w:rsid w:val="004549BE"/>
    <w:rsid w:val="00454BC1"/>
    <w:rsid w:val="00455292"/>
    <w:rsid w:val="004554D4"/>
    <w:rsid w:val="00455648"/>
    <w:rsid w:val="00455D2B"/>
    <w:rsid w:val="0045620C"/>
    <w:rsid w:val="00456610"/>
    <w:rsid w:val="004566BE"/>
    <w:rsid w:val="00457395"/>
    <w:rsid w:val="0045762C"/>
    <w:rsid w:val="004608FC"/>
    <w:rsid w:val="00460BDE"/>
    <w:rsid w:val="00460F2A"/>
    <w:rsid w:val="0046139A"/>
    <w:rsid w:val="00461744"/>
    <w:rsid w:val="004618FA"/>
    <w:rsid w:val="00461CB7"/>
    <w:rsid w:val="00462864"/>
    <w:rsid w:val="00462898"/>
    <w:rsid w:val="004628A9"/>
    <w:rsid w:val="0046313C"/>
    <w:rsid w:val="00463DF4"/>
    <w:rsid w:val="00464FDA"/>
    <w:rsid w:val="00464FDD"/>
    <w:rsid w:val="00465837"/>
    <w:rsid w:val="00465ED1"/>
    <w:rsid w:val="00466012"/>
    <w:rsid w:val="00466051"/>
    <w:rsid w:val="00466185"/>
    <w:rsid w:val="004665A7"/>
    <w:rsid w:val="004666EE"/>
    <w:rsid w:val="00466846"/>
    <w:rsid w:val="004668A7"/>
    <w:rsid w:val="00466D96"/>
    <w:rsid w:val="00467747"/>
    <w:rsid w:val="00470062"/>
    <w:rsid w:val="004700B7"/>
    <w:rsid w:val="00470661"/>
    <w:rsid w:val="00471322"/>
    <w:rsid w:val="00471B1D"/>
    <w:rsid w:val="00472696"/>
    <w:rsid w:val="00472D65"/>
    <w:rsid w:val="004731B3"/>
    <w:rsid w:val="00473C98"/>
    <w:rsid w:val="00473FBE"/>
    <w:rsid w:val="0047447A"/>
    <w:rsid w:val="00474965"/>
    <w:rsid w:val="0047511E"/>
    <w:rsid w:val="00475534"/>
    <w:rsid w:val="004756E3"/>
    <w:rsid w:val="00475754"/>
    <w:rsid w:val="004757C4"/>
    <w:rsid w:val="00475B8E"/>
    <w:rsid w:val="0047663E"/>
    <w:rsid w:val="00476730"/>
    <w:rsid w:val="00476968"/>
    <w:rsid w:val="00477432"/>
    <w:rsid w:val="00480D3C"/>
    <w:rsid w:val="00480F3F"/>
    <w:rsid w:val="00481319"/>
    <w:rsid w:val="00481A01"/>
    <w:rsid w:val="00481A52"/>
    <w:rsid w:val="004822DD"/>
    <w:rsid w:val="004822EA"/>
    <w:rsid w:val="00482538"/>
    <w:rsid w:val="004827F6"/>
    <w:rsid w:val="004828B4"/>
    <w:rsid w:val="00482CF3"/>
    <w:rsid w:val="00482DF8"/>
    <w:rsid w:val="004830EB"/>
    <w:rsid w:val="0048334D"/>
    <w:rsid w:val="004839B3"/>
    <w:rsid w:val="00483DE3"/>
    <w:rsid w:val="004842EE"/>
    <w:rsid w:val="00484596"/>
    <w:rsid w:val="004855C5"/>
    <w:rsid w:val="004857ED"/>
    <w:rsid w:val="00485CF6"/>
    <w:rsid w:val="004862F4"/>
    <w:rsid w:val="004864DE"/>
    <w:rsid w:val="00487005"/>
    <w:rsid w:val="00487C06"/>
    <w:rsid w:val="00487DFB"/>
    <w:rsid w:val="00487E97"/>
    <w:rsid w:val="00490283"/>
    <w:rsid w:val="004902D8"/>
    <w:rsid w:val="00490824"/>
    <w:rsid w:val="004908FC"/>
    <w:rsid w:val="00490A9C"/>
    <w:rsid w:val="00491983"/>
    <w:rsid w:val="00491A7E"/>
    <w:rsid w:val="00491AA3"/>
    <w:rsid w:val="00491FAF"/>
    <w:rsid w:val="004927EC"/>
    <w:rsid w:val="004928D1"/>
    <w:rsid w:val="004932D5"/>
    <w:rsid w:val="00493594"/>
    <w:rsid w:val="00493BE3"/>
    <w:rsid w:val="00493C75"/>
    <w:rsid w:val="00494149"/>
    <w:rsid w:val="00494278"/>
    <w:rsid w:val="004942DF"/>
    <w:rsid w:val="00494343"/>
    <w:rsid w:val="00494BE5"/>
    <w:rsid w:val="00495679"/>
    <w:rsid w:val="0049582A"/>
    <w:rsid w:val="00495D45"/>
    <w:rsid w:val="004970BD"/>
    <w:rsid w:val="004971C2"/>
    <w:rsid w:val="00497A33"/>
    <w:rsid w:val="00497F60"/>
    <w:rsid w:val="004A0162"/>
    <w:rsid w:val="004A0502"/>
    <w:rsid w:val="004A0A91"/>
    <w:rsid w:val="004A0CAA"/>
    <w:rsid w:val="004A0EBA"/>
    <w:rsid w:val="004A1336"/>
    <w:rsid w:val="004A17C7"/>
    <w:rsid w:val="004A1EB3"/>
    <w:rsid w:val="004A2538"/>
    <w:rsid w:val="004A2628"/>
    <w:rsid w:val="004A2C86"/>
    <w:rsid w:val="004A3D47"/>
    <w:rsid w:val="004A3F6F"/>
    <w:rsid w:val="004A3FD2"/>
    <w:rsid w:val="004A434B"/>
    <w:rsid w:val="004A4444"/>
    <w:rsid w:val="004A4525"/>
    <w:rsid w:val="004A47B1"/>
    <w:rsid w:val="004A4924"/>
    <w:rsid w:val="004A61EB"/>
    <w:rsid w:val="004A638B"/>
    <w:rsid w:val="004A6748"/>
    <w:rsid w:val="004A6D2B"/>
    <w:rsid w:val="004A70C7"/>
    <w:rsid w:val="004A7D2C"/>
    <w:rsid w:val="004B048E"/>
    <w:rsid w:val="004B063F"/>
    <w:rsid w:val="004B08DF"/>
    <w:rsid w:val="004B0C15"/>
    <w:rsid w:val="004B1506"/>
    <w:rsid w:val="004B1561"/>
    <w:rsid w:val="004B1CAB"/>
    <w:rsid w:val="004B2C5E"/>
    <w:rsid w:val="004B2F9D"/>
    <w:rsid w:val="004B35EA"/>
    <w:rsid w:val="004B36DC"/>
    <w:rsid w:val="004B4299"/>
    <w:rsid w:val="004B44A1"/>
    <w:rsid w:val="004B476C"/>
    <w:rsid w:val="004B4B0C"/>
    <w:rsid w:val="004B4B2D"/>
    <w:rsid w:val="004B4FBB"/>
    <w:rsid w:val="004B55B9"/>
    <w:rsid w:val="004B5820"/>
    <w:rsid w:val="004B6364"/>
    <w:rsid w:val="004B69E4"/>
    <w:rsid w:val="004B6A21"/>
    <w:rsid w:val="004B6C22"/>
    <w:rsid w:val="004B7373"/>
    <w:rsid w:val="004C01E5"/>
    <w:rsid w:val="004C0B44"/>
    <w:rsid w:val="004C0CF3"/>
    <w:rsid w:val="004C0E48"/>
    <w:rsid w:val="004C2BF4"/>
    <w:rsid w:val="004C2F2C"/>
    <w:rsid w:val="004C35C6"/>
    <w:rsid w:val="004C37C1"/>
    <w:rsid w:val="004C3D47"/>
    <w:rsid w:val="004C4650"/>
    <w:rsid w:val="004C4A84"/>
    <w:rsid w:val="004C54F1"/>
    <w:rsid w:val="004C5772"/>
    <w:rsid w:val="004C5E4A"/>
    <w:rsid w:val="004C5F56"/>
    <w:rsid w:val="004C61D9"/>
    <w:rsid w:val="004C664E"/>
    <w:rsid w:val="004C6C39"/>
    <w:rsid w:val="004C7C45"/>
    <w:rsid w:val="004D007A"/>
    <w:rsid w:val="004D0674"/>
    <w:rsid w:val="004D075F"/>
    <w:rsid w:val="004D09D7"/>
    <w:rsid w:val="004D0C61"/>
    <w:rsid w:val="004D15FC"/>
    <w:rsid w:val="004D1B76"/>
    <w:rsid w:val="004D290E"/>
    <w:rsid w:val="004D2A89"/>
    <w:rsid w:val="004D309A"/>
    <w:rsid w:val="004D339A"/>
    <w:rsid w:val="004D344E"/>
    <w:rsid w:val="004D3563"/>
    <w:rsid w:val="004D3B7C"/>
    <w:rsid w:val="004D44DA"/>
    <w:rsid w:val="004D4668"/>
    <w:rsid w:val="004D59F9"/>
    <w:rsid w:val="004D665A"/>
    <w:rsid w:val="004D6AFD"/>
    <w:rsid w:val="004D75BB"/>
    <w:rsid w:val="004D7954"/>
    <w:rsid w:val="004D7D90"/>
    <w:rsid w:val="004E019E"/>
    <w:rsid w:val="004E06EC"/>
    <w:rsid w:val="004E0FD7"/>
    <w:rsid w:val="004E1F2F"/>
    <w:rsid w:val="004E2CB7"/>
    <w:rsid w:val="004E31D1"/>
    <w:rsid w:val="004E34FB"/>
    <w:rsid w:val="004E3FEA"/>
    <w:rsid w:val="004E4188"/>
    <w:rsid w:val="004E45EC"/>
    <w:rsid w:val="004E46B2"/>
    <w:rsid w:val="004E47DA"/>
    <w:rsid w:val="004E4BE1"/>
    <w:rsid w:val="004E4D82"/>
    <w:rsid w:val="004E4ED1"/>
    <w:rsid w:val="004E5079"/>
    <w:rsid w:val="004E523C"/>
    <w:rsid w:val="004E6274"/>
    <w:rsid w:val="004E68C2"/>
    <w:rsid w:val="004E69A0"/>
    <w:rsid w:val="004E6A9C"/>
    <w:rsid w:val="004E6E50"/>
    <w:rsid w:val="004E7577"/>
    <w:rsid w:val="004E7885"/>
    <w:rsid w:val="004F003C"/>
    <w:rsid w:val="004F00AC"/>
    <w:rsid w:val="004F016A"/>
    <w:rsid w:val="004F09C2"/>
    <w:rsid w:val="004F0C99"/>
    <w:rsid w:val="004F1497"/>
    <w:rsid w:val="004F19EA"/>
    <w:rsid w:val="004F1DB4"/>
    <w:rsid w:val="004F2206"/>
    <w:rsid w:val="004F2850"/>
    <w:rsid w:val="004F308D"/>
    <w:rsid w:val="004F3335"/>
    <w:rsid w:val="004F350B"/>
    <w:rsid w:val="004F3B5F"/>
    <w:rsid w:val="004F40E2"/>
    <w:rsid w:val="004F45AA"/>
    <w:rsid w:val="004F5377"/>
    <w:rsid w:val="004F5531"/>
    <w:rsid w:val="004F5617"/>
    <w:rsid w:val="004F5E13"/>
    <w:rsid w:val="004F6C94"/>
    <w:rsid w:val="004F79AC"/>
    <w:rsid w:val="004F7CED"/>
    <w:rsid w:val="00500223"/>
    <w:rsid w:val="00500595"/>
    <w:rsid w:val="005009A5"/>
    <w:rsid w:val="00500F94"/>
    <w:rsid w:val="00501E39"/>
    <w:rsid w:val="00502BC5"/>
    <w:rsid w:val="00502E40"/>
    <w:rsid w:val="00502F68"/>
    <w:rsid w:val="00502FB3"/>
    <w:rsid w:val="00503169"/>
    <w:rsid w:val="00503190"/>
    <w:rsid w:val="00503DE9"/>
    <w:rsid w:val="00504001"/>
    <w:rsid w:val="00504EE2"/>
    <w:rsid w:val="00505015"/>
    <w:rsid w:val="0050530C"/>
    <w:rsid w:val="00505DEA"/>
    <w:rsid w:val="0050650C"/>
    <w:rsid w:val="00506F93"/>
    <w:rsid w:val="00507782"/>
    <w:rsid w:val="0050780F"/>
    <w:rsid w:val="00507C19"/>
    <w:rsid w:val="00510404"/>
    <w:rsid w:val="0051109B"/>
    <w:rsid w:val="00511E20"/>
    <w:rsid w:val="00511E60"/>
    <w:rsid w:val="005121FE"/>
    <w:rsid w:val="00512372"/>
    <w:rsid w:val="0051272D"/>
    <w:rsid w:val="0051297B"/>
    <w:rsid w:val="00512A04"/>
    <w:rsid w:val="0051301F"/>
    <w:rsid w:val="005135D6"/>
    <w:rsid w:val="00513B79"/>
    <w:rsid w:val="00514213"/>
    <w:rsid w:val="00514B37"/>
    <w:rsid w:val="005156DF"/>
    <w:rsid w:val="00515F38"/>
    <w:rsid w:val="00515F87"/>
    <w:rsid w:val="005160E3"/>
    <w:rsid w:val="00516D6C"/>
    <w:rsid w:val="0052114F"/>
    <w:rsid w:val="005211B4"/>
    <w:rsid w:val="005213FC"/>
    <w:rsid w:val="005218C0"/>
    <w:rsid w:val="00521F02"/>
    <w:rsid w:val="005225C3"/>
    <w:rsid w:val="00522ACA"/>
    <w:rsid w:val="0052344A"/>
    <w:rsid w:val="0052351F"/>
    <w:rsid w:val="005236A1"/>
    <w:rsid w:val="0052393F"/>
    <w:rsid w:val="00523A3A"/>
    <w:rsid w:val="00523B48"/>
    <w:rsid w:val="00523E89"/>
    <w:rsid w:val="00523F7F"/>
    <w:rsid w:val="00524357"/>
    <w:rsid w:val="005249F5"/>
    <w:rsid w:val="00524C66"/>
    <w:rsid w:val="00524EDD"/>
    <w:rsid w:val="00525064"/>
    <w:rsid w:val="0052542C"/>
    <w:rsid w:val="0052552C"/>
    <w:rsid w:val="00525890"/>
    <w:rsid w:val="00525AE2"/>
    <w:rsid w:val="005260F7"/>
    <w:rsid w:val="00526DFD"/>
    <w:rsid w:val="00526EF4"/>
    <w:rsid w:val="00527937"/>
    <w:rsid w:val="00530310"/>
    <w:rsid w:val="00530538"/>
    <w:rsid w:val="005308F5"/>
    <w:rsid w:val="00530D46"/>
    <w:rsid w:val="00531558"/>
    <w:rsid w:val="005319AA"/>
    <w:rsid w:val="00531EE8"/>
    <w:rsid w:val="0053242C"/>
    <w:rsid w:val="005326D5"/>
    <w:rsid w:val="00532A37"/>
    <w:rsid w:val="0053361F"/>
    <w:rsid w:val="005336EB"/>
    <w:rsid w:val="00533C6B"/>
    <w:rsid w:val="005340E7"/>
    <w:rsid w:val="005342E3"/>
    <w:rsid w:val="005346DF"/>
    <w:rsid w:val="00534766"/>
    <w:rsid w:val="00534D35"/>
    <w:rsid w:val="00534DB1"/>
    <w:rsid w:val="00535982"/>
    <w:rsid w:val="00536664"/>
    <w:rsid w:val="0053680E"/>
    <w:rsid w:val="00537435"/>
    <w:rsid w:val="00541860"/>
    <w:rsid w:val="00541BEE"/>
    <w:rsid w:val="005422B2"/>
    <w:rsid w:val="00542647"/>
    <w:rsid w:val="00542756"/>
    <w:rsid w:val="00543A6E"/>
    <w:rsid w:val="00543BD1"/>
    <w:rsid w:val="00543C10"/>
    <w:rsid w:val="00544EF0"/>
    <w:rsid w:val="0054573D"/>
    <w:rsid w:val="00545D47"/>
    <w:rsid w:val="00546013"/>
    <w:rsid w:val="00546B14"/>
    <w:rsid w:val="00546D7E"/>
    <w:rsid w:val="005478BF"/>
    <w:rsid w:val="00547A7B"/>
    <w:rsid w:val="00547B4D"/>
    <w:rsid w:val="00550054"/>
    <w:rsid w:val="005503B7"/>
    <w:rsid w:val="005506B7"/>
    <w:rsid w:val="00550712"/>
    <w:rsid w:val="0055073F"/>
    <w:rsid w:val="00550BB3"/>
    <w:rsid w:val="00550EB5"/>
    <w:rsid w:val="00552361"/>
    <w:rsid w:val="005527FE"/>
    <w:rsid w:val="0055286F"/>
    <w:rsid w:val="00552E9B"/>
    <w:rsid w:val="0055304E"/>
    <w:rsid w:val="005536D5"/>
    <w:rsid w:val="00553946"/>
    <w:rsid w:val="00554929"/>
    <w:rsid w:val="00554B30"/>
    <w:rsid w:val="0055554D"/>
    <w:rsid w:val="00555632"/>
    <w:rsid w:val="00556113"/>
    <w:rsid w:val="00556348"/>
    <w:rsid w:val="00556945"/>
    <w:rsid w:val="00556F21"/>
    <w:rsid w:val="00557597"/>
    <w:rsid w:val="0056066F"/>
    <w:rsid w:val="00560B90"/>
    <w:rsid w:val="005611A2"/>
    <w:rsid w:val="00561A9F"/>
    <w:rsid w:val="00561D90"/>
    <w:rsid w:val="00562986"/>
    <w:rsid w:val="00562C83"/>
    <w:rsid w:val="00563DC7"/>
    <w:rsid w:val="00564780"/>
    <w:rsid w:val="00564C12"/>
    <w:rsid w:val="00565369"/>
    <w:rsid w:val="005654B8"/>
    <w:rsid w:val="00565605"/>
    <w:rsid w:val="00565661"/>
    <w:rsid w:val="005656FD"/>
    <w:rsid w:val="00565919"/>
    <w:rsid w:val="00565A2D"/>
    <w:rsid w:val="00565FED"/>
    <w:rsid w:val="00566827"/>
    <w:rsid w:val="00566BAE"/>
    <w:rsid w:val="00567126"/>
    <w:rsid w:val="005671CE"/>
    <w:rsid w:val="0056749D"/>
    <w:rsid w:val="00567703"/>
    <w:rsid w:val="00567BDA"/>
    <w:rsid w:val="00570474"/>
    <w:rsid w:val="0057061F"/>
    <w:rsid w:val="005709DB"/>
    <w:rsid w:val="00571C51"/>
    <w:rsid w:val="00571EC6"/>
    <w:rsid w:val="00571F71"/>
    <w:rsid w:val="00572EB3"/>
    <w:rsid w:val="00573350"/>
    <w:rsid w:val="0057341C"/>
    <w:rsid w:val="00573534"/>
    <w:rsid w:val="0057377F"/>
    <w:rsid w:val="005738C2"/>
    <w:rsid w:val="00573B54"/>
    <w:rsid w:val="00574203"/>
    <w:rsid w:val="005749AB"/>
    <w:rsid w:val="005749D5"/>
    <w:rsid w:val="00574A9E"/>
    <w:rsid w:val="00574ABC"/>
    <w:rsid w:val="00574B27"/>
    <w:rsid w:val="00574CFA"/>
    <w:rsid w:val="0057532C"/>
    <w:rsid w:val="00575DB7"/>
    <w:rsid w:val="005762B5"/>
    <w:rsid w:val="005762CC"/>
    <w:rsid w:val="00576549"/>
    <w:rsid w:val="00577BCC"/>
    <w:rsid w:val="0058070F"/>
    <w:rsid w:val="00581AA4"/>
    <w:rsid w:val="005820DE"/>
    <w:rsid w:val="00582AC0"/>
    <w:rsid w:val="00582D3D"/>
    <w:rsid w:val="00582FD1"/>
    <w:rsid w:val="00583323"/>
    <w:rsid w:val="0058371C"/>
    <w:rsid w:val="00583889"/>
    <w:rsid w:val="005838C4"/>
    <w:rsid w:val="005847E4"/>
    <w:rsid w:val="00584B1C"/>
    <w:rsid w:val="00585588"/>
    <w:rsid w:val="00585FCD"/>
    <w:rsid w:val="00586593"/>
    <w:rsid w:val="005865B9"/>
    <w:rsid w:val="005865D2"/>
    <w:rsid w:val="00586F48"/>
    <w:rsid w:val="005870D3"/>
    <w:rsid w:val="00587310"/>
    <w:rsid w:val="005879D1"/>
    <w:rsid w:val="005901DC"/>
    <w:rsid w:val="00590388"/>
    <w:rsid w:val="00590A2B"/>
    <w:rsid w:val="00590A3C"/>
    <w:rsid w:val="0059100C"/>
    <w:rsid w:val="005913BF"/>
    <w:rsid w:val="00591483"/>
    <w:rsid w:val="0059151F"/>
    <w:rsid w:val="0059166E"/>
    <w:rsid w:val="00591747"/>
    <w:rsid w:val="0059246B"/>
    <w:rsid w:val="00592EA3"/>
    <w:rsid w:val="0059340C"/>
    <w:rsid w:val="00593464"/>
    <w:rsid w:val="00593E5D"/>
    <w:rsid w:val="00593F8D"/>
    <w:rsid w:val="00593F98"/>
    <w:rsid w:val="00594507"/>
    <w:rsid w:val="00595386"/>
    <w:rsid w:val="005953B0"/>
    <w:rsid w:val="005959A7"/>
    <w:rsid w:val="0059633D"/>
    <w:rsid w:val="00596364"/>
    <w:rsid w:val="005963C1"/>
    <w:rsid w:val="005964F6"/>
    <w:rsid w:val="0059672F"/>
    <w:rsid w:val="00596E49"/>
    <w:rsid w:val="00597442"/>
    <w:rsid w:val="00597790"/>
    <w:rsid w:val="00597AD8"/>
    <w:rsid w:val="005A0387"/>
    <w:rsid w:val="005A0D52"/>
    <w:rsid w:val="005A0E3B"/>
    <w:rsid w:val="005A1A0B"/>
    <w:rsid w:val="005A21E1"/>
    <w:rsid w:val="005A2235"/>
    <w:rsid w:val="005A283A"/>
    <w:rsid w:val="005A3621"/>
    <w:rsid w:val="005A366E"/>
    <w:rsid w:val="005A4AC0"/>
    <w:rsid w:val="005A55B7"/>
    <w:rsid w:val="005A5A44"/>
    <w:rsid w:val="005A5A64"/>
    <w:rsid w:val="005A5FDF"/>
    <w:rsid w:val="005A641D"/>
    <w:rsid w:val="005A658F"/>
    <w:rsid w:val="005A70D4"/>
    <w:rsid w:val="005A786D"/>
    <w:rsid w:val="005A78DC"/>
    <w:rsid w:val="005B0FB7"/>
    <w:rsid w:val="005B122A"/>
    <w:rsid w:val="005B12B1"/>
    <w:rsid w:val="005B1A21"/>
    <w:rsid w:val="005B1B8E"/>
    <w:rsid w:val="005B2242"/>
    <w:rsid w:val="005B2A32"/>
    <w:rsid w:val="005B356D"/>
    <w:rsid w:val="005B42A7"/>
    <w:rsid w:val="005B49AA"/>
    <w:rsid w:val="005B4E98"/>
    <w:rsid w:val="005B505F"/>
    <w:rsid w:val="005B5799"/>
    <w:rsid w:val="005B5AC2"/>
    <w:rsid w:val="005B68C2"/>
    <w:rsid w:val="005B6BF5"/>
    <w:rsid w:val="005B7C35"/>
    <w:rsid w:val="005C0F87"/>
    <w:rsid w:val="005C15E5"/>
    <w:rsid w:val="005C15EB"/>
    <w:rsid w:val="005C2833"/>
    <w:rsid w:val="005C284C"/>
    <w:rsid w:val="005C2960"/>
    <w:rsid w:val="005C37D0"/>
    <w:rsid w:val="005C39AB"/>
    <w:rsid w:val="005C3DEE"/>
    <w:rsid w:val="005C52AF"/>
    <w:rsid w:val="005C5427"/>
    <w:rsid w:val="005C5992"/>
    <w:rsid w:val="005C5D75"/>
    <w:rsid w:val="005C7B25"/>
    <w:rsid w:val="005C7C99"/>
    <w:rsid w:val="005D01DD"/>
    <w:rsid w:val="005D02FD"/>
    <w:rsid w:val="005D046B"/>
    <w:rsid w:val="005D0A72"/>
    <w:rsid w:val="005D19BB"/>
    <w:rsid w:val="005D19F8"/>
    <w:rsid w:val="005D1EF1"/>
    <w:rsid w:val="005D207A"/>
    <w:rsid w:val="005D3222"/>
    <w:rsid w:val="005D35BF"/>
    <w:rsid w:val="005D35F7"/>
    <w:rsid w:val="005D4095"/>
    <w:rsid w:val="005D49D6"/>
    <w:rsid w:val="005D4CAE"/>
    <w:rsid w:val="005D4E26"/>
    <w:rsid w:val="005D5D19"/>
    <w:rsid w:val="005D5EA0"/>
    <w:rsid w:val="005D7718"/>
    <w:rsid w:val="005E144D"/>
    <w:rsid w:val="005E1500"/>
    <w:rsid w:val="005E1698"/>
    <w:rsid w:val="005E1854"/>
    <w:rsid w:val="005E1901"/>
    <w:rsid w:val="005E2138"/>
    <w:rsid w:val="005E2722"/>
    <w:rsid w:val="005E2745"/>
    <w:rsid w:val="005E2D5F"/>
    <w:rsid w:val="005E33B1"/>
    <w:rsid w:val="005E373E"/>
    <w:rsid w:val="005E3A43"/>
    <w:rsid w:val="005E3D6A"/>
    <w:rsid w:val="005E3E02"/>
    <w:rsid w:val="005E40D3"/>
    <w:rsid w:val="005E43A3"/>
    <w:rsid w:val="005E51A4"/>
    <w:rsid w:val="005E547F"/>
    <w:rsid w:val="005E560A"/>
    <w:rsid w:val="005E58DC"/>
    <w:rsid w:val="005E5E8A"/>
    <w:rsid w:val="005E5F4F"/>
    <w:rsid w:val="005E6227"/>
    <w:rsid w:val="005E62B0"/>
    <w:rsid w:val="005E7093"/>
    <w:rsid w:val="005E7607"/>
    <w:rsid w:val="005E767B"/>
    <w:rsid w:val="005E7B61"/>
    <w:rsid w:val="005F0437"/>
    <w:rsid w:val="005F0536"/>
    <w:rsid w:val="005F1088"/>
    <w:rsid w:val="005F1831"/>
    <w:rsid w:val="005F1F4D"/>
    <w:rsid w:val="005F49D1"/>
    <w:rsid w:val="005F4E6C"/>
    <w:rsid w:val="005F504F"/>
    <w:rsid w:val="005F60D8"/>
    <w:rsid w:val="005F6852"/>
    <w:rsid w:val="005F6A35"/>
    <w:rsid w:val="005F6C03"/>
    <w:rsid w:val="005F77C7"/>
    <w:rsid w:val="005F7A6E"/>
    <w:rsid w:val="005F7CE0"/>
    <w:rsid w:val="006013AE"/>
    <w:rsid w:val="0060154A"/>
    <w:rsid w:val="006025E4"/>
    <w:rsid w:val="00602674"/>
    <w:rsid w:val="006036F8"/>
    <w:rsid w:val="0060374F"/>
    <w:rsid w:val="00603B08"/>
    <w:rsid w:val="00603DC3"/>
    <w:rsid w:val="00603E6D"/>
    <w:rsid w:val="00604023"/>
    <w:rsid w:val="00604CF2"/>
    <w:rsid w:val="00605787"/>
    <w:rsid w:val="00606D36"/>
    <w:rsid w:val="0060722D"/>
    <w:rsid w:val="00607BC1"/>
    <w:rsid w:val="006100AF"/>
    <w:rsid w:val="00610AFF"/>
    <w:rsid w:val="00610F9E"/>
    <w:rsid w:val="00611218"/>
    <w:rsid w:val="006114D7"/>
    <w:rsid w:val="00611664"/>
    <w:rsid w:val="00611665"/>
    <w:rsid w:val="00611B29"/>
    <w:rsid w:val="00611DA6"/>
    <w:rsid w:val="0061274E"/>
    <w:rsid w:val="00613367"/>
    <w:rsid w:val="00614754"/>
    <w:rsid w:val="0061486C"/>
    <w:rsid w:val="006148A2"/>
    <w:rsid w:val="00614E6C"/>
    <w:rsid w:val="00614F35"/>
    <w:rsid w:val="006154A9"/>
    <w:rsid w:val="0061564D"/>
    <w:rsid w:val="00615A2A"/>
    <w:rsid w:val="00615E7B"/>
    <w:rsid w:val="006162F4"/>
    <w:rsid w:val="00617090"/>
    <w:rsid w:val="00617368"/>
    <w:rsid w:val="006173B7"/>
    <w:rsid w:val="006174CB"/>
    <w:rsid w:val="00617B94"/>
    <w:rsid w:val="00617C96"/>
    <w:rsid w:val="00617E33"/>
    <w:rsid w:val="0062058E"/>
    <w:rsid w:val="006205E7"/>
    <w:rsid w:val="00620675"/>
    <w:rsid w:val="0062085E"/>
    <w:rsid w:val="00620B5B"/>
    <w:rsid w:val="00620FD0"/>
    <w:rsid w:val="0062117B"/>
    <w:rsid w:val="0062197B"/>
    <w:rsid w:val="00621D1B"/>
    <w:rsid w:val="0062211D"/>
    <w:rsid w:val="00622910"/>
    <w:rsid w:val="0062295A"/>
    <w:rsid w:val="00622BDA"/>
    <w:rsid w:val="00622E24"/>
    <w:rsid w:val="00622F4B"/>
    <w:rsid w:val="006238E4"/>
    <w:rsid w:val="00625877"/>
    <w:rsid w:val="006258C9"/>
    <w:rsid w:val="006259F6"/>
    <w:rsid w:val="00626D99"/>
    <w:rsid w:val="00627237"/>
    <w:rsid w:val="00627887"/>
    <w:rsid w:val="00630093"/>
    <w:rsid w:val="0063015F"/>
    <w:rsid w:val="006303BB"/>
    <w:rsid w:val="00630BE6"/>
    <w:rsid w:val="00630EA9"/>
    <w:rsid w:val="00631623"/>
    <w:rsid w:val="006318B3"/>
    <w:rsid w:val="0063199C"/>
    <w:rsid w:val="00631CC3"/>
    <w:rsid w:val="00631D17"/>
    <w:rsid w:val="006321A2"/>
    <w:rsid w:val="00632387"/>
    <w:rsid w:val="00632B5E"/>
    <w:rsid w:val="006334F7"/>
    <w:rsid w:val="00633F79"/>
    <w:rsid w:val="00634D61"/>
    <w:rsid w:val="00635A04"/>
    <w:rsid w:val="00635C31"/>
    <w:rsid w:val="00635F91"/>
    <w:rsid w:val="006405C6"/>
    <w:rsid w:val="00640C20"/>
    <w:rsid w:val="0064182A"/>
    <w:rsid w:val="0064234E"/>
    <w:rsid w:val="006423C9"/>
    <w:rsid w:val="00642C9F"/>
    <w:rsid w:val="006432D8"/>
    <w:rsid w:val="006433C3"/>
    <w:rsid w:val="006433F4"/>
    <w:rsid w:val="00644048"/>
    <w:rsid w:val="00644EC2"/>
    <w:rsid w:val="00645022"/>
    <w:rsid w:val="006458AF"/>
    <w:rsid w:val="006461B7"/>
    <w:rsid w:val="00646736"/>
    <w:rsid w:val="00646778"/>
    <w:rsid w:val="0064701D"/>
    <w:rsid w:val="006477C9"/>
    <w:rsid w:val="0064787C"/>
    <w:rsid w:val="00647A30"/>
    <w:rsid w:val="00650F5B"/>
    <w:rsid w:val="006514B7"/>
    <w:rsid w:val="006519E7"/>
    <w:rsid w:val="00651E30"/>
    <w:rsid w:val="00652DC0"/>
    <w:rsid w:val="00652E55"/>
    <w:rsid w:val="00653025"/>
    <w:rsid w:val="00653343"/>
    <w:rsid w:val="00653F21"/>
    <w:rsid w:val="006542D4"/>
    <w:rsid w:val="00654BC8"/>
    <w:rsid w:val="00654D59"/>
    <w:rsid w:val="00655FE4"/>
    <w:rsid w:val="00656346"/>
    <w:rsid w:val="006567C6"/>
    <w:rsid w:val="00657546"/>
    <w:rsid w:val="00660584"/>
    <w:rsid w:val="00661077"/>
    <w:rsid w:val="0066144D"/>
    <w:rsid w:val="00661B46"/>
    <w:rsid w:val="006620D5"/>
    <w:rsid w:val="00663321"/>
    <w:rsid w:val="0066376B"/>
    <w:rsid w:val="006638D2"/>
    <w:rsid w:val="00664084"/>
    <w:rsid w:val="00664F45"/>
    <w:rsid w:val="00665228"/>
    <w:rsid w:val="006670D7"/>
    <w:rsid w:val="006675FB"/>
    <w:rsid w:val="00667797"/>
    <w:rsid w:val="00667E06"/>
    <w:rsid w:val="00667E31"/>
    <w:rsid w:val="00670D76"/>
    <w:rsid w:val="006713B5"/>
    <w:rsid w:val="006719EA"/>
    <w:rsid w:val="00671C10"/>
    <w:rsid w:val="00671F13"/>
    <w:rsid w:val="00671FE7"/>
    <w:rsid w:val="006726B8"/>
    <w:rsid w:val="00672C22"/>
    <w:rsid w:val="00672DE4"/>
    <w:rsid w:val="0067339F"/>
    <w:rsid w:val="006734EB"/>
    <w:rsid w:val="00673B02"/>
    <w:rsid w:val="0067400A"/>
    <w:rsid w:val="006742A7"/>
    <w:rsid w:val="006746BA"/>
    <w:rsid w:val="006747E0"/>
    <w:rsid w:val="00674D24"/>
    <w:rsid w:val="0067521E"/>
    <w:rsid w:val="00675443"/>
    <w:rsid w:val="00675BEE"/>
    <w:rsid w:val="00675D46"/>
    <w:rsid w:val="006761D5"/>
    <w:rsid w:val="006769F3"/>
    <w:rsid w:val="00676E50"/>
    <w:rsid w:val="00676FAF"/>
    <w:rsid w:val="00677034"/>
    <w:rsid w:val="00677DF7"/>
    <w:rsid w:val="00680AD2"/>
    <w:rsid w:val="00680B99"/>
    <w:rsid w:val="0068171F"/>
    <w:rsid w:val="00681B6B"/>
    <w:rsid w:val="00681C36"/>
    <w:rsid w:val="00682C9B"/>
    <w:rsid w:val="00683178"/>
    <w:rsid w:val="006839A2"/>
    <w:rsid w:val="00684689"/>
    <w:rsid w:val="006847AD"/>
    <w:rsid w:val="00684C20"/>
    <w:rsid w:val="00684C67"/>
    <w:rsid w:val="00684E7D"/>
    <w:rsid w:val="00685FBD"/>
    <w:rsid w:val="00686292"/>
    <w:rsid w:val="00686E39"/>
    <w:rsid w:val="00690316"/>
    <w:rsid w:val="0069055C"/>
    <w:rsid w:val="006910E8"/>
    <w:rsid w:val="0069114B"/>
    <w:rsid w:val="00691AF8"/>
    <w:rsid w:val="00692089"/>
    <w:rsid w:val="00692DB0"/>
    <w:rsid w:val="00693292"/>
    <w:rsid w:val="0069368B"/>
    <w:rsid w:val="00693A7B"/>
    <w:rsid w:val="00693B90"/>
    <w:rsid w:val="00693FA5"/>
    <w:rsid w:val="0069440C"/>
    <w:rsid w:val="006946D9"/>
    <w:rsid w:val="00694A4B"/>
    <w:rsid w:val="00695646"/>
    <w:rsid w:val="00695ED3"/>
    <w:rsid w:val="0069642A"/>
    <w:rsid w:val="0069660A"/>
    <w:rsid w:val="00696994"/>
    <w:rsid w:val="00696BEF"/>
    <w:rsid w:val="00696E7C"/>
    <w:rsid w:val="00696F2B"/>
    <w:rsid w:val="006970B5"/>
    <w:rsid w:val="006973BF"/>
    <w:rsid w:val="00697F29"/>
    <w:rsid w:val="006A0512"/>
    <w:rsid w:val="006A07D4"/>
    <w:rsid w:val="006A0C7E"/>
    <w:rsid w:val="006A0FD3"/>
    <w:rsid w:val="006A100B"/>
    <w:rsid w:val="006A1149"/>
    <w:rsid w:val="006A1F2F"/>
    <w:rsid w:val="006A1F64"/>
    <w:rsid w:val="006A31A3"/>
    <w:rsid w:val="006A3740"/>
    <w:rsid w:val="006A3AF5"/>
    <w:rsid w:val="006A3BD6"/>
    <w:rsid w:val="006A4690"/>
    <w:rsid w:val="006A5A9E"/>
    <w:rsid w:val="006A5FE6"/>
    <w:rsid w:val="006A6530"/>
    <w:rsid w:val="006A65FC"/>
    <w:rsid w:val="006A7499"/>
    <w:rsid w:val="006A756A"/>
    <w:rsid w:val="006B0545"/>
    <w:rsid w:val="006B0A04"/>
    <w:rsid w:val="006B0C53"/>
    <w:rsid w:val="006B0C88"/>
    <w:rsid w:val="006B0F1C"/>
    <w:rsid w:val="006B11A6"/>
    <w:rsid w:val="006B1428"/>
    <w:rsid w:val="006B1C59"/>
    <w:rsid w:val="006B3850"/>
    <w:rsid w:val="006B3D31"/>
    <w:rsid w:val="006B3D8B"/>
    <w:rsid w:val="006B429C"/>
    <w:rsid w:val="006B5232"/>
    <w:rsid w:val="006B5802"/>
    <w:rsid w:val="006B5E38"/>
    <w:rsid w:val="006B6A36"/>
    <w:rsid w:val="006B6BCA"/>
    <w:rsid w:val="006B6CCD"/>
    <w:rsid w:val="006B6E05"/>
    <w:rsid w:val="006B78C4"/>
    <w:rsid w:val="006B7D86"/>
    <w:rsid w:val="006B7ED6"/>
    <w:rsid w:val="006C0912"/>
    <w:rsid w:val="006C0B55"/>
    <w:rsid w:val="006C152B"/>
    <w:rsid w:val="006C171E"/>
    <w:rsid w:val="006C1FE3"/>
    <w:rsid w:val="006C2341"/>
    <w:rsid w:val="006C3170"/>
    <w:rsid w:val="006C396A"/>
    <w:rsid w:val="006C3E0A"/>
    <w:rsid w:val="006C3E84"/>
    <w:rsid w:val="006C4DF0"/>
    <w:rsid w:val="006C4FB1"/>
    <w:rsid w:val="006C5747"/>
    <w:rsid w:val="006C582F"/>
    <w:rsid w:val="006C646C"/>
    <w:rsid w:val="006C747D"/>
    <w:rsid w:val="006C772C"/>
    <w:rsid w:val="006C7B04"/>
    <w:rsid w:val="006C7D46"/>
    <w:rsid w:val="006C7E66"/>
    <w:rsid w:val="006D0396"/>
    <w:rsid w:val="006D042E"/>
    <w:rsid w:val="006D06E7"/>
    <w:rsid w:val="006D0758"/>
    <w:rsid w:val="006D0A72"/>
    <w:rsid w:val="006D13C8"/>
    <w:rsid w:val="006D149C"/>
    <w:rsid w:val="006D1890"/>
    <w:rsid w:val="006D18DE"/>
    <w:rsid w:val="006D1ADA"/>
    <w:rsid w:val="006D2F95"/>
    <w:rsid w:val="006D3034"/>
    <w:rsid w:val="006D4455"/>
    <w:rsid w:val="006D484A"/>
    <w:rsid w:val="006D4A40"/>
    <w:rsid w:val="006D51B6"/>
    <w:rsid w:val="006D5284"/>
    <w:rsid w:val="006D66F7"/>
    <w:rsid w:val="006D723B"/>
    <w:rsid w:val="006D7D07"/>
    <w:rsid w:val="006E01DF"/>
    <w:rsid w:val="006E1252"/>
    <w:rsid w:val="006E1ACB"/>
    <w:rsid w:val="006E2000"/>
    <w:rsid w:val="006E2E6D"/>
    <w:rsid w:val="006E2F02"/>
    <w:rsid w:val="006E2F0C"/>
    <w:rsid w:val="006E2F5D"/>
    <w:rsid w:val="006E354A"/>
    <w:rsid w:val="006E3B52"/>
    <w:rsid w:val="006E3B5D"/>
    <w:rsid w:val="006E424D"/>
    <w:rsid w:val="006E4DDC"/>
    <w:rsid w:val="006E58BA"/>
    <w:rsid w:val="006E60C5"/>
    <w:rsid w:val="006E68EF"/>
    <w:rsid w:val="006F01D5"/>
    <w:rsid w:val="006F02C6"/>
    <w:rsid w:val="006F05F3"/>
    <w:rsid w:val="006F079C"/>
    <w:rsid w:val="006F0975"/>
    <w:rsid w:val="006F1790"/>
    <w:rsid w:val="006F19EC"/>
    <w:rsid w:val="006F1B35"/>
    <w:rsid w:val="006F21EB"/>
    <w:rsid w:val="006F33E8"/>
    <w:rsid w:val="006F38F3"/>
    <w:rsid w:val="006F3D84"/>
    <w:rsid w:val="006F3DEB"/>
    <w:rsid w:val="006F42FF"/>
    <w:rsid w:val="006F4363"/>
    <w:rsid w:val="006F4D95"/>
    <w:rsid w:val="006F4E5A"/>
    <w:rsid w:val="006F50BC"/>
    <w:rsid w:val="006F5275"/>
    <w:rsid w:val="006F52FB"/>
    <w:rsid w:val="006F625F"/>
    <w:rsid w:val="006F6806"/>
    <w:rsid w:val="006F6D7D"/>
    <w:rsid w:val="006F7129"/>
    <w:rsid w:val="006F75FA"/>
    <w:rsid w:val="007005A4"/>
    <w:rsid w:val="007007AA"/>
    <w:rsid w:val="007015B2"/>
    <w:rsid w:val="00701723"/>
    <w:rsid w:val="007018EF"/>
    <w:rsid w:val="00702D61"/>
    <w:rsid w:val="00702EEF"/>
    <w:rsid w:val="00702F3D"/>
    <w:rsid w:val="00702FA0"/>
    <w:rsid w:val="00703B4D"/>
    <w:rsid w:val="00704A39"/>
    <w:rsid w:val="00704F52"/>
    <w:rsid w:val="007053EC"/>
    <w:rsid w:val="007054E3"/>
    <w:rsid w:val="00705C9D"/>
    <w:rsid w:val="00705F13"/>
    <w:rsid w:val="00706330"/>
    <w:rsid w:val="00706CA6"/>
    <w:rsid w:val="0070722C"/>
    <w:rsid w:val="00710AD3"/>
    <w:rsid w:val="00710F71"/>
    <w:rsid w:val="00711051"/>
    <w:rsid w:val="00711755"/>
    <w:rsid w:val="007118D3"/>
    <w:rsid w:val="00711DE3"/>
    <w:rsid w:val="00712BEC"/>
    <w:rsid w:val="00712CEF"/>
    <w:rsid w:val="00713182"/>
    <w:rsid w:val="00713808"/>
    <w:rsid w:val="00714F1D"/>
    <w:rsid w:val="00715225"/>
    <w:rsid w:val="00717C37"/>
    <w:rsid w:val="00720068"/>
    <w:rsid w:val="00720509"/>
    <w:rsid w:val="00720CC6"/>
    <w:rsid w:val="0072200F"/>
    <w:rsid w:val="007226D0"/>
    <w:rsid w:val="007229FD"/>
    <w:rsid w:val="00722C7E"/>
    <w:rsid w:val="00722DDB"/>
    <w:rsid w:val="00722E15"/>
    <w:rsid w:val="00723815"/>
    <w:rsid w:val="00724728"/>
    <w:rsid w:val="00724B83"/>
    <w:rsid w:val="00724C81"/>
    <w:rsid w:val="00724F98"/>
    <w:rsid w:val="00724FB8"/>
    <w:rsid w:val="00726081"/>
    <w:rsid w:val="007260CD"/>
    <w:rsid w:val="007266A2"/>
    <w:rsid w:val="00726979"/>
    <w:rsid w:val="00726B16"/>
    <w:rsid w:val="00726C0A"/>
    <w:rsid w:val="00727CE5"/>
    <w:rsid w:val="00730B9B"/>
    <w:rsid w:val="0073182E"/>
    <w:rsid w:val="00731956"/>
    <w:rsid w:val="00731D19"/>
    <w:rsid w:val="00731D2A"/>
    <w:rsid w:val="007332FF"/>
    <w:rsid w:val="007334A5"/>
    <w:rsid w:val="00733706"/>
    <w:rsid w:val="00735A6F"/>
    <w:rsid w:val="007360B8"/>
    <w:rsid w:val="00736A4F"/>
    <w:rsid w:val="00736BF1"/>
    <w:rsid w:val="007370F7"/>
    <w:rsid w:val="00737687"/>
    <w:rsid w:val="0074050B"/>
    <w:rsid w:val="00740723"/>
    <w:rsid w:val="007408F5"/>
    <w:rsid w:val="00741491"/>
    <w:rsid w:val="00741841"/>
    <w:rsid w:val="00741B01"/>
    <w:rsid w:val="00741DFF"/>
    <w:rsid w:val="00741EAE"/>
    <w:rsid w:val="007420C2"/>
    <w:rsid w:val="00742E59"/>
    <w:rsid w:val="0074330D"/>
    <w:rsid w:val="00744694"/>
    <w:rsid w:val="00744923"/>
    <w:rsid w:val="00745BDD"/>
    <w:rsid w:val="00746252"/>
    <w:rsid w:val="00746664"/>
    <w:rsid w:val="007469CA"/>
    <w:rsid w:val="00746EA8"/>
    <w:rsid w:val="0075043E"/>
    <w:rsid w:val="00750626"/>
    <w:rsid w:val="00750777"/>
    <w:rsid w:val="007508C7"/>
    <w:rsid w:val="0075092B"/>
    <w:rsid w:val="0075111B"/>
    <w:rsid w:val="00751313"/>
    <w:rsid w:val="00751902"/>
    <w:rsid w:val="00752152"/>
    <w:rsid w:val="007521BC"/>
    <w:rsid w:val="00752C4A"/>
    <w:rsid w:val="007533ED"/>
    <w:rsid w:val="0075378D"/>
    <w:rsid w:val="00753A03"/>
    <w:rsid w:val="00753CFC"/>
    <w:rsid w:val="00753E0F"/>
    <w:rsid w:val="00753EA5"/>
    <w:rsid w:val="007548D0"/>
    <w:rsid w:val="00754CC0"/>
    <w:rsid w:val="00755020"/>
    <w:rsid w:val="007551E1"/>
    <w:rsid w:val="00755248"/>
    <w:rsid w:val="007556A5"/>
    <w:rsid w:val="007557E0"/>
    <w:rsid w:val="00755994"/>
    <w:rsid w:val="00756A00"/>
    <w:rsid w:val="00756AE2"/>
    <w:rsid w:val="00756B94"/>
    <w:rsid w:val="0075735B"/>
    <w:rsid w:val="007577CE"/>
    <w:rsid w:val="007577D3"/>
    <w:rsid w:val="00757C83"/>
    <w:rsid w:val="00760987"/>
    <w:rsid w:val="0076190B"/>
    <w:rsid w:val="00761A36"/>
    <w:rsid w:val="00761E9C"/>
    <w:rsid w:val="00761F17"/>
    <w:rsid w:val="00762997"/>
    <w:rsid w:val="007631BB"/>
    <w:rsid w:val="0076355D"/>
    <w:rsid w:val="00763A2D"/>
    <w:rsid w:val="00764D68"/>
    <w:rsid w:val="0076567F"/>
    <w:rsid w:val="0076666F"/>
    <w:rsid w:val="00766754"/>
    <w:rsid w:val="007671BF"/>
    <w:rsid w:val="0076731A"/>
    <w:rsid w:val="00767765"/>
    <w:rsid w:val="00767AEE"/>
    <w:rsid w:val="00770220"/>
    <w:rsid w:val="007702E7"/>
    <w:rsid w:val="007703F5"/>
    <w:rsid w:val="007722EA"/>
    <w:rsid w:val="007728ED"/>
    <w:rsid w:val="00772DBA"/>
    <w:rsid w:val="00772E97"/>
    <w:rsid w:val="007737D0"/>
    <w:rsid w:val="007761D8"/>
    <w:rsid w:val="007770E1"/>
    <w:rsid w:val="007771A6"/>
    <w:rsid w:val="007776B7"/>
    <w:rsid w:val="00777795"/>
    <w:rsid w:val="0078016D"/>
    <w:rsid w:val="00780255"/>
    <w:rsid w:val="00780440"/>
    <w:rsid w:val="007804B5"/>
    <w:rsid w:val="007807FD"/>
    <w:rsid w:val="00780CD6"/>
    <w:rsid w:val="00780D9B"/>
    <w:rsid w:val="00781353"/>
    <w:rsid w:val="00781DD0"/>
    <w:rsid w:val="00781F85"/>
    <w:rsid w:val="00781FA9"/>
    <w:rsid w:val="007822D5"/>
    <w:rsid w:val="007826B3"/>
    <w:rsid w:val="00782848"/>
    <w:rsid w:val="007836F6"/>
    <w:rsid w:val="007836F9"/>
    <w:rsid w:val="00783A57"/>
    <w:rsid w:val="00783C6C"/>
    <w:rsid w:val="007845CF"/>
    <w:rsid w:val="00784C7C"/>
    <w:rsid w:val="00784C92"/>
    <w:rsid w:val="007851DA"/>
    <w:rsid w:val="007854A2"/>
    <w:rsid w:val="00785540"/>
    <w:rsid w:val="007859CD"/>
    <w:rsid w:val="00785B15"/>
    <w:rsid w:val="007861AD"/>
    <w:rsid w:val="007867C7"/>
    <w:rsid w:val="00786FA3"/>
    <w:rsid w:val="0079002F"/>
    <w:rsid w:val="007900F2"/>
    <w:rsid w:val="007907E4"/>
    <w:rsid w:val="00790D6A"/>
    <w:rsid w:val="007912FE"/>
    <w:rsid w:val="007915FA"/>
    <w:rsid w:val="00791898"/>
    <w:rsid w:val="0079189D"/>
    <w:rsid w:val="00792697"/>
    <w:rsid w:val="0079280E"/>
    <w:rsid w:val="0079299E"/>
    <w:rsid w:val="00793E95"/>
    <w:rsid w:val="007941BA"/>
    <w:rsid w:val="007946DA"/>
    <w:rsid w:val="00794F16"/>
    <w:rsid w:val="007952AF"/>
    <w:rsid w:val="00795353"/>
    <w:rsid w:val="00795439"/>
    <w:rsid w:val="0079582E"/>
    <w:rsid w:val="007961FB"/>
    <w:rsid w:val="00796461"/>
    <w:rsid w:val="00796813"/>
    <w:rsid w:val="00796DBD"/>
    <w:rsid w:val="00797696"/>
    <w:rsid w:val="00797AC6"/>
    <w:rsid w:val="00797F56"/>
    <w:rsid w:val="007A0C20"/>
    <w:rsid w:val="007A0FC2"/>
    <w:rsid w:val="007A1217"/>
    <w:rsid w:val="007A13FA"/>
    <w:rsid w:val="007A1797"/>
    <w:rsid w:val="007A1E76"/>
    <w:rsid w:val="007A213E"/>
    <w:rsid w:val="007A2283"/>
    <w:rsid w:val="007A2C9B"/>
    <w:rsid w:val="007A2CFC"/>
    <w:rsid w:val="007A2E0E"/>
    <w:rsid w:val="007A3042"/>
    <w:rsid w:val="007A3739"/>
    <w:rsid w:val="007A3A32"/>
    <w:rsid w:val="007A4AAE"/>
    <w:rsid w:val="007A5021"/>
    <w:rsid w:val="007A5080"/>
    <w:rsid w:val="007A599F"/>
    <w:rsid w:val="007A59D7"/>
    <w:rsid w:val="007A63C2"/>
    <w:rsid w:val="007A6A4F"/>
    <w:rsid w:val="007A6E90"/>
    <w:rsid w:val="007A75D8"/>
    <w:rsid w:val="007A76D5"/>
    <w:rsid w:val="007A7F15"/>
    <w:rsid w:val="007B0275"/>
    <w:rsid w:val="007B03F5"/>
    <w:rsid w:val="007B0B94"/>
    <w:rsid w:val="007B0BFE"/>
    <w:rsid w:val="007B0C93"/>
    <w:rsid w:val="007B10F9"/>
    <w:rsid w:val="007B149B"/>
    <w:rsid w:val="007B1A23"/>
    <w:rsid w:val="007B2282"/>
    <w:rsid w:val="007B22F5"/>
    <w:rsid w:val="007B2CF1"/>
    <w:rsid w:val="007B3B56"/>
    <w:rsid w:val="007B4FA4"/>
    <w:rsid w:val="007B54D1"/>
    <w:rsid w:val="007B589C"/>
    <w:rsid w:val="007B59D3"/>
    <w:rsid w:val="007B5A7D"/>
    <w:rsid w:val="007B5C09"/>
    <w:rsid w:val="007B5DA2"/>
    <w:rsid w:val="007B5F1F"/>
    <w:rsid w:val="007B6170"/>
    <w:rsid w:val="007B6AE6"/>
    <w:rsid w:val="007B6B0E"/>
    <w:rsid w:val="007B6EAD"/>
    <w:rsid w:val="007B7148"/>
    <w:rsid w:val="007B7732"/>
    <w:rsid w:val="007B7D96"/>
    <w:rsid w:val="007C058A"/>
    <w:rsid w:val="007C0966"/>
    <w:rsid w:val="007C1297"/>
    <w:rsid w:val="007C19E7"/>
    <w:rsid w:val="007C22C3"/>
    <w:rsid w:val="007C2400"/>
    <w:rsid w:val="007C35A5"/>
    <w:rsid w:val="007C3633"/>
    <w:rsid w:val="007C36ED"/>
    <w:rsid w:val="007C3985"/>
    <w:rsid w:val="007C3F52"/>
    <w:rsid w:val="007C423D"/>
    <w:rsid w:val="007C425D"/>
    <w:rsid w:val="007C4BA1"/>
    <w:rsid w:val="007C4E7F"/>
    <w:rsid w:val="007C59B0"/>
    <w:rsid w:val="007C5CFD"/>
    <w:rsid w:val="007C68AD"/>
    <w:rsid w:val="007C6D9F"/>
    <w:rsid w:val="007C6E6B"/>
    <w:rsid w:val="007C7701"/>
    <w:rsid w:val="007C79FD"/>
    <w:rsid w:val="007C7A77"/>
    <w:rsid w:val="007D02ED"/>
    <w:rsid w:val="007D05E3"/>
    <w:rsid w:val="007D1089"/>
    <w:rsid w:val="007D122E"/>
    <w:rsid w:val="007D13A1"/>
    <w:rsid w:val="007D1EF2"/>
    <w:rsid w:val="007D24AA"/>
    <w:rsid w:val="007D2A6D"/>
    <w:rsid w:val="007D2BB7"/>
    <w:rsid w:val="007D359D"/>
    <w:rsid w:val="007D3AEF"/>
    <w:rsid w:val="007D4893"/>
    <w:rsid w:val="007D4BCE"/>
    <w:rsid w:val="007D5FE6"/>
    <w:rsid w:val="007D61C0"/>
    <w:rsid w:val="007D69E4"/>
    <w:rsid w:val="007D6CBB"/>
    <w:rsid w:val="007D72F7"/>
    <w:rsid w:val="007D7697"/>
    <w:rsid w:val="007D7BA9"/>
    <w:rsid w:val="007D7D8E"/>
    <w:rsid w:val="007E005B"/>
    <w:rsid w:val="007E087F"/>
    <w:rsid w:val="007E0DC6"/>
    <w:rsid w:val="007E0F2E"/>
    <w:rsid w:val="007E16D8"/>
    <w:rsid w:val="007E1997"/>
    <w:rsid w:val="007E1A58"/>
    <w:rsid w:val="007E1D4C"/>
    <w:rsid w:val="007E261E"/>
    <w:rsid w:val="007E2754"/>
    <w:rsid w:val="007E2D55"/>
    <w:rsid w:val="007E3A75"/>
    <w:rsid w:val="007E4428"/>
    <w:rsid w:val="007E4580"/>
    <w:rsid w:val="007E4873"/>
    <w:rsid w:val="007E4CB4"/>
    <w:rsid w:val="007E5559"/>
    <w:rsid w:val="007E58B0"/>
    <w:rsid w:val="007E5EE1"/>
    <w:rsid w:val="007E6031"/>
    <w:rsid w:val="007E6D71"/>
    <w:rsid w:val="007E7025"/>
    <w:rsid w:val="007E70CF"/>
    <w:rsid w:val="007E74A4"/>
    <w:rsid w:val="007E7734"/>
    <w:rsid w:val="007E79E8"/>
    <w:rsid w:val="007E7A3B"/>
    <w:rsid w:val="007E7C76"/>
    <w:rsid w:val="007F263F"/>
    <w:rsid w:val="007F276C"/>
    <w:rsid w:val="007F2E8F"/>
    <w:rsid w:val="007F32F8"/>
    <w:rsid w:val="007F3A64"/>
    <w:rsid w:val="007F42D8"/>
    <w:rsid w:val="007F43F9"/>
    <w:rsid w:val="007F46EA"/>
    <w:rsid w:val="007F4936"/>
    <w:rsid w:val="007F4EF5"/>
    <w:rsid w:val="007F4FA4"/>
    <w:rsid w:val="007F5579"/>
    <w:rsid w:val="007F66A1"/>
    <w:rsid w:val="007F69DF"/>
    <w:rsid w:val="007F6B2A"/>
    <w:rsid w:val="007F7901"/>
    <w:rsid w:val="007F7930"/>
    <w:rsid w:val="008000EF"/>
    <w:rsid w:val="008002E8"/>
    <w:rsid w:val="00801563"/>
    <w:rsid w:val="00801C93"/>
    <w:rsid w:val="00802156"/>
    <w:rsid w:val="00803043"/>
    <w:rsid w:val="008040E8"/>
    <w:rsid w:val="008047D9"/>
    <w:rsid w:val="00804B83"/>
    <w:rsid w:val="00804C55"/>
    <w:rsid w:val="00804E26"/>
    <w:rsid w:val="00805360"/>
    <w:rsid w:val="00806258"/>
    <w:rsid w:val="00806444"/>
    <w:rsid w:val="0080766E"/>
    <w:rsid w:val="00807B99"/>
    <w:rsid w:val="00810520"/>
    <w:rsid w:val="008105BE"/>
    <w:rsid w:val="00810BA6"/>
    <w:rsid w:val="00810D74"/>
    <w:rsid w:val="00810FAA"/>
    <w:rsid w:val="00811169"/>
    <w:rsid w:val="00811C04"/>
    <w:rsid w:val="008121A6"/>
    <w:rsid w:val="00812490"/>
    <w:rsid w:val="008133E6"/>
    <w:rsid w:val="0081347E"/>
    <w:rsid w:val="00813D4F"/>
    <w:rsid w:val="00813EB8"/>
    <w:rsid w:val="0081424C"/>
    <w:rsid w:val="008146E5"/>
    <w:rsid w:val="00814D1F"/>
    <w:rsid w:val="00815297"/>
    <w:rsid w:val="00815B9D"/>
    <w:rsid w:val="00815CF5"/>
    <w:rsid w:val="00815DB0"/>
    <w:rsid w:val="00815FD6"/>
    <w:rsid w:val="008161DC"/>
    <w:rsid w:val="00816332"/>
    <w:rsid w:val="0081645B"/>
    <w:rsid w:val="00816F8D"/>
    <w:rsid w:val="008177AA"/>
    <w:rsid w:val="008177FF"/>
    <w:rsid w:val="00817BA1"/>
    <w:rsid w:val="008201FA"/>
    <w:rsid w:val="00820AEF"/>
    <w:rsid w:val="00820BB4"/>
    <w:rsid w:val="008214CB"/>
    <w:rsid w:val="0082197C"/>
    <w:rsid w:val="008219BF"/>
    <w:rsid w:val="00821A79"/>
    <w:rsid w:val="00821D46"/>
    <w:rsid w:val="0082204D"/>
    <w:rsid w:val="0082213B"/>
    <w:rsid w:val="00822455"/>
    <w:rsid w:val="00822968"/>
    <w:rsid w:val="00822CE9"/>
    <w:rsid w:val="00823022"/>
    <w:rsid w:val="00823904"/>
    <w:rsid w:val="0082408C"/>
    <w:rsid w:val="00824149"/>
    <w:rsid w:val="00824790"/>
    <w:rsid w:val="0082634E"/>
    <w:rsid w:val="00827316"/>
    <w:rsid w:val="00827745"/>
    <w:rsid w:val="008278E4"/>
    <w:rsid w:val="00827D16"/>
    <w:rsid w:val="0083002E"/>
    <w:rsid w:val="008305E4"/>
    <w:rsid w:val="0083068A"/>
    <w:rsid w:val="00830B71"/>
    <w:rsid w:val="0083126A"/>
    <w:rsid w:val="008313C4"/>
    <w:rsid w:val="008314D8"/>
    <w:rsid w:val="008319C1"/>
    <w:rsid w:val="00831FC6"/>
    <w:rsid w:val="00832037"/>
    <w:rsid w:val="0083230B"/>
    <w:rsid w:val="00832545"/>
    <w:rsid w:val="00832718"/>
    <w:rsid w:val="00832B35"/>
    <w:rsid w:val="0083303B"/>
    <w:rsid w:val="00833755"/>
    <w:rsid w:val="00834124"/>
    <w:rsid w:val="008343D5"/>
    <w:rsid w:val="008348C9"/>
    <w:rsid w:val="00834AFF"/>
    <w:rsid w:val="00834E27"/>
    <w:rsid w:val="00835434"/>
    <w:rsid w:val="00835728"/>
    <w:rsid w:val="008358C0"/>
    <w:rsid w:val="008358DF"/>
    <w:rsid w:val="00835C97"/>
    <w:rsid w:val="00836D7C"/>
    <w:rsid w:val="0083705C"/>
    <w:rsid w:val="00837F1F"/>
    <w:rsid w:val="008400EE"/>
    <w:rsid w:val="00840493"/>
    <w:rsid w:val="008404FA"/>
    <w:rsid w:val="00840607"/>
    <w:rsid w:val="00840FC6"/>
    <w:rsid w:val="00842838"/>
    <w:rsid w:val="00844093"/>
    <w:rsid w:val="00844A07"/>
    <w:rsid w:val="008459F2"/>
    <w:rsid w:val="00845C3D"/>
    <w:rsid w:val="00846424"/>
    <w:rsid w:val="00846677"/>
    <w:rsid w:val="00846F2B"/>
    <w:rsid w:val="008472F5"/>
    <w:rsid w:val="00850869"/>
    <w:rsid w:val="00851149"/>
    <w:rsid w:val="0085118A"/>
    <w:rsid w:val="00852724"/>
    <w:rsid w:val="008529A8"/>
    <w:rsid w:val="0085306E"/>
    <w:rsid w:val="00853EC6"/>
    <w:rsid w:val="00853FE7"/>
    <w:rsid w:val="00854BE6"/>
    <w:rsid w:val="00854D3F"/>
    <w:rsid w:val="00854EC1"/>
    <w:rsid w:val="0085526D"/>
    <w:rsid w:val="00855685"/>
    <w:rsid w:val="00855AF3"/>
    <w:rsid w:val="00856367"/>
    <w:rsid w:val="008567CD"/>
    <w:rsid w:val="00856B88"/>
    <w:rsid w:val="008571C0"/>
    <w:rsid w:val="00857269"/>
    <w:rsid w:val="008572F9"/>
    <w:rsid w:val="0085754C"/>
    <w:rsid w:val="0085797F"/>
    <w:rsid w:val="00857AF8"/>
    <w:rsid w:val="00860957"/>
    <w:rsid w:val="00860CE6"/>
    <w:rsid w:val="00860F1E"/>
    <w:rsid w:val="0086113F"/>
    <w:rsid w:val="008611DA"/>
    <w:rsid w:val="0086136D"/>
    <w:rsid w:val="00861DC3"/>
    <w:rsid w:val="00861DDB"/>
    <w:rsid w:val="00862620"/>
    <w:rsid w:val="0086328C"/>
    <w:rsid w:val="008633D1"/>
    <w:rsid w:val="0086342E"/>
    <w:rsid w:val="0086371E"/>
    <w:rsid w:val="00863830"/>
    <w:rsid w:val="00864C08"/>
    <w:rsid w:val="00864C62"/>
    <w:rsid w:val="00864F58"/>
    <w:rsid w:val="00865668"/>
    <w:rsid w:val="008662F4"/>
    <w:rsid w:val="00866335"/>
    <w:rsid w:val="00866493"/>
    <w:rsid w:val="00867019"/>
    <w:rsid w:val="00867D3E"/>
    <w:rsid w:val="008702B4"/>
    <w:rsid w:val="0087063A"/>
    <w:rsid w:val="00870EA0"/>
    <w:rsid w:val="00870F66"/>
    <w:rsid w:val="00871ADA"/>
    <w:rsid w:val="00871F83"/>
    <w:rsid w:val="00871FE7"/>
    <w:rsid w:val="00872495"/>
    <w:rsid w:val="008724D3"/>
    <w:rsid w:val="008727D0"/>
    <w:rsid w:val="008729EE"/>
    <w:rsid w:val="008735A9"/>
    <w:rsid w:val="008741B3"/>
    <w:rsid w:val="008749C7"/>
    <w:rsid w:val="008749DE"/>
    <w:rsid w:val="00875942"/>
    <w:rsid w:val="00875F3D"/>
    <w:rsid w:val="00876B71"/>
    <w:rsid w:val="0087712F"/>
    <w:rsid w:val="008775FA"/>
    <w:rsid w:val="00877877"/>
    <w:rsid w:val="008779CD"/>
    <w:rsid w:val="00877BA9"/>
    <w:rsid w:val="00877D20"/>
    <w:rsid w:val="00877DBC"/>
    <w:rsid w:val="00880770"/>
    <w:rsid w:val="0088080F"/>
    <w:rsid w:val="00880DF3"/>
    <w:rsid w:val="008814C3"/>
    <w:rsid w:val="008818D0"/>
    <w:rsid w:val="00881C48"/>
    <w:rsid w:val="00881E75"/>
    <w:rsid w:val="00882F83"/>
    <w:rsid w:val="008835F9"/>
    <w:rsid w:val="00883819"/>
    <w:rsid w:val="00884326"/>
    <w:rsid w:val="00884876"/>
    <w:rsid w:val="008848A5"/>
    <w:rsid w:val="00885539"/>
    <w:rsid w:val="00885590"/>
    <w:rsid w:val="00885B80"/>
    <w:rsid w:val="00885C30"/>
    <w:rsid w:val="00885E9B"/>
    <w:rsid w:val="00886332"/>
    <w:rsid w:val="008863D4"/>
    <w:rsid w:val="0088682A"/>
    <w:rsid w:val="00886C9D"/>
    <w:rsid w:val="008903CD"/>
    <w:rsid w:val="00891267"/>
    <w:rsid w:val="008915BC"/>
    <w:rsid w:val="00891C0A"/>
    <w:rsid w:val="008921B5"/>
    <w:rsid w:val="00892299"/>
    <w:rsid w:val="0089289C"/>
    <w:rsid w:val="008935CD"/>
    <w:rsid w:val="008938C4"/>
    <w:rsid w:val="00893C96"/>
    <w:rsid w:val="00893CF9"/>
    <w:rsid w:val="00893F88"/>
    <w:rsid w:val="0089483A"/>
    <w:rsid w:val="00894A91"/>
    <w:rsid w:val="00894AB2"/>
    <w:rsid w:val="00894B17"/>
    <w:rsid w:val="00894B38"/>
    <w:rsid w:val="00894FB3"/>
    <w:rsid w:val="0089500A"/>
    <w:rsid w:val="0089579B"/>
    <w:rsid w:val="008966A4"/>
    <w:rsid w:val="00896868"/>
    <w:rsid w:val="00896EA6"/>
    <w:rsid w:val="00897044"/>
    <w:rsid w:val="008975CC"/>
    <w:rsid w:val="008977E3"/>
    <w:rsid w:val="0089783A"/>
    <w:rsid w:val="00897C94"/>
    <w:rsid w:val="00897FE1"/>
    <w:rsid w:val="008A0944"/>
    <w:rsid w:val="008A09C1"/>
    <w:rsid w:val="008A0C2B"/>
    <w:rsid w:val="008A1044"/>
    <w:rsid w:val="008A1C06"/>
    <w:rsid w:val="008A203C"/>
    <w:rsid w:val="008A24C2"/>
    <w:rsid w:val="008A28F1"/>
    <w:rsid w:val="008A2CCD"/>
    <w:rsid w:val="008A2D7D"/>
    <w:rsid w:val="008A35C4"/>
    <w:rsid w:val="008A380E"/>
    <w:rsid w:val="008A3875"/>
    <w:rsid w:val="008A434C"/>
    <w:rsid w:val="008A43CC"/>
    <w:rsid w:val="008A4912"/>
    <w:rsid w:val="008A4BC2"/>
    <w:rsid w:val="008A4C9F"/>
    <w:rsid w:val="008A51A3"/>
    <w:rsid w:val="008A5555"/>
    <w:rsid w:val="008A5707"/>
    <w:rsid w:val="008A65A4"/>
    <w:rsid w:val="008A71AF"/>
    <w:rsid w:val="008A7C12"/>
    <w:rsid w:val="008A7CD1"/>
    <w:rsid w:val="008B0034"/>
    <w:rsid w:val="008B03CE"/>
    <w:rsid w:val="008B16CE"/>
    <w:rsid w:val="008B16E0"/>
    <w:rsid w:val="008B1E8C"/>
    <w:rsid w:val="008B2327"/>
    <w:rsid w:val="008B2398"/>
    <w:rsid w:val="008B250F"/>
    <w:rsid w:val="008B2D09"/>
    <w:rsid w:val="008B37F0"/>
    <w:rsid w:val="008B3C37"/>
    <w:rsid w:val="008B3CCC"/>
    <w:rsid w:val="008B44FB"/>
    <w:rsid w:val="008B4DD8"/>
    <w:rsid w:val="008B5031"/>
    <w:rsid w:val="008B529E"/>
    <w:rsid w:val="008B588A"/>
    <w:rsid w:val="008B663C"/>
    <w:rsid w:val="008B6DAA"/>
    <w:rsid w:val="008C01E8"/>
    <w:rsid w:val="008C04F1"/>
    <w:rsid w:val="008C07A8"/>
    <w:rsid w:val="008C0C9D"/>
    <w:rsid w:val="008C17FB"/>
    <w:rsid w:val="008C1BB1"/>
    <w:rsid w:val="008C2B6B"/>
    <w:rsid w:val="008C2F4D"/>
    <w:rsid w:val="008C4FD4"/>
    <w:rsid w:val="008C53C3"/>
    <w:rsid w:val="008C65EF"/>
    <w:rsid w:val="008D06A6"/>
    <w:rsid w:val="008D0ACD"/>
    <w:rsid w:val="008D0F14"/>
    <w:rsid w:val="008D0FC8"/>
    <w:rsid w:val="008D1B00"/>
    <w:rsid w:val="008D2AC6"/>
    <w:rsid w:val="008D3A1D"/>
    <w:rsid w:val="008D57B8"/>
    <w:rsid w:val="008D6B49"/>
    <w:rsid w:val="008D6C0C"/>
    <w:rsid w:val="008E0345"/>
    <w:rsid w:val="008E03FC"/>
    <w:rsid w:val="008E04AB"/>
    <w:rsid w:val="008E08C4"/>
    <w:rsid w:val="008E08FB"/>
    <w:rsid w:val="008E1554"/>
    <w:rsid w:val="008E1E83"/>
    <w:rsid w:val="008E31FD"/>
    <w:rsid w:val="008E32D6"/>
    <w:rsid w:val="008E3B0A"/>
    <w:rsid w:val="008E43E0"/>
    <w:rsid w:val="008E4B79"/>
    <w:rsid w:val="008E510B"/>
    <w:rsid w:val="008E605E"/>
    <w:rsid w:val="008E7295"/>
    <w:rsid w:val="008F0023"/>
    <w:rsid w:val="008F0D38"/>
    <w:rsid w:val="008F0E20"/>
    <w:rsid w:val="008F1086"/>
    <w:rsid w:val="008F2FD9"/>
    <w:rsid w:val="008F39EF"/>
    <w:rsid w:val="008F47C4"/>
    <w:rsid w:val="008F4940"/>
    <w:rsid w:val="008F5186"/>
    <w:rsid w:val="008F5423"/>
    <w:rsid w:val="008F6163"/>
    <w:rsid w:val="008F69ED"/>
    <w:rsid w:val="008F74C4"/>
    <w:rsid w:val="008F75D1"/>
    <w:rsid w:val="0090173D"/>
    <w:rsid w:val="00901ABF"/>
    <w:rsid w:val="00901D2D"/>
    <w:rsid w:val="00902B13"/>
    <w:rsid w:val="0090399A"/>
    <w:rsid w:val="009041C1"/>
    <w:rsid w:val="00905CD3"/>
    <w:rsid w:val="00906352"/>
    <w:rsid w:val="00906AC2"/>
    <w:rsid w:val="00907C3D"/>
    <w:rsid w:val="00907CE0"/>
    <w:rsid w:val="0091012F"/>
    <w:rsid w:val="00910162"/>
    <w:rsid w:val="00910ADC"/>
    <w:rsid w:val="009114D5"/>
    <w:rsid w:val="00911941"/>
    <w:rsid w:val="00911AB6"/>
    <w:rsid w:val="0091205D"/>
    <w:rsid w:val="00913514"/>
    <w:rsid w:val="0091354A"/>
    <w:rsid w:val="0091370F"/>
    <w:rsid w:val="0091371E"/>
    <w:rsid w:val="009138A0"/>
    <w:rsid w:val="00913B14"/>
    <w:rsid w:val="00914A65"/>
    <w:rsid w:val="0091527E"/>
    <w:rsid w:val="00915342"/>
    <w:rsid w:val="00916084"/>
    <w:rsid w:val="009160EA"/>
    <w:rsid w:val="009166AF"/>
    <w:rsid w:val="00916950"/>
    <w:rsid w:val="009169D5"/>
    <w:rsid w:val="00917729"/>
    <w:rsid w:val="00920167"/>
    <w:rsid w:val="00922040"/>
    <w:rsid w:val="00922819"/>
    <w:rsid w:val="009228FF"/>
    <w:rsid w:val="00922FE8"/>
    <w:rsid w:val="00923015"/>
    <w:rsid w:val="00923590"/>
    <w:rsid w:val="00923DDD"/>
    <w:rsid w:val="00923F64"/>
    <w:rsid w:val="009243BD"/>
    <w:rsid w:val="0092442E"/>
    <w:rsid w:val="0092500F"/>
    <w:rsid w:val="00925418"/>
    <w:rsid w:val="00925C3E"/>
    <w:rsid w:val="00925F0F"/>
    <w:rsid w:val="0092606A"/>
    <w:rsid w:val="009269E5"/>
    <w:rsid w:val="00926D01"/>
    <w:rsid w:val="009275F5"/>
    <w:rsid w:val="00927BB8"/>
    <w:rsid w:val="0093054C"/>
    <w:rsid w:val="00930C91"/>
    <w:rsid w:val="00931315"/>
    <w:rsid w:val="00931D8F"/>
    <w:rsid w:val="0093271A"/>
    <w:rsid w:val="0093272C"/>
    <w:rsid w:val="00932D27"/>
    <w:rsid w:val="00932F6B"/>
    <w:rsid w:val="009349C6"/>
    <w:rsid w:val="0093593B"/>
    <w:rsid w:val="00936153"/>
    <w:rsid w:val="009365CA"/>
    <w:rsid w:val="00937340"/>
    <w:rsid w:val="00937DFF"/>
    <w:rsid w:val="009406FD"/>
    <w:rsid w:val="00940746"/>
    <w:rsid w:val="009417A5"/>
    <w:rsid w:val="00941AF3"/>
    <w:rsid w:val="0094265C"/>
    <w:rsid w:val="00942941"/>
    <w:rsid w:val="009436FF"/>
    <w:rsid w:val="00943835"/>
    <w:rsid w:val="00943E1B"/>
    <w:rsid w:val="00943F7A"/>
    <w:rsid w:val="00944ACB"/>
    <w:rsid w:val="00944AF0"/>
    <w:rsid w:val="00944EB2"/>
    <w:rsid w:val="00945C78"/>
    <w:rsid w:val="00945CF3"/>
    <w:rsid w:val="00945D6F"/>
    <w:rsid w:val="00945EFA"/>
    <w:rsid w:val="00946515"/>
    <w:rsid w:val="009468BC"/>
    <w:rsid w:val="00946E04"/>
    <w:rsid w:val="00946EBE"/>
    <w:rsid w:val="009474BE"/>
    <w:rsid w:val="00947627"/>
    <w:rsid w:val="0095028D"/>
    <w:rsid w:val="009504D0"/>
    <w:rsid w:val="009508FA"/>
    <w:rsid w:val="0095113F"/>
    <w:rsid w:val="0095127C"/>
    <w:rsid w:val="00951688"/>
    <w:rsid w:val="0095245D"/>
    <w:rsid w:val="0095257E"/>
    <w:rsid w:val="009529C8"/>
    <w:rsid w:val="00952A7F"/>
    <w:rsid w:val="00952B18"/>
    <w:rsid w:val="00953345"/>
    <w:rsid w:val="0095380B"/>
    <w:rsid w:val="00953D29"/>
    <w:rsid w:val="0095462C"/>
    <w:rsid w:val="009549FF"/>
    <w:rsid w:val="00955179"/>
    <w:rsid w:val="00955477"/>
    <w:rsid w:val="009554B5"/>
    <w:rsid w:val="00955A99"/>
    <w:rsid w:val="0095642C"/>
    <w:rsid w:val="0095673C"/>
    <w:rsid w:val="00956F1F"/>
    <w:rsid w:val="009573B8"/>
    <w:rsid w:val="00957719"/>
    <w:rsid w:val="00957E70"/>
    <w:rsid w:val="009607FE"/>
    <w:rsid w:val="0096084F"/>
    <w:rsid w:val="00961122"/>
    <w:rsid w:val="009616DF"/>
    <w:rsid w:val="00961989"/>
    <w:rsid w:val="00961F57"/>
    <w:rsid w:val="00962A83"/>
    <w:rsid w:val="00962F67"/>
    <w:rsid w:val="009632D9"/>
    <w:rsid w:val="0096423E"/>
    <w:rsid w:val="00964629"/>
    <w:rsid w:val="00964972"/>
    <w:rsid w:val="00964B22"/>
    <w:rsid w:val="009653FC"/>
    <w:rsid w:val="0096542F"/>
    <w:rsid w:val="00966510"/>
    <w:rsid w:val="00966AF4"/>
    <w:rsid w:val="00966B57"/>
    <w:rsid w:val="00966E1B"/>
    <w:rsid w:val="00967F2B"/>
    <w:rsid w:val="00967FA7"/>
    <w:rsid w:val="009702BE"/>
    <w:rsid w:val="00970C47"/>
    <w:rsid w:val="00971645"/>
    <w:rsid w:val="00971795"/>
    <w:rsid w:val="00971ECB"/>
    <w:rsid w:val="009721E6"/>
    <w:rsid w:val="0097285D"/>
    <w:rsid w:val="00972F79"/>
    <w:rsid w:val="009738A5"/>
    <w:rsid w:val="00973E12"/>
    <w:rsid w:val="009749DA"/>
    <w:rsid w:val="00975F32"/>
    <w:rsid w:val="00976108"/>
    <w:rsid w:val="009768B6"/>
    <w:rsid w:val="00976BAF"/>
    <w:rsid w:val="009775CD"/>
    <w:rsid w:val="0097785E"/>
    <w:rsid w:val="00977919"/>
    <w:rsid w:val="00977A43"/>
    <w:rsid w:val="00980291"/>
    <w:rsid w:val="00980983"/>
    <w:rsid w:val="00980EB2"/>
    <w:rsid w:val="009810D4"/>
    <w:rsid w:val="009816C1"/>
    <w:rsid w:val="009819CA"/>
    <w:rsid w:val="009819F0"/>
    <w:rsid w:val="00981D1E"/>
    <w:rsid w:val="00982446"/>
    <w:rsid w:val="00982F62"/>
    <w:rsid w:val="00983000"/>
    <w:rsid w:val="009831B1"/>
    <w:rsid w:val="00983A63"/>
    <w:rsid w:val="00983FEC"/>
    <w:rsid w:val="00984BDE"/>
    <w:rsid w:val="00984BF1"/>
    <w:rsid w:val="00984D9B"/>
    <w:rsid w:val="00984F5E"/>
    <w:rsid w:val="00986292"/>
    <w:rsid w:val="009863A2"/>
    <w:rsid w:val="0098668D"/>
    <w:rsid w:val="00986BAC"/>
    <w:rsid w:val="00986E0F"/>
    <w:rsid w:val="009870FA"/>
    <w:rsid w:val="009879F2"/>
    <w:rsid w:val="00990BB8"/>
    <w:rsid w:val="00990D20"/>
    <w:rsid w:val="00990DD0"/>
    <w:rsid w:val="00991172"/>
    <w:rsid w:val="00991E1C"/>
    <w:rsid w:val="009920CB"/>
    <w:rsid w:val="0099219D"/>
    <w:rsid w:val="009921C3"/>
    <w:rsid w:val="00992266"/>
    <w:rsid w:val="00992762"/>
    <w:rsid w:val="00992B52"/>
    <w:rsid w:val="00993661"/>
    <w:rsid w:val="0099385E"/>
    <w:rsid w:val="00993E6D"/>
    <w:rsid w:val="0099410E"/>
    <w:rsid w:val="00994DC3"/>
    <w:rsid w:val="009951DE"/>
    <w:rsid w:val="0099551D"/>
    <w:rsid w:val="00995B72"/>
    <w:rsid w:val="00995E9B"/>
    <w:rsid w:val="0099705D"/>
    <w:rsid w:val="009974F5"/>
    <w:rsid w:val="009977E7"/>
    <w:rsid w:val="00997B22"/>
    <w:rsid w:val="009A023A"/>
    <w:rsid w:val="009A08A4"/>
    <w:rsid w:val="009A0F92"/>
    <w:rsid w:val="009A104D"/>
    <w:rsid w:val="009A1444"/>
    <w:rsid w:val="009A15E3"/>
    <w:rsid w:val="009A1744"/>
    <w:rsid w:val="009A17F5"/>
    <w:rsid w:val="009A1C1F"/>
    <w:rsid w:val="009A34AD"/>
    <w:rsid w:val="009A38B7"/>
    <w:rsid w:val="009A3C35"/>
    <w:rsid w:val="009A42C2"/>
    <w:rsid w:val="009A4F6B"/>
    <w:rsid w:val="009A4FC7"/>
    <w:rsid w:val="009A5599"/>
    <w:rsid w:val="009A5897"/>
    <w:rsid w:val="009A5F24"/>
    <w:rsid w:val="009A5F58"/>
    <w:rsid w:val="009A6D01"/>
    <w:rsid w:val="009A733A"/>
    <w:rsid w:val="009A7546"/>
    <w:rsid w:val="009A7547"/>
    <w:rsid w:val="009A79AC"/>
    <w:rsid w:val="009B00C6"/>
    <w:rsid w:val="009B05FA"/>
    <w:rsid w:val="009B08B0"/>
    <w:rsid w:val="009B0B3E"/>
    <w:rsid w:val="009B1022"/>
    <w:rsid w:val="009B1690"/>
    <w:rsid w:val="009B18F2"/>
    <w:rsid w:val="009B1913"/>
    <w:rsid w:val="009B2C1B"/>
    <w:rsid w:val="009B2F9F"/>
    <w:rsid w:val="009B368A"/>
    <w:rsid w:val="009B3C76"/>
    <w:rsid w:val="009B3FB7"/>
    <w:rsid w:val="009B407B"/>
    <w:rsid w:val="009B41C0"/>
    <w:rsid w:val="009B47A5"/>
    <w:rsid w:val="009B4CB9"/>
    <w:rsid w:val="009B5403"/>
    <w:rsid w:val="009B5AE6"/>
    <w:rsid w:val="009B65C7"/>
    <w:rsid w:val="009B6657"/>
    <w:rsid w:val="009B6AE5"/>
    <w:rsid w:val="009B6C36"/>
    <w:rsid w:val="009B6D29"/>
    <w:rsid w:val="009B78CA"/>
    <w:rsid w:val="009B7C35"/>
    <w:rsid w:val="009B7C9C"/>
    <w:rsid w:val="009B7CD7"/>
    <w:rsid w:val="009B7DB6"/>
    <w:rsid w:val="009C02BE"/>
    <w:rsid w:val="009C04BB"/>
    <w:rsid w:val="009C08C1"/>
    <w:rsid w:val="009C0F93"/>
    <w:rsid w:val="009C1892"/>
    <w:rsid w:val="009C1B7F"/>
    <w:rsid w:val="009C1EBE"/>
    <w:rsid w:val="009C1FEB"/>
    <w:rsid w:val="009C21BF"/>
    <w:rsid w:val="009C21F1"/>
    <w:rsid w:val="009C2BF9"/>
    <w:rsid w:val="009C2C9B"/>
    <w:rsid w:val="009C3240"/>
    <w:rsid w:val="009C35A1"/>
    <w:rsid w:val="009C3A42"/>
    <w:rsid w:val="009C3DA0"/>
    <w:rsid w:val="009C4216"/>
    <w:rsid w:val="009C43AD"/>
    <w:rsid w:val="009C4B7B"/>
    <w:rsid w:val="009C4C26"/>
    <w:rsid w:val="009C4DE4"/>
    <w:rsid w:val="009C5419"/>
    <w:rsid w:val="009C5BF7"/>
    <w:rsid w:val="009C5ED6"/>
    <w:rsid w:val="009C6B6B"/>
    <w:rsid w:val="009C6C5B"/>
    <w:rsid w:val="009C729E"/>
    <w:rsid w:val="009C74DB"/>
    <w:rsid w:val="009C7CAF"/>
    <w:rsid w:val="009D0EB5"/>
    <w:rsid w:val="009D13BC"/>
    <w:rsid w:val="009D13BD"/>
    <w:rsid w:val="009D14F9"/>
    <w:rsid w:val="009D167E"/>
    <w:rsid w:val="009D18D0"/>
    <w:rsid w:val="009D29C0"/>
    <w:rsid w:val="009D2B74"/>
    <w:rsid w:val="009D30F3"/>
    <w:rsid w:val="009D312E"/>
    <w:rsid w:val="009D3A75"/>
    <w:rsid w:val="009D3B80"/>
    <w:rsid w:val="009D4A69"/>
    <w:rsid w:val="009D5092"/>
    <w:rsid w:val="009D5D8D"/>
    <w:rsid w:val="009D63FF"/>
    <w:rsid w:val="009D6409"/>
    <w:rsid w:val="009E03F7"/>
    <w:rsid w:val="009E043A"/>
    <w:rsid w:val="009E06CC"/>
    <w:rsid w:val="009E1533"/>
    <w:rsid w:val="009E175D"/>
    <w:rsid w:val="009E1B7D"/>
    <w:rsid w:val="009E1E83"/>
    <w:rsid w:val="009E2315"/>
    <w:rsid w:val="009E2D30"/>
    <w:rsid w:val="009E36F0"/>
    <w:rsid w:val="009E3CC2"/>
    <w:rsid w:val="009E4FF6"/>
    <w:rsid w:val="009E50EE"/>
    <w:rsid w:val="009E5995"/>
    <w:rsid w:val="009E75A5"/>
    <w:rsid w:val="009E7D5E"/>
    <w:rsid w:val="009F06BD"/>
    <w:rsid w:val="009F0A49"/>
    <w:rsid w:val="009F0BE5"/>
    <w:rsid w:val="009F1B60"/>
    <w:rsid w:val="009F1CB5"/>
    <w:rsid w:val="009F1DE4"/>
    <w:rsid w:val="009F27AD"/>
    <w:rsid w:val="009F27FB"/>
    <w:rsid w:val="009F2A4D"/>
    <w:rsid w:val="009F2AD2"/>
    <w:rsid w:val="009F3302"/>
    <w:rsid w:val="009F3970"/>
    <w:rsid w:val="009F3C15"/>
    <w:rsid w:val="009F3FEA"/>
    <w:rsid w:val="009F46C2"/>
    <w:rsid w:val="009F4958"/>
    <w:rsid w:val="009F4977"/>
    <w:rsid w:val="009F4FC7"/>
    <w:rsid w:val="009F57CA"/>
    <w:rsid w:val="009F57E6"/>
    <w:rsid w:val="009F5BF5"/>
    <w:rsid w:val="009F66B2"/>
    <w:rsid w:val="009F74E3"/>
    <w:rsid w:val="009F7B2A"/>
    <w:rsid w:val="009F7E87"/>
    <w:rsid w:val="00A0005E"/>
    <w:rsid w:val="00A0042D"/>
    <w:rsid w:val="00A007E5"/>
    <w:rsid w:val="00A00828"/>
    <w:rsid w:val="00A01F03"/>
    <w:rsid w:val="00A0316B"/>
    <w:rsid w:val="00A03290"/>
    <w:rsid w:val="00A034EC"/>
    <w:rsid w:val="00A0392D"/>
    <w:rsid w:val="00A040C9"/>
    <w:rsid w:val="00A045D5"/>
    <w:rsid w:val="00A04668"/>
    <w:rsid w:val="00A0471F"/>
    <w:rsid w:val="00A04F1D"/>
    <w:rsid w:val="00A05255"/>
    <w:rsid w:val="00A06026"/>
    <w:rsid w:val="00A06192"/>
    <w:rsid w:val="00A061EE"/>
    <w:rsid w:val="00A06569"/>
    <w:rsid w:val="00A073A7"/>
    <w:rsid w:val="00A07490"/>
    <w:rsid w:val="00A07A23"/>
    <w:rsid w:val="00A1046A"/>
    <w:rsid w:val="00A10655"/>
    <w:rsid w:val="00A1113A"/>
    <w:rsid w:val="00A111E2"/>
    <w:rsid w:val="00A1186A"/>
    <w:rsid w:val="00A118B7"/>
    <w:rsid w:val="00A1197C"/>
    <w:rsid w:val="00A11B6D"/>
    <w:rsid w:val="00A11D3A"/>
    <w:rsid w:val="00A123F8"/>
    <w:rsid w:val="00A12B64"/>
    <w:rsid w:val="00A12DF8"/>
    <w:rsid w:val="00A13212"/>
    <w:rsid w:val="00A13826"/>
    <w:rsid w:val="00A13B91"/>
    <w:rsid w:val="00A13CD0"/>
    <w:rsid w:val="00A1582F"/>
    <w:rsid w:val="00A162C4"/>
    <w:rsid w:val="00A16960"/>
    <w:rsid w:val="00A169E6"/>
    <w:rsid w:val="00A16F01"/>
    <w:rsid w:val="00A173C9"/>
    <w:rsid w:val="00A17573"/>
    <w:rsid w:val="00A1787C"/>
    <w:rsid w:val="00A2118F"/>
    <w:rsid w:val="00A21BE4"/>
    <w:rsid w:val="00A21BE8"/>
    <w:rsid w:val="00A22359"/>
    <w:rsid w:val="00A225F6"/>
    <w:rsid w:val="00A22C38"/>
    <w:rsid w:val="00A22F11"/>
    <w:rsid w:val="00A22F3E"/>
    <w:rsid w:val="00A2306D"/>
    <w:rsid w:val="00A2384E"/>
    <w:rsid w:val="00A248F0"/>
    <w:rsid w:val="00A24B30"/>
    <w:rsid w:val="00A25130"/>
    <w:rsid w:val="00A25193"/>
    <w:rsid w:val="00A251F5"/>
    <w:rsid w:val="00A268FE"/>
    <w:rsid w:val="00A26E80"/>
    <w:rsid w:val="00A26F45"/>
    <w:rsid w:val="00A2707F"/>
    <w:rsid w:val="00A2717B"/>
    <w:rsid w:val="00A27E0B"/>
    <w:rsid w:val="00A27E2C"/>
    <w:rsid w:val="00A3020D"/>
    <w:rsid w:val="00A31831"/>
    <w:rsid w:val="00A31A26"/>
    <w:rsid w:val="00A31AE8"/>
    <w:rsid w:val="00A31DB2"/>
    <w:rsid w:val="00A325F0"/>
    <w:rsid w:val="00A3271D"/>
    <w:rsid w:val="00A32804"/>
    <w:rsid w:val="00A32A56"/>
    <w:rsid w:val="00A32D80"/>
    <w:rsid w:val="00A32EFF"/>
    <w:rsid w:val="00A33615"/>
    <w:rsid w:val="00A3386A"/>
    <w:rsid w:val="00A33AD8"/>
    <w:rsid w:val="00A33B4E"/>
    <w:rsid w:val="00A33D9E"/>
    <w:rsid w:val="00A33FBC"/>
    <w:rsid w:val="00A3490C"/>
    <w:rsid w:val="00A3492D"/>
    <w:rsid w:val="00A34AC2"/>
    <w:rsid w:val="00A3573C"/>
    <w:rsid w:val="00A357E7"/>
    <w:rsid w:val="00A3592F"/>
    <w:rsid w:val="00A35C8C"/>
    <w:rsid w:val="00A35DED"/>
    <w:rsid w:val="00A35F87"/>
    <w:rsid w:val="00A361B3"/>
    <w:rsid w:val="00A36420"/>
    <w:rsid w:val="00A36767"/>
    <w:rsid w:val="00A36BD3"/>
    <w:rsid w:val="00A36CEB"/>
    <w:rsid w:val="00A36FC1"/>
    <w:rsid w:val="00A3739D"/>
    <w:rsid w:val="00A37BC8"/>
    <w:rsid w:val="00A37DDA"/>
    <w:rsid w:val="00A37ED8"/>
    <w:rsid w:val="00A40407"/>
    <w:rsid w:val="00A40589"/>
    <w:rsid w:val="00A411E2"/>
    <w:rsid w:val="00A41C91"/>
    <w:rsid w:val="00A42C6F"/>
    <w:rsid w:val="00A42FB4"/>
    <w:rsid w:val="00A4476F"/>
    <w:rsid w:val="00A448B0"/>
    <w:rsid w:val="00A44AAA"/>
    <w:rsid w:val="00A44C18"/>
    <w:rsid w:val="00A452AE"/>
    <w:rsid w:val="00A45F20"/>
    <w:rsid w:val="00A470F7"/>
    <w:rsid w:val="00A476CE"/>
    <w:rsid w:val="00A47A4A"/>
    <w:rsid w:val="00A505C7"/>
    <w:rsid w:val="00A50760"/>
    <w:rsid w:val="00A50829"/>
    <w:rsid w:val="00A50E25"/>
    <w:rsid w:val="00A51E4C"/>
    <w:rsid w:val="00A5205D"/>
    <w:rsid w:val="00A52698"/>
    <w:rsid w:val="00A52928"/>
    <w:rsid w:val="00A52D89"/>
    <w:rsid w:val="00A52F2A"/>
    <w:rsid w:val="00A52FD8"/>
    <w:rsid w:val="00A539C1"/>
    <w:rsid w:val="00A53A8C"/>
    <w:rsid w:val="00A5493C"/>
    <w:rsid w:val="00A54D58"/>
    <w:rsid w:val="00A55891"/>
    <w:rsid w:val="00A57624"/>
    <w:rsid w:val="00A601D0"/>
    <w:rsid w:val="00A6025D"/>
    <w:rsid w:val="00A60741"/>
    <w:rsid w:val="00A60F47"/>
    <w:rsid w:val="00A610CD"/>
    <w:rsid w:val="00A6158F"/>
    <w:rsid w:val="00A61849"/>
    <w:rsid w:val="00A61901"/>
    <w:rsid w:val="00A61ACA"/>
    <w:rsid w:val="00A61E2C"/>
    <w:rsid w:val="00A62912"/>
    <w:rsid w:val="00A63417"/>
    <w:rsid w:val="00A64636"/>
    <w:rsid w:val="00A65417"/>
    <w:rsid w:val="00A65642"/>
    <w:rsid w:val="00A65D86"/>
    <w:rsid w:val="00A676D4"/>
    <w:rsid w:val="00A676E9"/>
    <w:rsid w:val="00A67D1A"/>
    <w:rsid w:val="00A70378"/>
    <w:rsid w:val="00A704E2"/>
    <w:rsid w:val="00A70A44"/>
    <w:rsid w:val="00A70A62"/>
    <w:rsid w:val="00A711F9"/>
    <w:rsid w:val="00A719E5"/>
    <w:rsid w:val="00A71DE0"/>
    <w:rsid w:val="00A7229C"/>
    <w:rsid w:val="00A722A4"/>
    <w:rsid w:val="00A72FEE"/>
    <w:rsid w:val="00A7336C"/>
    <w:rsid w:val="00A7385A"/>
    <w:rsid w:val="00A746B6"/>
    <w:rsid w:val="00A76F86"/>
    <w:rsid w:val="00A77596"/>
    <w:rsid w:val="00A7772E"/>
    <w:rsid w:val="00A80BF3"/>
    <w:rsid w:val="00A812D2"/>
    <w:rsid w:val="00A81750"/>
    <w:rsid w:val="00A81837"/>
    <w:rsid w:val="00A81B08"/>
    <w:rsid w:val="00A81C02"/>
    <w:rsid w:val="00A81F01"/>
    <w:rsid w:val="00A82989"/>
    <w:rsid w:val="00A82DD7"/>
    <w:rsid w:val="00A8337C"/>
    <w:rsid w:val="00A835F1"/>
    <w:rsid w:val="00A83655"/>
    <w:rsid w:val="00A839DC"/>
    <w:rsid w:val="00A83E9C"/>
    <w:rsid w:val="00A85101"/>
    <w:rsid w:val="00A854A2"/>
    <w:rsid w:val="00A8573F"/>
    <w:rsid w:val="00A861DC"/>
    <w:rsid w:val="00A86656"/>
    <w:rsid w:val="00A86CC2"/>
    <w:rsid w:val="00A87635"/>
    <w:rsid w:val="00A87FE1"/>
    <w:rsid w:val="00A908CB"/>
    <w:rsid w:val="00A90AE4"/>
    <w:rsid w:val="00A91497"/>
    <w:rsid w:val="00A91DE3"/>
    <w:rsid w:val="00A923DC"/>
    <w:rsid w:val="00A925EC"/>
    <w:rsid w:val="00A929AA"/>
    <w:rsid w:val="00A92B6B"/>
    <w:rsid w:val="00A93029"/>
    <w:rsid w:val="00A93E2C"/>
    <w:rsid w:val="00A9434C"/>
    <w:rsid w:val="00A94525"/>
    <w:rsid w:val="00A953DD"/>
    <w:rsid w:val="00A955A9"/>
    <w:rsid w:val="00A956A9"/>
    <w:rsid w:val="00A966CF"/>
    <w:rsid w:val="00A9700B"/>
    <w:rsid w:val="00A97161"/>
    <w:rsid w:val="00A9720F"/>
    <w:rsid w:val="00A9785E"/>
    <w:rsid w:val="00AA0713"/>
    <w:rsid w:val="00AA212A"/>
    <w:rsid w:val="00AA2432"/>
    <w:rsid w:val="00AA24B0"/>
    <w:rsid w:val="00AA2FE5"/>
    <w:rsid w:val="00AA3385"/>
    <w:rsid w:val="00AA35B8"/>
    <w:rsid w:val="00AA3AD8"/>
    <w:rsid w:val="00AA47C5"/>
    <w:rsid w:val="00AA4C49"/>
    <w:rsid w:val="00AA541E"/>
    <w:rsid w:val="00AA55FD"/>
    <w:rsid w:val="00AA5F4B"/>
    <w:rsid w:val="00AA6D74"/>
    <w:rsid w:val="00AA6DCE"/>
    <w:rsid w:val="00AA6EA2"/>
    <w:rsid w:val="00AA6F3D"/>
    <w:rsid w:val="00AA79D7"/>
    <w:rsid w:val="00AB016B"/>
    <w:rsid w:val="00AB0AD5"/>
    <w:rsid w:val="00AB0D40"/>
    <w:rsid w:val="00AB1303"/>
    <w:rsid w:val="00AB1492"/>
    <w:rsid w:val="00AB15EA"/>
    <w:rsid w:val="00AB1F1B"/>
    <w:rsid w:val="00AB27DC"/>
    <w:rsid w:val="00AB29FA"/>
    <w:rsid w:val="00AB46D5"/>
    <w:rsid w:val="00AB4DB0"/>
    <w:rsid w:val="00AB5B92"/>
    <w:rsid w:val="00AB5D89"/>
    <w:rsid w:val="00AB5E12"/>
    <w:rsid w:val="00AB5ECA"/>
    <w:rsid w:val="00AB6A82"/>
    <w:rsid w:val="00AB6D3D"/>
    <w:rsid w:val="00AB7807"/>
    <w:rsid w:val="00AB7C63"/>
    <w:rsid w:val="00AC149E"/>
    <w:rsid w:val="00AC1BD0"/>
    <w:rsid w:val="00AC1DA1"/>
    <w:rsid w:val="00AC1E89"/>
    <w:rsid w:val="00AC228F"/>
    <w:rsid w:val="00AC26F0"/>
    <w:rsid w:val="00AC275C"/>
    <w:rsid w:val="00AC2768"/>
    <w:rsid w:val="00AC28C3"/>
    <w:rsid w:val="00AC29C4"/>
    <w:rsid w:val="00AC2AFE"/>
    <w:rsid w:val="00AC3AAF"/>
    <w:rsid w:val="00AC3BEB"/>
    <w:rsid w:val="00AC4007"/>
    <w:rsid w:val="00AC4C9F"/>
    <w:rsid w:val="00AC557C"/>
    <w:rsid w:val="00AC59B9"/>
    <w:rsid w:val="00AC5A16"/>
    <w:rsid w:val="00AC6063"/>
    <w:rsid w:val="00AC60E0"/>
    <w:rsid w:val="00AC69CA"/>
    <w:rsid w:val="00AC6B36"/>
    <w:rsid w:val="00AC72AA"/>
    <w:rsid w:val="00AC795E"/>
    <w:rsid w:val="00AC7E9A"/>
    <w:rsid w:val="00AD0169"/>
    <w:rsid w:val="00AD01D4"/>
    <w:rsid w:val="00AD02CF"/>
    <w:rsid w:val="00AD0DA4"/>
    <w:rsid w:val="00AD134E"/>
    <w:rsid w:val="00AD1688"/>
    <w:rsid w:val="00AD1B26"/>
    <w:rsid w:val="00AD1EF9"/>
    <w:rsid w:val="00AD23F7"/>
    <w:rsid w:val="00AD26FB"/>
    <w:rsid w:val="00AD2F5B"/>
    <w:rsid w:val="00AD3449"/>
    <w:rsid w:val="00AD4169"/>
    <w:rsid w:val="00AD436A"/>
    <w:rsid w:val="00AD441F"/>
    <w:rsid w:val="00AD44C3"/>
    <w:rsid w:val="00AD4A32"/>
    <w:rsid w:val="00AD52AB"/>
    <w:rsid w:val="00AD6238"/>
    <w:rsid w:val="00AD6296"/>
    <w:rsid w:val="00AD7527"/>
    <w:rsid w:val="00AD7557"/>
    <w:rsid w:val="00AD7688"/>
    <w:rsid w:val="00AD782E"/>
    <w:rsid w:val="00AE010C"/>
    <w:rsid w:val="00AE053F"/>
    <w:rsid w:val="00AE0BF3"/>
    <w:rsid w:val="00AE1677"/>
    <w:rsid w:val="00AE1B98"/>
    <w:rsid w:val="00AE25C6"/>
    <w:rsid w:val="00AE2E20"/>
    <w:rsid w:val="00AE306C"/>
    <w:rsid w:val="00AE337F"/>
    <w:rsid w:val="00AE48C3"/>
    <w:rsid w:val="00AE57A2"/>
    <w:rsid w:val="00AE57E3"/>
    <w:rsid w:val="00AE64A7"/>
    <w:rsid w:val="00AE6D6C"/>
    <w:rsid w:val="00AE6EF5"/>
    <w:rsid w:val="00AE75CB"/>
    <w:rsid w:val="00AE7651"/>
    <w:rsid w:val="00AE77A7"/>
    <w:rsid w:val="00AF06AA"/>
    <w:rsid w:val="00AF0704"/>
    <w:rsid w:val="00AF0A19"/>
    <w:rsid w:val="00AF1DA4"/>
    <w:rsid w:val="00AF28C1"/>
    <w:rsid w:val="00AF3B5F"/>
    <w:rsid w:val="00AF42CF"/>
    <w:rsid w:val="00AF689F"/>
    <w:rsid w:val="00AF6916"/>
    <w:rsid w:val="00AF6BCD"/>
    <w:rsid w:val="00AF6E6A"/>
    <w:rsid w:val="00AF6E70"/>
    <w:rsid w:val="00AF6F59"/>
    <w:rsid w:val="00AF7690"/>
    <w:rsid w:val="00AF784E"/>
    <w:rsid w:val="00AF7CF0"/>
    <w:rsid w:val="00B000EB"/>
    <w:rsid w:val="00B00515"/>
    <w:rsid w:val="00B00939"/>
    <w:rsid w:val="00B00B20"/>
    <w:rsid w:val="00B013FB"/>
    <w:rsid w:val="00B01F8B"/>
    <w:rsid w:val="00B02BF4"/>
    <w:rsid w:val="00B02E6A"/>
    <w:rsid w:val="00B02EF1"/>
    <w:rsid w:val="00B0309F"/>
    <w:rsid w:val="00B030D2"/>
    <w:rsid w:val="00B03DC7"/>
    <w:rsid w:val="00B040DA"/>
    <w:rsid w:val="00B04271"/>
    <w:rsid w:val="00B048E9"/>
    <w:rsid w:val="00B05B8C"/>
    <w:rsid w:val="00B05DA0"/>
    <w:rsid w:val="00B06548"/>
    <w:rsid w:val="00B070B3"/>
    <w:rsid w:val="00B070B5"/>
    <w:rsid w:val="00B07A07"/>
    <w:rsid w:val="00B07AF0"/>
    <w:rsid w:val="00B07B5F"/>
    <w:rsid w:val="00B07C97"/>
    <w:rsid w:val="00B07EA1"/>
    <w:rsid w:val="00B10BB8"/>
    <w:rsid w:val="00B10CD2"/>
    <w:rsid w:val="00B10E99"/>
    <w:rsid w:val="00B10FBA"/>
    <w:rsid w:val="00B112AB"/>
    <w:rsid w:val="00B11BA7"/>
    <w:rsid w:val="00B11C67"/>
    <w:rsid w:val="00B11EE3"/>
    <w:rsid w:val="00B120DC"/>
    <w:rsid w:val="00B125DB"/>
    <w:rsid w:val="00B12CEB"/>
    <w:rsid w:val="00B131FB"/>
    <w:rsid w:val="00B13EA6"/>
    <w:rsid w:val="00B140CA"/>
    <w:rsid w:val="00B150B2"/>
    <w:rsid w:val="00B15754"/>
    <w:rsid w:val="00B15A27"/>
    <w:rsid w:val="00B1738D"/>
    <w:rsid w:val="00B201AC"/>
    <w:rsid w:val="00B2046E"/>
    <w:rsid w:val="00B209F3"/>
    <w:rsid w:val="00B20DDB"/>
    <w:rsid w:val="00B20E8B"/>
    <w:rsid w:val="00B21696"/>
    <w:rsid w:val="00B2266B"/>
    <w:rsid w:val="00B2310C"/>
    <w:rsid w:val="00B23F1A"/>
    <w:rsid w:val="00B24154"/>
    <w:rsid w:val="00B24364"/>
    <w:rsid w:val="00B24AAA"/>
    <w:rsid w:val="00B25594"/>
    <w:rsid w:val="00B257E1"/>
    <w:rsid w:val="00B2599A"/>
    <w:rsid w:val="00B26281"/>
    <w:rsid w:val="00B2647E"/>
    <w:rsid w:val="00B26498"/>
    <w:rsid w:val="00B26702"/>
    <w:rsid w:val="00B26BDA"/>
    <w:rsid w:val="00B27AC4"/>
    <w:rsid w:val="00B3030B"/>
    <w:rsid w:val="00B30ACF"/>
    <w:rsid w:val="00B30CAD"/>
    <w:rsid w:val="00B30CCB"/>
    <w:rsid w:val="00B30D6E"/>
    <w:rsid w:val="00B3217E"/>
    <w:rsid w:val="00B33879"/>
    <w:rsid w:val="00B34314"/>
    <w:rsid w:val="00B343CC"/>
    <w:rsid w:val="00B35272"/>
    <w:rsid w:val="00B35307"/>
    <w:rsid w:val="00B35FB5"/>
    <w:rsid w:val="00B360BA"/>
    <w:rsid w:val="00B36561"/>
    <w:rsid w:val="00B369B3"/>
    <w:rsid w:val="00B3739C"/>
    <w:rsid w:val="00B375C3"/>
    <w:rsid w:val="00B37B16"/>
    <w:rsid w:val="00B403AC"/>
    <w:rsid w:val="00B40473"/>
    <w:rsid w:val="00B40A70"/>
    <w:rsid w:val="00B41220"/>
    <w:rsid w:val="00B4157F"/>
    <w:rsid w:val="00B4160A"/>
    <w:rsid w:val="00B4167B"/>
    <w:rsid w:val="00B42618"/>
    <w:rsid w:val="00B426C6"/>
    <w:rsid w:val="00B427D7"/>
    <w:rsid w:val="00B4298B"/>
    <w:rsid w:val="00B43C75"/>
    <w:rsid w:val="00B442B3"/>
    <w:rsid w:val="00B44577"/>
    <w:rsid w:val="00B4489B"/>
    <w:rsid w:val="00B44B9F"/>
    <w:rsid w:val="00B44C39"/>
    <w:rsid w:val="00B44D1E"/>
    <w:rsid w:val="00B4584D"/>
    <w:rsid w:val="00B461C5"/>
    <w:rsid w:val="00B4679E"/>
    <w:rsid w:val="00B47122"/>
    <w:rsid w:val="00B4745E"/>
    <w:rsid w:val="00B47AF5"/>
    <w:rsid w:val="00B5084A"/>
    <w:rsid w:val="00B50C8F"/>
    <w:rsid w:val="00B50D9A"/>
    <w:rsid w:val="00B50E67"/>
    <w:rsid w:val="00B51331"/>
    <w:rsid w:val="00B5259F"/>
    <w:rsid w:val="00B53000"/>
    <w:rsid w:val="00B531BA"/>
    <w:rsid w:val="00B53403"/>
    <w:rsid w:val="00B53767"/>
    <w:rsid w:val="00B53820"/>
    <w:rsid w:val="00B542D3"/>
    <w:rsid w:val="00B55954"/>
    <w:rsid w:val="00B55CCF"/>
    <w:rsid w:val="00B56693"/>
    <w:rsid w:val="00B56B34"/>
    <w:rsid w:val="00B606A1"/>
    <w:rsid w:val="00B614F7"/>
    <w:rsid w:val="00B61B26"/>
    <w:rsid w:val="00B61F2E"/>
    <w:rsid w:val="00B622CB"/>
    <w:rsid w:val="00B62BC3"/>
    <w:rsid w:val="00B62F0F"/>
    <w:rsid w:val="00B63A80"/>
    <w:rsid w:val="00B64243"/>
    <w:rsid w:val="00B6481F"/>
    <w:rsid w:val="00B6490E"/>
    <w:rsid w:val="00B64B32"/>
    <w:rsid w:val="00B65F66"/>
    <w:rsid w:val="00B66FF4"/>
    <w:rsid w:val="00B675B2"/>
    <w:rsid w:val="00B6775E"/>
    <w:rsid w:val="00B67D0E"/>
    <w:rsid w:val="00B67D67"/>
    <w:rsid w:val="00B67F7A"/>
    <w:rsid w:val="00B70C66"/>
    <w:rsid w:val="00B71059"/>
    <w:rsid w:val="00B715BB"/>
    <w:rsid w:val="00B717A8"/>
    <w:rsid w:val="00B71ED5"/>
    <w:rsid w:val="00B7275B"/>
    <w:rsid w:val="00B73739"/>
    <w:rsid w:val="00B7493F"/>
    <w:rsid w:val="00B74E5C"/>
    <w:rsid w:val="00B75AAF"/>
    <w:rsid w:val="00B75DD9"/>
    <w:rsid w:val="00B762E5"/>
    <w:rsid w:val="00B76349"/>
    <w:rsid w:val="00B77608"/>
    <w:rsid w:val="00B779ED"/>
    <w:rsid w:val="00B77A05"/>
    <w:rsid w:val="00B77D81"/>
    <w:rsid w:val="00B80D4F"/>
    <w:rsid w:val="00B80EB3"/>
    <w:rsid w:val="00B811A9"/>
    <w:rsid w:val="00B81261"/>
    <w:rsid w:val="00B8135B"/>
    <w:rsid w:val="00B8152D"/>
    <w:rsid w:val="00B81772"/>
    <w:rsid w:val="00B81B9B"/>
    <w:rsid w:val="00B81E77"/>
    <w:rsid w:val="00B8223E"/>
    <w:rsid w:val="00B822CA"/>
    <w:rsid w:val="00B823D2"/>
    <w:rsid w:val="00B82506"/>
    <w:rsid w:val="00B832AE"/>
    <w:rsid w:val="00B83976"/>
    <w:rsid w:val="00B83C0C"/>
    <w:rsid w:val="00B846F1"/>
    <w:rsid w:val="00B84A0B"/>
    <w:rsid w:val="00B84CAC"/>
    <w:rsid w:val="00B84CEE"/>
    <w:rsid w:val="00B84EDC"/>
    <w:rsid w:val="00B84F91"/>
    <w:rsid w:val="00B851CA"/>
    <w:rsid w:val="00B85EBA"/>
    <w:rsid w:val="00B86051"/>
    <w:rsid w:val="00B862AB"/>
    <w:rsid w:val="00B863B2"/>
    <w:rsid w:val="00B86678"/>
    <w:rsid w:val="00B86BF8"/>
    <w:rsid w:val="00B86EE9"/>
    <w:rsid w:val="00B87AB1"/>
    <w:rsid w:val="00B90E97"/>
    <w:rsid w:val="00B923CA"/>
    <w:rsid w:val="00B92E7E"/>
    <w:rsid w:val="00B92F9B"/>
    <w:rsid w:val="00B941B3"/>
    <w:rsid w:val="00B94358"/>
    <w:rsid w:val="00B958C2"/>
    <w:rsid w:val="00B95B11"/>
    <w:rsid w:val="00B95E5F"/>
    <w:rsid w:val="00B96513"/>
    <w:rsid w:val="00B9687A"/>
    <w:rsid w:val="00B96B07"/>
    <w:rsid w:val="00B972E0"/>
    <w:rsid w:val="00BA05F2"/>
    <w:rsid w:val="00BA0ADF"/>
    <w:rsid w:val="00BA0B28"/>
    <w:rsid w:val="00BA0C3E"/>
    <w:rsid w:val="00BA11DA"/>
    <w:rsid w:val="00BA14D5"/>
    <w:rsid w:val="00BA1675"/>
    <w:rsid w:val="00BA1D47"/>
    <w:rsid w:val="00BA35B7"/>
    <w:rsid w:val="00BA36F0"/>
    <w:rsid w:val="00BA3833"/>
    <w:rsid w:val="00BA3AF8"/>
    <w:rsid w:val="00BA3F26"/>
    <w:rsid w:val="00BA4642"/>
    <w:rsid w:val="00BA4B02"/>
    <w:rsid w:val="00BA4BA3"/>
    <w:rsid w:val="00BA528C"/>
    <w:rsid w:val="00BA55FF"/>
    <w:rsid w:val="00BA6011"/>
    <w:rsid w:val="00BA6290"/>
    <w:rsid w:val="00BA66F0"/>
    <w:rsid w:val="00BA6906"/>
    <w:rsid w:val="00BA6C56"/>
    <w:rsid w:val="00BA73C4"/>
    <w:rsid w:val="00BA76DD"/>
    <w:rsid w:val="00BA7D1A"/>
    <w:rsid w:val="00BB013F"/>
    <w:rsid w:val="00BB042D"/>
    <w:rsid w:val="00BB057F"/>
    <w:rsid w:val="00BB069F"/>
    <w:rsid w:val="00BB0B78"/>
    <w:rsid w:val="00BB0DD1"/>
    <w:rsid w:val="00BB1101"/>
    <w:rsid w:val="00BB13A8"/>
    <w:rsid w:val="00BB1517"/>
    <w:rsid w:val="00BB1AF0"/>
    <w:rsid w:val="00BB1B7D"/>
    <w:rsid w:val="00BB1CA2"/>
    <w:rsid w:val="00BB2239"/>
    <w:rsid w:val="00BB2616"/>
    <w:rsid w:val="00BB269B"/>
    <w:rsid w:val="00BB2870"/>
    <w:rsid w:val="00BB2AE7"/>
    <w:rsid w:val="00BB2D91"/>
    <w:rsid w:val="00BB34F0"/>
    <w:rsid w:val="00BB3C47"/>
    <w:rsid w:val="00BB3CDB"/>
    <w:rsid w:val="00BB3DEE"/>
    <w:rsid w:val="00BB4431"/>
    <w:rsid w:val="00BB4E11"/>
    <w:rsid w:val="00BB4FAF"/>
    <w:rsid w:val="00BB5010"/>
    <w:rsid w:val="00BB51A3"/>
    <w:rsid w:val="00BB5943"/>
    <w:rsid w:val="00BB6464"/>
    <w:rsid w:val="00BB6947"/>
    <w:rsid w:val="00BB6B9D"/>
    <w:rsid w:val="00BB7526"/>
    <w:rsid w:val="00BB77D2"/>
    <w:rsid w:val="00BB7D8B"/>
    <w:rsid w:val="00BC01F1"/>
    <w:rsid w:val="00BC0822"/>
    <w:rsid w:val="00BC08C1"/>
    <w:rsid w:val="00BC0C34"/>
    <w:rsid w:val="00BC0D5F"/>
    <w:rsid w:val="00BC1122"/>
    <w:rsid w:val="00BC19F2"/>
    <w:rsid w:val="00BC1BB8"/>
    <w:rsid w:val="00BC33CE"/>
    <w:rsid w:val="00BC37DE"/>
    <w:rsid w:val="00BC3B6A"/>
    <w:rsid w:val="00BC3BE3"/>
    <w:rsid w:val="00BC4622"/>
    <w:rsid w:val="00BC48A1"/>
    <w:rsid w:val="00BC4F28"/>
    <w:rsid w:val="00BC5085"/>
    <w:rsid w:val="00BC582E"/>
    <w:rsid w:val="00BC59A4"/>
    <w:rsid w:val="00BC5B33"/>
    <w:rsid w:val="00BC7792"/>
    <w:rsid w:val="00BC7CEB"/>
    <w:rsid w:val="00BD015D"/>
    <w:rsid w:val="00BD0819"/>
    <w:rsid w:val="00BD0CCF"/>
    <w:rsid w:val="00BD0F38"/>
    <w:rsid w:val="00BD15AE"/>
    <w:rsid w:val="00BD1DF2"/>
    <w:rsid w:val="00BD245D"/>
    <w:rsid w:val="00BD26A4"/>
    <w:rsid w:val="00BD3BF4"/>
    <w:rsid w:val="00BD4812"/>
    <w:rsid w:val="00BD4E0F"/>
    <w:rsid w:val="00BD5E58"/>
    <w:rsid w:val="00BD729A"/>
    <w:rsid w:val="00BD7505"/>
    <w:rsid w:val="00BD7558"/>
    <w:rsid w:val="00BD755E"/>
    <w:rsid w:val="00BD7F86"/>
    <w:rsid w:val="00BD7FE1"/>
    <w:rsid w:val="00BE16E0"/>
    <w:rsid w:val="00BE190E"/>
    <w:rsid w:val="00BE2727"/>
    <w:rsid w:val="00BE3239"/>
    <w:rsid w:val="00BE37CA"/>
    <w:rsid w:val="00BE4B2A"/>
    <w:rsid w:val="00BE6144"/>
    <w:rsid w:val="00BE635A"/>
    <w:rsid w:val="00BE69D2"/>
    <w:rsid w:val="00BE74E0"/>
    <w:rsid w:val="00BF0076"/>
    <w:rsid w:val="00BF0371"/>
    <w:rsid w:val="00BF0FBA"/>
    <w:rsid w:val="00BF17E9"/>
    <w:rsid w:val="00BF2268"/>
    <w:rsid w:val="00BF297C"/>
    <w:rsid w:val="00BF2ABB"/>
    <w:rsid w:val="00BF2D68"/>
    <w:rsid w:val="00BF2F1C"/>
    <w:rsid w:val="00BF2F63"/>
    <w:rsid w:val="00BF376E"/>
    <w:rsid w:val="00BF425F"/>
    <w:rsid w:val="00BF4B28"/>
    <w:rsid w:val="00BF4D42"/>
    <w:rsid w:val="00BF5099"/>
    <w:rsid w:val="00BF50A9"/>
    <w:rsid w:val="00BF50CC"/>
    <w:rsid w:val="00BF579D"/>
    <w:rsid w:val="00BF624E"/>
    <w:rsid w:val="00BF724E"/>
    <w:rsid w:val="00BF7420"/>
    <w:rsid w:val="00BF7502"/>
    <w:rsid w:val="00BF75C4"/>
    <w:rsid w:val="00BF79E0"/>
    <w:rsid w:val="00C003CC"/>
    <w:rsid w:val="00C00486"/>
    <w:rsid w:val="00C006AC"/>
    <w:rsid w:val="00C0250A"/>
    <w:rsid w:val="00C03ED4"/>
    <w:rsid w:val="00C03EF3"/>
    <w:rsid w:val="00C040D1"/>
    <w:rsid w:val="00C041E7"/>
    <w:rsid w:val="00C04303"/>
    <w:rsid w:val="00C04405"/>
    <w:rsid w:val="00C0457F"/>
    <w:rsid w:val="00C045B5"/>
    <w:rsid w:val="00C04FC0"/>
    <w:rsid w:val="00C05917"/>
    <w:rsid w:val="00C05953"/>
    <w:rsid w:val="00C05CB5"/>
    <w:rsid w:val="00C06027"/>
    <w:rsid w:val="00C06A51"/>
    <w:rsid w:val="00C06BC1"/>
    <w:rsid w:val="00C071DF"/>
    <w:rsid w:val="00C07FAF"/>
    <w:rsid w:val="00C104B6"/>
    <w:rsid w:val="00C10F10"/>
    <w:rsid w:val="00C11384"/>
    <w:rsid w:val="00C11C9C"/>
    <w:rsid w:val="00C11CD7"/>
    <w:rsid w:val="00C12349"/>
    <w:rsid w:val="00C12606"/>
    <w:rsid w:val="00C12F70"/>
    <w:rsid w:val="00C13DEB"/>
    <w:rsid w:val="00C13EF4"/>
    <w:rsid w:val="00C14DFB"/>
    <w:rsid w:val="00C14E49"/>
    <w:rsid w:val="00C14F9E"/>
    <w:rsid w:val="00C15446"/>
    <w:rsid w:val="00C155CF"/>
    <w:rsid w:val="00C15D4D"/>
    <w:rsid w:val="00C1688D"/>
    <w:rsid w:val="00C16E4D"/>
    <w:rsid w:val="00C17074"/>
    <w:rsid w:val="00C1738F"/>
    <w:rsid w:val="00C175DC"/>
    <w:rsid w:val="00C17787"/>
    <w:rsid w:val="00C2083D"/>
    <w:rsid w:val="00C21270"/>
    <w:rsid w:val="00C21C4B"/>
    <w:rsid w:val="00C22583"/>
    <w:rsid w:val="00C225A1"/>
    <w:rsid w:val="00C22731"/>
    <w:rsid w:val="00C22C00"/>
    <w:rsid w:val="00C23342"/>
    <w:rsid w:val="00C236F8"/>
    <w:rsid w:val="00C239D1"/>
    <w:rsid w:val="00C245AB"/>
    <w:rsid w:val="00C248C8"/>
    <w:rsid w:val="00C24B8B"/>
    <w:rsid w:val="00C24BE7"/>
    <w:rsid w:val="00C25261"/>
    <w:rsid w:val="00C25971"/>
    <w:rsid w:val="00C25EFF"/>
    <w:rsid w:val="00C27073"/>
    <w:rsid w:val="00C27174"/>
    <w:rsid w:val="00C27476"/>
    <w:rsid w:val="00C27BA0"/>
    <w:rsid w:val="00C30171"/>
    <w:rsid w:val="00C30370"/>
    <w:rsid w:val="00C30418"/>
    <w:rsid w:val="00C30579"/>
    <w:rsid w:val="00C309B5"/>
    <w:rsid w:val="00C309D8"/>
    <w:rsid w:val="00C30D9F"/>
    <w:rsid w:val="00C3192B"/>
    <w:rsid w:val="00C32510"/>
    <w:rsid w:val="00C3331D"/>
    <w:rsid w:val="00C3383D"/>
    <w:rsid w:val="00C33880"/>
    <w:rsid w:val="00C33998"/>
    <w:rsid w:val="00C33C0A"/>
    <w:rsid w:val="00C34B50"/>
    <w:rsid w:val="00C34D74"/>
    <w:rsid w:val="00C34EC2"/>
    <w:rsid w:val="00C35C49"/>
    <w:rsid w:val="00C35E76"/>
    <w:rsid w:val="00C35F2F"/>
    <w:rsid w:val="00C4035D"/>
    <w:rsid w:val="00C4165D"/>
    <w:rsid w:val="00C4200E"/>
    <w:rsid w:val="00C433A7"/>
    <w:rsid w:val="00C43519"/>
    <w:rsid w:val="00C4371D"/>
    <w:rsid w:val="00C43D9C"/>
    <w:rsid w:val="00C448FD"/>
    <w:rsid w:val="00C44EB7"/>
    <w:rsid w:val="00C44F91"/>
    <w:rsid w:val="00C45303"/>
    <w:rsid w:val="00C4533D"/>
    <w:rsid w:val="00C45558"/>
    <w:rsid w:val="00C45BD3"/>
    <w:rsid w:val="00C465FE"/>
    <w:rsid w:val="00C4709B"/>
    <w:rsid w:val="00C477D0"/>
    <w:rsid w:val="00C47CC4"/>
    <w:rsid w:val="00C506E5"/>
    <w:rsid w:val="00C51299"/>
    <w:rsid w:val="00C51345"/>
    <w:rsid w:val="00C51537"/>
    <w:rsid w:val="00C51BEF"/>
    <w:rsid w:val="00C524AA"/>
    <w:rsid w:val="00C52BC3"/>
    <w:rsid w:val="00C53651"/>
    <w:rsid w:val="00C5378F"/>
    <w:rsid w:val="00C54D75"/>
    <w:rsid w:val="00C5517E"/>
    <w:rsid w:val="00C551F2"/>
    <w:rsid w:val="00C551FE"/>
    <w:rsid w:val="00C557C5"/>
    <w:rsid w:val="00C5584B"/>
    <w:rsid w:val="00C55D4D"/>
    <w:rsid w:val="00C56B0D"/>
    <w:rsid w:val="00C57A17"/>
    <w:rsid w:val="00C57A19"/>
    <w:rsid w:val="00C60115"/>
    <w:rsid w:val="00C60B48"/>
    <w:rsid w:val="00C60FB8"/>
    <w:rsid w:val="00C60FE3"/>
    <w:rsid w:val="00C61014"/>
    <w:rsid w:val="00C6122C"/>
    <w:rsid w:val="00C615D8"/>
    <w:rsid w:val="00C61A4C"/>
    <w:rsid w:val="00C61AFA"/>
    <w:rsid w:val="00C61D64"/>
    <w:rsid w:val="00C62099"/>
    <w:rsid w:val="00C62495"/>
    <w:rsid w:val="00C6326B"/>
    <w:rsid w:val="00C63505"/>
    <w:rsid w:val="00C635AC"/>
    <w:rsid w:val="00C637AE"/>
    <w:rsid w:val="00C638C7"/>
    <w:rsid w:val="00C6471D"/>
    <w:rsid w:val="00C647AF"/>
    <w:rsid w:val="00C64EA3"/>
    <w:rsid w:val="00C6566D"/>
    <w:rsid w:val="00C6604A"/>
    <w:rsid w:val="00C663A0"/>
    <w:rsid w:val="00C665D7"/>
    <w:rsid w:val="00C666FD"/>
    <w:rsid w:val="00C66C65"/>
    <w:rsid w:val="00C70417"/>
    <w:rsid w:val="00C70703"/>
    <w:rsid w:val="00C70A62"/>
    <w:rsid w:val="00C70B41"/>
    <w:rsid w:val="00C70D0C"/>
    <w:rsid w:val="00C7114D"/>
    <w:rsid w:val="00C71B92"/>
    <w:rsid w:val="00C71CA0"/>
    <w:rsid w:val="00C7238D"/>
    <w:rsid w:val="00C7243F"/>
    <w:rsid w:val="00C72867"/>
    <w:rsid w:val="00C73174"/>
    <w:rsid w:val="00C73848"/>
    <w:rsid w:val="00C739C4"/>
    <w:rsid w:val="00C74174"/>
    <w:rsid w:val="00C74E87"/>
    <w:rsid w:val="00C7508D"/>
    <w:rsid w:val="00C754F9"/>
    <w:rsid w:val="00C75E81"/>
    <w:rsid w:val="00C75F52"/>
    <w:rsid w:val="00C762FD"/>
    <w:rsid w:val="00C7652F"/>
    <w:rsid w:val="00C769AF"/>
    <w:rsid w:val="00C776BE"/>
    <w:rsid w:val="00C77B18"/>
    <w:rsid w:val="00C77C0F"/>
    <w:rsid w:val="00C8011C"/>
    <w:rsid w:val="00C80865"/>
    <w:rsid w:val="00C81500"/>
    <w:rsid w:val="00C815DE"/>
    <w:rsid w:val="00C81B2B"/>
    <w:rsid w:val="00C85943"/>
    <w:rsid w:val="00C85E8A"/>
    <w:rsid w:val="00C86609"/>
    <w:rsid w:val="00C86F92"/>
    <w:rsid w:val="00C87392"/>
    <w:rsid w:val="00C87AA0"/>
    <w:rsid w:val="00C90534"/>
    <w:rsid w:val="00C905A9"/>
    <w:rsid w:val="00C909FC"/>
    <w:rsid w:val="00C9128F"/>
    <w:rsid w:val="00C91426"/>
    <w:rsid w:val="00C91EBD"/>
    <w:rsid w:val="00C91FA3"/>
    <w:rsid w:val="00C921B7"/>
    <w:rsid w:val="00C922F7"/>
    <w:rsid w:val="00C923F0"/>
    <w:rsid w:val="00C92B4C"/>
    <w:rsid w:val="00C93104"/>
    <w:rsid w:val="00C9337B"/>
    <w:rsid w:val="00C9358A"/>
    <w:rsid w:val="00C937F3"/>
    <w:rsid w:val="00C93A4A"/>
    <w:rsid w:val="00C93FA4"/>
    <w:rsid w:val="00C94A54"/>
    <w:rsid w:val="00C94CB5"/>
    <w:rsid w:val="00C951D2"/>
    <w:rsid w:val="00C954F6"/>
    <w:rsid w:val="00C95795"/>
    <w:rsid w:val="00C95A8C"/>
    <w:rsid w:val="00C95ACE"/>
    <w:rsid w:val="00C95CFC"/>
    <w:rsid w:val="00C95D30"/>
    <w:rsid w:val="00C95D5A"/>
    <w:rsid w:val="00C969BE"/>
    <w:rsid w:val="00C96BB5"/>
    <w:rsid w:val="00C96D6C"/>
    <w:rsid w:val="00C975BE"/>
    <w:rsid w:val="00C978C0"/>
    <w:rsid w:val="00C97D0C"/>
    <w:rsid w:val="00C97DCF"/>
    <w:rsid w:val="00C97ED6"/>
    <w:rsid w:val="00CA02C8"/>
    <w:rsid w:val="00CA047D"/>
    <w:rsid w:val="00CA0525"/>
    <w:rsid w:val="00CA0758"/>
    <w:rsid w:val="00CA0853"/>
    <w:rsid w:val="00CA0C57"/>
    <w:rsid w:val="00CA101A"/>
    <w:rsid w:val="00CA10D0"/>
    <w:rsid w:val="00CA1D13"/>
    <w:rsid w:val="00CA33BB"/>
    <w:rsid w:val="00CA3924"/>
    <w:rsid w:val="00CA437B"/>
    <w:rsid w:val="00CA45D5"/>
    <w:rsid w:val="00CA494E"/>
    <w:rsid w:val="00CA51A3"/>
    <w:rsid w:val="00CA572E"/>
    <w:rsid w:val="00CA590C"/>
    <w:rsid w:val="00CA5B0C"/>
    <w:rsid w:val="00CA5F88"/>
    <w:rsid w:val="00CA64B3"/>
    <w:rsid w:val="00CA6BBF"/>
    <w:rsid w:val="00CA6BC5"/>
    <w:rsid w:val="00CA7212"/>
    <w:rsid w:val="00CA7529"/>
    <w:rsid w:val="00CA776C"/>
    <w:rsid w:val="00CA7A50"/>
    <w:rsid w:val="00CA7CF9"/>
    <w:rsid w:val="00CA7E06"/>
    <w:rsid w:val="00CA7E7F"/>
    <w:rsid w:val="00CB0072"/>
    <w:rsid w:val="00CB014A"/>
    <w:rsid w:val="00CB0654"/>
    <w:rsid w:val="00CB0EEC"/>
    <w:rsid w:val="00CB0F5B"/>
    <w:rsid w:val="00CB10BD"/>
    <w:rsid w:val="00CB12D1"/>
    <w:rsid w:val="00CB150B"/>
    <w:rsid w:val="00CB1AB9"/>
    <w:rsid w:val="00CB20D6"/>
    <w:rsid w:val="00CB3E57"/>
    <w:rsid w:val="00CB4B2A"/>
    <w:rsid w:val="00CB5084"/>
    <w:rsid w:val="00CB544B"/>
    <w:rsid w:val="00CB569C"/>
    <w:rsid w:val="00CB5C59"/>
    <w:rsid w:val="00CB5D55"/>
    <w:rsid w:val="00CB6948"/>
    <w:rsid w:val="00CB6B65"/>
    <w:rsid w:val="00CB7055"/>
    <w:rsid w:val="00CB77B6"/>
    <w:rsid w:val="00CB7878"/>
    <w:rsid w:val="00CC127A"/>
    <w:rsid w:val="00CC1800"/>
    <w:rsid w:val="00CC1CCA"/>
    <w:rsid w:val="00CC1D33"/>
    <w:rsid w:val="00CC1EEC"/>
    <w:rsid w:val="00CC390C"/>
    <w:rsid w:val="00CC474F"/>
    <w:rsid w:val="00CC4985"/>
    <w:rsid w:val="00CC4CCC"/>
    <w:rsid w:val="00CC61CD"/>
    <w:rsid w:val="00CC73D2"/>
    <w:rsid w:val="00CD0BC4"/>
    <w:rsid w:val="00CD0D79"/>
    <w:rsid w:val="00CD0F2B"/>
    <w:rsid w:val="00CD116A"/>
    <w:rsid w:val="00CD11D7"/>
    <w:rsid w:val="00CD250E"/>
    <w:rsid w:val="00CD2DEB"/>
    <w:rsid w:val="00CD35D6"/>
    <w:rsid w:val="00CD384A"/>
    <w:rsid w:val="00CD38CE"/>
    <w:rsid w:val="00CD3DD1"/>
    <w:rsid w:val="00CD3E9B"/>
    <w:rsid w:val="00CD3ED4"/>
    <w:rsid w:val="00CD5011"/>
    <w:rsid w:val="00CD51BF"/>
    <w:rsid w:val="00CD54A4"/>
    <w:rsid w:val="00CD5F17"/>
    <w:rsid w:val="00CD5FBF"/>
    <w:rsid w:val="00CD63D9"/>
    <w:rsid w:val="00CD6544"/>
    <w:rsid w:val="00CD6C64"/>
    <w:rsid w:val="00CD70AF"/>
    <w:rsid w:val="00CD73BB"/>
    <w:rsid w:val="00CD77F2"/>
    <w:rsid w:val="00CD7C81"/>
    <w:rsid w:val="00CE0444"/>
    <w:rsid w:val="00CE10F8"/>
    <w:rsid w:val="00CE120B"/>
    <w:rsid w:val="00CE1563"/>
    <w:rsid w:val="00CE1BC1"/>
    <w:rsid w:val="00CE20BB"/>
    <w:rsid w:val="00CE2106"/>
    <w:rsid w:val="00CE237C"/>
    <w:rsid w:val="00CE247B"/>
    <w:rsid w:val="00CE2AC4"/>
    <w:rsid w:val="00CE33DF"/>
    <w:rsid w:val="00CE398C"/>
    <w:rsid w:val="00CE4026"/>
    <w:rsid w:val="00CE40B5"/>
    <w:rsid w:val="00CE4781"/>
    <w:rsid w:val="00CE48A7"/>
    <w:rsid w:val="00CE53EC"/>
    <w:rsid w:val="00CE5998"/>
    <w:rsid w:val="00CE59CF"/>
    <w:rsid w:val="00CE640F"/>
    <w:rsid w:val="00CE6ABD"/>
    <w:rsid w:val="00CE6B18"/>
    <w:rsid w:val="00CE7189"/>
    <w:rsid w:val="00CE76BC"/>
    <w:rsid w:val="00CE7DF5"/>
    <w:rsid w:val="00CF0555"/>
    <w:rsid w:val="00CF08A0"/>
    <w:rsid w:val="00CF0B01"/>
    <w:rsid w:val="00CF10A0"/>
    <w:rsid w:val="00CF16DF"/>
    <w:rsid w:val="00CF1770"/>
    <w:rsid w:val="00CF1CCB"/>
    <w:rsid w:val="00CF237E"/>
    <w:rsid w:val="00CF2600"/>
    <w:rsid w:val="00CF3298"/>
    <w:rsid w:val="00CF3416"/>
    <w:rsid w:val="00CF3E37"/>
    <w:rsid w:val="00CF41DC"/>
    <w:rsid w:val="00CF4388"/>
    <w:rsid w:val="00CF4568"/>
    <w:rsid w:val="00CF492C"/>
    <w:rsid w:val="00CF5092"/>
    <w:rsid w:val="00CF5270"/>
    <w:rsid w:val="00CF540E"/>
    <w:rsid w:val="00CF5586"/>
    <w:rsid w:val="00CF5715"/>
    <w:rsid w:val="00CF57EB"/>
    <w:rsid w:val="00CF6083"/>
    <w:rsid w:val="00CF64BB"/>
    <w:rsid w:val="00CF6B4C"/>
    <w:rsid w:val="00CF6CA9"/>
    <w:rsid w:val="00CF6FEE"/>
    <w:rsid w:val="00CF7004"/>
    <w:rsid w:val="00CF78DA"/>
    <w:rsid w:val="00D00D30"/>
    <w:rsid w:val="00D00EDE"/>
    <w:rsid w:val="00D01542"/>
    <w:rsid w:val="00D02A68"/>
    <w:rsid w:val="00D02D7D"/>
    <w:rsid w:val="00D02F07"/>
    <w:rsid w:val="00D03733"/>
    <w:rsid w:val="00D0377D"/>
    <w:rsid w:val="00D03997"/>
    <w:rsid w:val="00D04398"/>
    <w:rsid w:val="00D0494B"/>
    <w:rsid w:val="00D052B6"/>
    <w:rsid w:val="00D05458"/>
    <w:rsid w:val="00D05A7A"/>
    <w:rsid w:val="00D05C29"/>
    <w:rsid w:val="00D05F6A"/>
    <w:rsid w:val="00D067C7"/>
    <w:rsid w:val="00D069D7"/>
    <w:rsid w:val="00D07D59"/>
    <w:rsid w:val="00D10049"/>
    <w:rsid w:val="00D1033B"/>
    <w:rsid w:val="00D10A49"/>
    <w:rsid w:val="00D1113E"/>
    <w:rsid w:val="00D111FA"/>
    <w:rsid w:val="00D11727"/>
    <w:rsid w:val="00D1213D"/>
    <w:rsid w:val="00D1227A"/>
    <w:rsid w:val="00D12F2C"/>
    <w:rsid w:val="00D1347F"/>
    <w:rsid w:val="00D135C4"/>
    <w:rsid w:val="00D14452"/>
    <w:rsid w:val="00D146FA"/>
    <w:rsid w:val="00D15637"/>
    <w:rsid w:val="00D15CAB"/>
    <w:rsid w:val="00D16407"/>
    <w:rsid w:val="00D17235"/>
    <w:rsid w:val="00D17D4D"/>
    <w:rsid w:val="00D20B19"/>
    <w:rsid w:val="00D20BA5"/>
    <w:rsid w:val="00D20CA8"/>
    <w:rsid w:val="00D21378"/>
    <w:rsid w:val="00D21865"/>
    <w:rsid w:val="00D221B5"/>
    <w:rsid w:val="00D22327"/>
    <w:rsid w:val="00D224CE"/>
    <w:rsid w:val="00D224E0"/>
    <w:rsid w:val="00D2297A"/>
    <w:rsid w:val="00D23346"/>
    <w:rsid w:val="00D236D0"/>
    <w:rsid w:val="00D23F9C"/>
    <w:rsid w:val="00D24214"/>
    <w:rsid w:val="00D2423F"/>
    <w:rsid w:val="00D245D3"/>
    <w:rsid w:val="00D250DC"/>
    <w:rsid w:val="00D25157"/>
    <w:rsid w:val="00D25514"/>
    <w:rsid w:val="00D258EA"/>
    <w:rsid w:val="00D266D3"/>
    <w:rsid w:val="00D26E06"/>
    <w:rsid w:val="00D27EB4"/>
    <w:rsid w:val="00D27EBE"/>
    <w:rsid w:val="00D27EFA"/>
    <w:rsid w:val="00D30746"/>
    <w:rsid w:val="00D30783"/>
    <w:rsid w:val="00D30C9F"/>
    <w:rsid w:val="00D31531"/>
    <w:rsid w:val="00D31D43"/>
    <w:rsid w:val="00D32034"/>
    <w:rsid w:val="00D32752"/>
    <w:rsid w:val="00D32B01"/>
    <w:rsid w:val="00D335D7"/>
    <w:rsid w:val="00D33B6B"/>
    <w:rsid w:val="00D33CC7"/>
    <w:rsid w:val="00D3542C"/>
    <w:rsid w:val="00D35644"/>
    <w:rsid w:val="00D35828"/>
    <w:rsid w:val="00D35B13"/>
    <w:rsid w:val="00D35B58"/>
    <w:rsid w:val="00D36378"/>
    <w:rsid w:val="00D36972"/>
    <w:rsid w:val="00D36A49"/>
    <w:rsid w:val="00D36C57"/>
    <w:rsid w:val="00D37267"/>
    <w:rsid w:val="00D37A11"/>
    <w:rsid w:val="00D37D13"/>
    <w:rsid w:val="00D40696"/>
    <w:rsid w:val="00D4171F"/>
    <w:rsid w:val="00D4233A"/>
    <w:rsid w:val="00D4258A"/>
    <w:rsid w:val="00D429EE"/>
    <w:rsid w:val="00D42BBF"/>
    <w:rsid w:val="00D42CDE"/>
    <w:rsid w:val="00D43478"/>
    <w:rsid w:val="00D438B7"/>
    <w:rsid w:val="00D43FA1"/>
    <w:rsid w:val="00D44098"/>
    <w:rsid w:val="00D4478C"/>
    <w:rsid w:val="00D44FB9"/>
    <w:rsid w:val="00D466F3"/>
    <w:rsid w:val="00D467F5"/>
    <w:rsid w:val="00D46B7F"/>
    <w:rsid w:val="00D47CF2"/>
    <w:rsid w:val="00D47F0E"/>
    <w:rsid w:val="00D5022F"/>
    <w:rsid w:val="00D50675"/>
    <w:rsid w:val="00D506FA"/>
    <w:rsid w:val="00D5072A"/>
    <w:rsid w:val="00D50D46"/>
    <w:rsid w:val="00D5126B"/>
    <w:rsid w:val="00D517C6"/>
    <w:rsid w:val="00D52DFB"/>
    <w:rsid w:val="00D53391"/>
    <w:rsid w:val="00D54478"/>
    <w:rsid w:val="00D5497E"/>
    <w:rsid w:val="00D54AF2"/>
    <w:rsid w:val="00D54D98"/>
    <w:rsid w:val="00D559B3"/>
    <w:rsid w:val="00D55AAF"/>
    <w:rsid w:val="00D55B87"/>
    <w:rsid w:val="00D60D29"/>
    <w:rsid w:val="00D61439"/>
    <w:rsid w:val="00D6167C"/>
    <w:rsid w:val="00D61FEE"/>
    <w:rsid w:val="00D62361"/>
    <w:rsid w:val="00D6275B"/>
    <w:rsid w:val="00D6291C"/>
    <w:rsid w:val="00D62A7F"/>
    <w:rsid w:val="00D636D4"/>
    <w:rsid w:val="00D63AE7"/>
    <w:rsid w:val="00D63EEA"/>
    <w:rsid w:val="00D64124"/>
    <w:rsid w:val="00D64806"/>
    <w:rsid w:val="00D650F1"/>
    <w:rsid w:val="00D6537C"/>
    <w:rsid w:val="00D6576F"/>
    <w:rsid w:val="00D65BA1"/>
    <w:rsid w:val="00D66638"/>
    <w:rsid w:val="00D667B1"/>
    <w:rsid w:val="00D6698A"/>
    <w:rsid w:val="00D670DC"/>
    <w:rsid w:val="00D67107"/>
    <w:rsid w:val="00D67F25"/>
    <w:rsid w:val="00D701D3"/>
    <w:rsid w:val="00D7067E"/>
    <w:rsid w:val="00D70BF1"/>
    <w:rsid w:val="00D70DAC"/>
    <w:rsid w:val="00D70F03"/>
    <w:rsid w:val="00D710E8"/>
    <w:rsid w:val="00D718DC"/>
    <w:rsid w:val="00D71D84"/>
    <w:rsid w:val="00D71E49"/>
    <w:rsid w:val="00D72464"/>
    <w:rsid w:val="00D72A9E"/>
    <w:rsid w:val="00D732A7"/>
    <w:rsid w:val="00D73DD0"/>
    <w:rsid w:val="00D73F3E"/>
    <w:rsid w:val="00D746C7"/>
    <w:rsid w:val="00D753FF"/>
    <w:rsid w:val="00D757E1"/>
    <w:rsid w:val="00D75B83"/>
    <w:rsid w:val="00D76759"/>
    <w:rsid w:val="00D768EB"/>
    <w:rsid w:val="00D76C22"/>
    <w:rsid w:val="00D770B8"/>
    <w:rsid w:val="00D774BF"/>
    <w:rsid w:val="00D7794A"/>
    <w:rsid w:val="00D77E4F"/>
    <w:rsid w:val="00D80178"/>
    <w:rsid w:val="00D803B0"/>
    <w:rsid w:val="00D812B6"/>
    <w:rsid w:val="00D8162E"/>
    <w:rsid w:val="00D81631"/>
    <w:rsid w:val="00D81633"/>
    <w:rsid w:val="00D82084"/>
    <w:rsid w:val="00D8243D"/>
    <w:rsid w:val="00D825D6"/>
    <w:rsid w:val="00D82D1E"/>
    <w:rsid w:val="00D83215"/>
    <w:rsid w:val="00D8325B"/>
    <w:rsid w:val="00D832D9"/>
    <w:rsid w:val="00D8376D"/>
    <w:rsid w:val="00D838B3"/>
    <w:rsid w:val="00D85214"/>
    <w:rsid w:val="00D85B50"/>
    <w:rsid w:val="00D85C99"/>
    <w:rsid w:val="00D86E07"/>
    <w:rsid w:val="00D8724A"/>
    <w:rsid w:val="00D90339"/>
    <w:rsid w:val="00D904B8"/>
    <w:rsid w:val="00D90F00"/>
    <w:rsid w:val="00D9179C"/>
    <w:rsid w:val="00D91C6C"/>
    <w:rsid w:val="00D91DC3"/>
    <w:rsid w:val="00D92279"/>
    <w:rsid w:val="00D9289D"/>
    <w:rsid w:val="00D93526"/>
    <w:rsid w:val="00D938FB"/>
    <w:rsid w:val="00D93D22"/>
    <w:rsid w:val="00D93EC9"/>
    <w:rsid w:val="00D93FF2"/>
    <w:rsid w:val="00D940A3"/>
    <w:rsid w:val="00D944CA"/>
    <w:rsid w:val="00D94F6B"/>
    <w:rsid w:val="00D952AE"/>
    <w:rsid w:val="00D95589"/>
    <w:rsid w:val="00D957C4"/>
    <w:rsid w:val="00D95DD2"/>
    <w:rsid w:val="00D9635E"/>
    <w:rsid w:val="00D975C0"/>
    <w:rsid w:val="00D97870"/>
    <w:rsid w:val="00D97AE2"/>
    <w:rsid w:val="00D97AF8"/>
    <w:rsid w:val="00DA01D7"/>
    <w:rsid w:val="00DA0FDD"/>
    <w:rsid w:val="00DA1323"/>
    <w:rsid w:val="00DA17A4"/>
    <w:rsid w:val="00DA2461"/>
    <w:rsid w:val="00DA2A82"/>
    <w:rsid w:val="00DA39B9"/>
    <w:rsid w:val="00DA449C"/>
    <w:rsid w:val="00DA4B8A"/>
    <w:rsid w:val="00DA5285"/>
    <w:rsid w:val="00DA5336"/>
    <w:rsid w:val="00DA5BF3"/>
    <w:rsid w:val="00DA5D80"/>
    <w:rsid w:val="00DA5F22"/>
    <w:rsid w:val="00DA5F54"/>
    <w:rsid w:val="00DA6803"/>
    <w:rsid w:val="00DA744E"/>
    <w:rsid w:val="00DA7572"/>
    <w:rsid w:val="00DA7934"/>
    <w:rsid w:val="00DB0231"/>
    <w:rsid w:val="00DB0493"/>
    <w:rsid w:val="00DB129E"/>
    <w:rsid w:val="00DB14C1"/>
    <w:rsid w:val="00DB191D"/>
    <w:rsid w:val="00DB1DB9"/>
    <w:rsid w:val="00DB285B"/>
    <w:rsid w:val="00DB2B10"/>
    <w:rsid w:val="00DB3165"/>
    <w:rsid w:val="00DB4F91"/>
    <w:rsid w:val="00DB693D"/>
    <w:rsid w:val="00DB6EA8"/>
    <w:rsid w:val="00DB79CB"/>
    <w:rsid w:val="00DC020D"/>
    <w:rsid w:val="00DC05A7"/>
    <w:rsid w:val="00DC070B"/>
    <w:rsid w:val="00DC099E"/>
    <w:rsid w:val="00DC183F"/>
    <w:rsid w:val="00DC1EF7"/>
    <w:rsid w:val="00DC1F07"/>
    <w:rsid w:val="00DC1F0F"/>
    <w:rsid w:val="00DC2C79"/>
    <w:rsid w:val="00DC2DE5"/>
    <w:rsid w:val="00DC3117"/>
    <w:rsid w:val="00DC3140"/>
    <w:rsid w:val="00DC3267"/>
    <w:rsid w:val="00DC3857"/>
    <w:rsid w:val="00DC3AB1"/>
    <w:rsid w:val="00DC3F86"/>
    <w:rsid w:val="00DC4646"/>
    <w:rsid w:val="00DC4EC3"/>
    <w:rsid w:val="00DC4FFC"/>
    <w:rsid w:val="00DC53ED"/>
    <w:rsid w:val="00DC579D"/>
    <w:rsid w:val="00DC5C59"/>
    <w:rsid w:val="00DC5DD9"/>
    <w:rsid w:val="00DC6260"/>
    <w:rsid w:val="00DC6D2D"/>
    <w:rsid w:val="00DC7346"/>
    <w:rsid w:val="00DC782B"/>
    <w:rsid w:val="00DD0BFB"/>
    <w:rsid w:val="00DD11C5"/>
    <w:rsid w:val="00DD13CC"/>
    <w:rsid w:val="00DD15E2"/>
    <w:rsid w:val="00DD1651"/>
    <w:rsid w:val="00DD27A8"/>
    <w:rsid w:val="00DD2A69"/>
    <w:rsid w:val="00DD362D"/>
    <w:rsid w:val="00DD4718"/>
    <w:rsid w:val="00DD4B88"/>
    <w:rsid w:val="00DD4F1A"/>
    <w:rsid w:val="00DD553A"/>
    <w:rsid w:val="00DD5B5A"/>
    <w:rsid w:val="00DD62ED"/>
    <w:rsid w:val="00DD64C1"/>
    <w:rsid w:val="00DD64C2"/>
    <w:rsid w:val="00DD7D0E"/>
    <w:rsid w:val="00DE0075"/>
    <w:rsid w:val="00DE00B4"/>
    <w:rsid w:val="00DE0238"/>
    <w:rsid w:val="00DE03E5"/>
    <w:rsid w:val="00DE08DD"/>
    <w:rsid w:val="00DE0F9C"/>
    <w:rsid w:val="00DE1232"/>
    <w:rsid w:val="00DE3105"/>
    <w:rsid w:val="00DE32FC"/>
    <w:rsid w:val="00DE33B5"/>
    <w:rsid w:val="00DE3434"/>
    <w:rsid w:val="00DE3996"/>
    <w:rsid w:val="00DE39A2"/>
    <w:rsid w:val="00DE4324"/>
    <w:rsid w:val="00DE4780"/>
    <w:rsid w:val="00DE4DE4"/>
    <w:rsid w:val="00DE5795"/>
    <w:rsid w:val="00DE5ACE"/>
    <w:rsid w:val="00DE5CBE"/>
    <w:rsid w:val="00DE5CD5"/>
    <w:rsid w:val="00DE5E18"/>
    <w:rsid w:val="00DE606E"/>
    <w:rsid w:val="00DE6BCA"/>
    <w:rsid w:val="00DE6E01"/>
    <w:rsid w:val="00DE6E1C"/>
    <w:rsid w:val="00DE7668"/>
    <w:rsid w:val="00DE7CAB"/>
    <w:rsid w:val="00DF0487"/>
    <w:rsid w:val="00DF2CB0"/>
    <w:rsid w:val="00DF3B66"/>
    <w:rsid w:val="00DF3D50"/>
    <w:rsid w:val="00DF3FB2"/>
    <w:rsid w:val="00DF4761"/>
    <w:rsid w:val="00DF4B69"/>
    <w:rsid w:val="00DF4ECC"/>
    <w:rsid w:val="00DF5802"/>
    <w:rsid w:val="00DF5CCF"/>
    <w:rsid w:val="00DF5EA4"/>
    <w:rsid w:val="00DF6712"/>
    <w:rsid w:val="00DF74A3"/>
    <w:rsid w:val="00DF7721"/>
    <w:rsid w:val="00DF7AA5"/>
    <w:rsid w:val="00DF7D96"/>
    <w:rsid w:val="00E00112"/>
    <w:rsid w:val="00E00131"/>
    <w:rsid w:val="00E00EC4"/>
    <w:rsid w:val="00E01262"/>
    <w:rsid w:val="00E01B0C"/>
    <w:rsid w:val="00E01D61"/>
    <w:rsid w:val="00E01DC6"/>
    <w:rsid w:val="00E01EAD"/>
    <w:rsid w:val="00E01FA7"/>
    <w:rsid w:val="00E02380"/>
    <w:rsid w:val="00E02681"/>
    <w:rsid w:val="00E02792"/>
    <w:rsid w:val="00E03196"/>
    <w:rsid w:val="00E034D8"/>
    <w:rsid w:val="00E03C32"/>
    <w:rsid w:val="00E048FE"/>
    <w:rsid w:val="00E04CC0"/>
    <w:rsid w:val="00E0507B"/>
    <w:rsid w:val="00E05863"/>
    <w:rsid w:val="00E0591D"/>
    <w:rsid w:val="00E0623B"/>
    <w:rsid w:val="00E06337"/>
    <w:rsid w:val="00E06833"/>
    <w:rsid w:val="00E069B4"/>
    <w:rsid w:val="00E06B0B"/>
    <w:rsid w:val="00E06F6E"/>
    <w:rsid w:val="00E07326"/>
    <w:rsid w:val="00E07D7B"/>
    <w:rsid w:val="00E1093A"/>
    <w:rsid w:val="00E1177E"/>
    <w:rsid w:val="00E11A98"/>
    <w:rsid w:val="00E11F0F"/>
    <w:rsid w:val="00E12B24"/>
    <w:rsid w:val="00E12C0C"/>
    <w:rsid w:val="00E12D0E"/>
    <w:rsid w:val="00E12DB9"/>
    <w:rsid w:val="00E132C7"/>
    <w:rsid w:val="00E135A7"/>
    <w:rsid w:val="00E137F6"/>
    <w:rsid w:val="00E1448A"/>
    <w:rsid w:val="00E14EE4"/>
    <w:rsid w:val="00E14F23"/>
    <w:rsid w:val="00E153FB"/>
    <w:rsid w:val="00E1554A"/>
    <w:rsid w:val="00E155EF"/>
    <w:rsid w:val="00E15816"/>
    <w:rsid w:val="00E15A76"/>
    <w:rsid w:val="00E15E7E"/>
    <w:rsid w:val="00E1609D"/>
    <w:rsid w:val="00E160D5"/>
    <w:rsid w:val="00E16C71"/>
    <w:rsid w:val="00E17230"/>
    <w:rsid w:val="00E17D1C"/>
    <w:rsid w:val="00E20851"/>
    <w:rsid w:val="00E20E00"/>
    <w:rsid w:val="00E21A98"/>
    <w:rsid w:val="00E22BCE"/>
    <w:rsid w:val="00E22C5D"/>
    <w:rsid w:val="00E2317C"/>
    <w:rsid w:val="00E239FF"/>
    <w:rsid w:val="00E245F0"/>
    <w:rsid w:val="00E24FF2"/>
    <w:rsid w:val="00E2519A"/>
    <w:rsid w:val="00E25D54"/>
    <w:rsid w:val="00E2732D"/>
    <w:rsid w:val="00E27472"/>
    <w:rsid w:val="00E27583"/>
    <w:rsid w:val="00E276E2"/>
    <w:rsid w:val="00E27D7B"/>
    <w:rsid w:val="00E27F7E"/>
    <w:rsid w:val="00E30250"/>
    <w:rsid w:val="00E30556"/>
    <w:rsid w:val="00E3055C"/>
    <w:rsid w:val="00E30572"/>
    <w:rsid w:val="00E30981"/>
    <w:rsid w:val="00E312B7"/>
    <w:rsid w:val="00E3178A"/>
    <w:rsid w:val="00E32871"/>
    <w:rsid w:val="00E32E4C"/>
    <w:rsid w:val="00E33002"/>
    <w:rsid w:val="00E33136"/>
    <w:rsid w:val="00E33541"/>
    <w:rsid w:val="00E341A8"/>
    <w:rsid w:val="00E34D7C"/>
    <w:rsid w:val="00E34F30"/>
    <w:rsid w:val="00E35D5B"/>
    <w:rsid w:val="00E35DB2"/>
    <w:rsid w:val="00E35DE9"/>
    <w:rsid w:val="00E360FB"/>
    <w:rsid w:val="00E36106"/>
    <w:rsid w:val="00E36630"/>
    <w:rsid w:val="00E3678F"/>
    <w:rsid w:val="00E369D2"/>
    <w:rsid w:val="00E36A8E"/>
    <w:rsid w:val="00E36C7E"/>
    <w:rsid w:val="00E36E32"/>
    <w:rsid w:val="00E3723D"/>
    <w:rsid w:val="00E37508"/>
    <w:rsid w:val="00E37A42"/>
    <w:rsid w:val="00E37C84"/>
    <w:rsid w:val="00E37E64"/>
    <w:rsid w:val="00E37E7C"/>
    <w:rsid w:val="00E408EC"/>
    <w:rsid w:val="00E40DFF"/>
    <w:rsid w:val="00E40F38"/>
    <w:rsid w:val="00E4142F"/>
    <w:rsid w:val="00E41D49"/>
    <w:rsid w:val="00E427C3"/>
    <w:rsid w:val="00E42FDE"/>
    <w:rsid w:val="00E4303E"/>
    <w:rsid w:val="00E43583"/>
    <w:rsid w:val="00E435F3"/>
    <w:rsid w:val="00E44062"/>
    <w:rsid w:val="00E44652"/>
    <w:rsid w:val="00E44AD0"/>
    <w:rsid w:val="00E44C89"/>
    <w:rsid w:val="00E45453"/>
    <w:rsid w:val="00E454EE"/>
    <w:rsid w:val="00E45536"/>
    <w:rsid w:val="00E45644"/>
    <w:rsid w:val="00E45807"/>
    <w:rsid w:val="00E45CAB"/>
    <w:rsid w:val="00E45D20"/>
    <w:rsid w:val="00E4794D"/>
    <w:rsid w:val="00E479CA"/>
    <w:rsid w:val="00E5255E"/>
    <w:rsid w:val="00E526AB"/>
    <w:rsid w:val="00E536F6"/>
    <w:rsid w:val="00E54F9A"/>
    <w:rsid w:val="00E560F7"/>
    <w:rsid w:val="00E56778"/>
    <w:rsid w:val="00E56F31"/>
    <w:rsid w:val="00E56F6C"/>
    <w:rsid w:val="00E576D7"/>
    <w:rsid w:val="00E60E5B"/>
    <w:rsid w:val="00E60E9B"/>
    <w:rsid w:val="00E61BA2"/>
    <w:rsid w:val="00E62365"/>
    <w:rsid w:val="00E626AC"/>
    <w:rsid w:val="00E62976"/>
    <w:rsid w:val="00E62AFD"/>
    <w:rsid w:val="00E62C06"/>
    <w:rsid w:val="00E62F21"/>
    <w:rsid w:val="00E62FBF"/>
    <w:rsid w:val="00E633CF"/>
    <w:rsid w:val="00E63586"/>
    <w:rsid w:val="00E6360E"/>
    <w:rsid w:val="00E63864"/>
    <w:rsid w:val="00E63B8C"/>
    <w:rsid w:val="00E6403F"/>
    <w:rsid w:val="00E64725"/>
    <w:rsid w:val="00E64B3B"/>
    <w:rsid w:val="00E64F1C"/>
    <w:rsid w:val="00E650AD"/>
    <w:rsid w:val="00E65925"/>
    <w:rsid w:val="00E65AF0"/>
    <w:rsid w:val="00E65EF4"/>
    <w:rsid w:val="00E6647F"/>
    <w:rsid w:val="00E670E5"/>
    <w:rsid w:val="00E676B3"/>
    <w:rsid w:val="00E67F0B"/>
    <w:rsid w:val="00E70DDE"/>
    <w:rsid w:val="00E70E16"/>
    <w:rsid w:val="00E7193E"/>
    <w:rsid w:val="00E72A82"/>
    <w:rsid w:val="00E72E05"/>
    <w:rsid w:val="00E73391"/>
    <w:rsid w:val="00E73854"/>
    <w:rsid w:val="00E74273"/>
    <w:rsid w:val="00E753CE"/>
    <w:rsid w:val="00E758BC"/>
    <w:rsid w:val="00E7612F"/>
    <w:rsid w:val="00E7652A"/>
    <w:rsid w:val="00E77077"/>
    <w:rsid w:val="00E770C4"/>
    <w:rsid w:val="00E771DE"/>
    <w:rsid w:val="00E772C7"/>
    <w:rsid w:val="00E77310"/>
    <w:rsid w:val="00E77869"/>
    <w:rsid w:val="00E77ACA"/>
    <w:rsid w:val="00E77DEE"/>
    <w:rsid w:val="00E77E0B"/>
    <w:rsid w:val="00E81499"/>
    <w:rsid w:val="00E81898"/>
    <w:rsid w:val="00E81DB9"/>
    <w:rsid w:val="00E82B19"/>
    <w:rsid w:val="00E82F98"/>
    <w:rsid w:val="00E83116"/>
    <w:rsid w:val="00E83762"/>
    <w:rsid w:val="00E83E53"/>
    <w:rsid w:val="00E84A8A"/>
    <w:rsid w:val="00E84C5A"/>
    <w:rsid w:val="00E85268"/>
    <w:rsid w:val="00E85294"/>
    <w:rsid w:val="00E85939"/>
    <w:rsid w:val="00E85BA5"/>
    <w:rsid w:val="00E85C7D"/>
    <w:rsid w:val="00E861DB"/>
    <w:rsid w:val="00E86454"/>
    <w:rsid w:val="00E86951"/>
    <w:rsid w:val="00E90491"/>
    <w:rsid w:val="00E905F7"/>
    <w:rsid w:val="00E90696"/>
    <w:rsid w:val="00E90A3C"/>
    <w:rsid w:val="00E90AEF"/>
    <w:rsid w:val="00E90FA2"/>
    <w:rsid w:val="00E9158B"/>
    <w:rsid w:val="00E91796"/>
    <w:rsid w:val="00E917D5"/>
    <w:rsid w:val="00E918C8"/>
    <w:rsid w:val="00E924DE"/>
    <w:rsid w:val="00E92557"/>
    <w:rsid w:val="00E929F9"/>
    <w:rsid w:val="00E92B1B"/>
    <w:rsid w:val="00E92D94"/>
    <w:rsid w:val="00E93406"/>
    <w:rsid w:val="00E93519"/>
    <w:rsid w:val="00E93C31"/>
    <w:rsid w:val="00E94333"/>
    <w:rsid w:val="00E943A7"/>
    <w:rsid w:val="00E956C5"/>
    <w:rsid w:val="00E95C39"/>
    <w:rsid w:val="00E962C6"/>
    <w:rsid w:val="00E965FD"/>
    <w:rsid w:val="00E96684"/>
    <w:rsid w:val="00E967A5"/>
    <w:rsid w:val="00E97AB0"/>
    <w:rsid w:val="00E97BB3"/>
    <w:rsid w:val="00E97DB1"/>
    <w:rsid w:val="00EA023D"/>
    <w:rsid w:val="00EA024D"/>
    <w:rsid w:val="00EA0280"/>
    <w:rsid w:val="00EA03FF"/>
    <w:rsid w:val="00EA0549"/>
    <w:rsid w:val="00EA0608"/>
    <w:rsid w:val="00EA0905"/>
    <w:rsid w:val="00EA113A"/>
    <w:rsid w:val="00EA125F"/>
    <w:rsid w:val="00EA141C"/>
    <w:rsid w:val="00EA148F"/>
    <w:rsid w:val="00EA1696"/>
    <w:rsid w:val="00EA188F"/>
    <w:rsid w:val="00EA192E"/>
    <w:rsid w:val="00EA1B21"/>
    <w:rsid w:val="00EA2805"/>
    <w:rsid w:val="00EA29A6"/>
    <w:rsid w:val="00EA2BAA"/>
    <w:rsid w:val="00EA2C39"/>
    <w:rsid w:val="00EA36F5"/>
    <w:rsid w:val="00EA3EBC"/>
    <w:rsid w:val="00EA4FD6"/>
    <w:rsid w:val="00EA52D0"/>
    <w:rsid w:val="00EA59D4"/>
    <w:rsid w:val="00EA74DD"/>
    <w:rsid w:val="00EA78D4"/>
    <w:rsid w:val="00EA7C19"/>
    <w:rsid w:val="00EB07D3"/>
    <w:rsid w:val="00EB0A3C"/>
    <w:rsid w:val="00EB0A96"/>
    <w:rsid w:val="00EB0B16"/>
    <w:rsid w:val="00EB0BEC"/>
    <w:rsid w:val="00EB10ED"/>
    <w:rsid w:val="00EB12E7"/>
    <w:rsid w:val="00EB1D20"/>
    <w:rsid w:val="00EB1E51"/>
    <w:rsid w:val="00EB238E"/>
    <w:rsid w:val="00EB279F"/>
    <w:rsid w:val="00EB2BE9"/>
    <w:rsid w:val="00EB3282"/>
    <w:rsid w:val="00EB3673"/>
    <w:rsid w:val="00EB3AB9"/>
    <w:rsid w:val="00EB3D43"/>
    <w:rsid w:val="00EB3D79"/>
    <w:rsid w:val="00EB3EC7"/>
    <w:rsid w:val="00EB4062"/>
    <w:rsid w:val="00EB426A"/>
    <w:rsid w:val="00EB4B5B"/>
    <w:rsid w:val="00EB5750"/>
    <w:rsid w:val="00EB5AFA"/>
    <w:rsid w:val="00EB5EE2"/>
    <w:rsid w:val="00EB63E9"/>
    <w:rsid w:val="00EB6525"/>
    <w:rsid w:val="00EB69E5"/>
    <w:rsid w:val="00EB7406"/>
    <w:rsid w:val="00EB77F9"/>
    <w:rsid w:val="00EB7ED1"/>
    <w:rsid w:val="00EC0824"/>
    <w:rsid w:val="00EC0892"/>
    <w:rsid w:val="00EC0C2F"/>
    <w:rsid w:val="00EC0EB4"/>
    <w:rsid w:val="00EC192B"/>
    <w:rsid w:val="00EC1BA3"/>
    <w:rsid w:val="00EC2B02"/>
    <w:rsid w:val="00EC2F8D"/>
    <w:rsid w:val="00EC37D5"/>
    <w:rsid w:val="00EC3B58"/>
    <w:rsid w:val="00EC3B6C"/>
    <w:rsid w:val="00EC3BDB"/>
    <w:rsid w:val="00EC4C71"/>
    <w:rsid w:val="00EC530F"/>
    <w:rsid w:val="00EC562A"/>
    <w:rsid w:val="00EC5769"/>
    <w:rsid w:val="00EC5F12"/>
    <w:rsid w:val="00EC60F7"/>
    <w:rsid w:val="00EC6348"/>
    <w:rsid w:val="00EC698A"/>
    <w:rsid w:val="00EC6FF3"/>
    <w:rsid w:val="00EC7D00"/>
    <w:rsid w:val="00ED0304"/>
    <w:rsid w:val="00ED0551"/>
    <w:rsid w:val="00ED0597"/>
    <w:rsid w:val="00ED087C"/>
    <w:rsid w:val="00ED0F76"/>
    <w:rsid w:val="00ED0FA5"/>
    <w:rsid w:val="00ED0FB7"/>
    <w:rsid w:val="00ED1256"/>
    <w:rsid w:val="00ED15A0"/>
    <w:rsid w:val="00ED20BA"/>
    <w:rsid w:val="00ED24E0"/>
    <w:rsid w:val="00ED2BB1"/>
    <w:rsid w:val="00ED2C7B"/>
    <w:rsid w:val="00ED3444"/>
    <w:rsid w:val="00ED355E"/>
    <w:rsid w:val="00ED36E9"/>
    <w:rsid w:val="00ED4BC3"/>
    <w:rsid w:val="00ED500D"/>
    <w:rsid w:val="00ED58C1"/>
    <w:rsid w:val="00ED6446"/>
    <w:rsid w:val="00ED754B"/>
    <w:rsid w:val="00ED78C0"/>
    <w:rsid w:val="00ED7BFC"/>
    <w:rsid w:val="00EE0672"/>
    <w:rsid w:val="00EE0B10"/>
    <w:rsid w:val="00EE1482"/>
    <w:rsid w:val="00EE2213"/>
    <w:rsid w:val="00EE29F6"/>
    <w:rsid w:val="00EE2C4A"/>
    <w:rsid w:val="00EE2F33"/>
    <w:rsid w:val="00EE352A"/>
    <w:rsid w:val="00EE360A"/>
    <w:rsid w:val="00EE38FA"/>
    <w:rsid w:val="00EE3A82"/>
    <w:rsid w:val="00EE3E2C"/>
    <w:rsid w:val="00EE3EAD"/>
    <w:rsid w:val="00EE409A"/>
    <w:rsid w:val="00EE466C"/>
    <w:rsid w:val="00EE472E"/>
    <w:rsid w:val="00EE4D46"/>
    <w:rsid w:val="00EE5327"/>
    <w:rsid w:val="00EE5BED"/>
    <w:rsid w:val="00EE5D23"/>
    <w:rsid w:val="00EE5DAD"/>
    <w:rsid w:val="00EE5F0F"/>
    <w:rsid w:val="00EE6359"/>
    <w:rsid w:val="00EE6369"/>
    <w:rsid w:val="00EE6BD5"/>
    <w:rsid w:val="00EE750D"/>
    <w:rsid w:val="00EE7BDA"/>
    <w:rsid w:val="00EF021A"/>
    <w:rsid w:val="00EF0E0D"/>
    <w:rsid w:val="00EF0E15"/>
    <w:rsid w:val="00EF1FF3"/>
    <w:rsid w:val="00EF2C97"/>
    <w:rsid w:val="00EF2FFA"/>
    <w:rsid w:val="00EF31FA"/>
    <w:rsid w:val="00EF3643"/>
    <w:rsid w:val="00EF3CA4"/>
    <w:rsid w:val="00EF5048"/>
    <w:rsid w:val="00EF5E1B"/>
    <w:rsid w:val="00EF5E1F"/>
    <w:rsid w:val="00EF6FA3"/>
    <w:rsid w:val="00EF753D"/>
    <w:rsid w:val="00EF77B2"/>
    <w:rsid w:val="00EF7859"/>
    <w:rsid w:val="00EF7DFD"/>
    <w:rsid w:val="00F00B53"/>
    <w:rsid w:val="00F00B6D"/>
    <w:rsid w:val="00F00C44"/>
    <w:rsid w:val="00F014DA"/>
    <w:rsid w:val="00F0256B"/>
    <w:rsid w:val="00F02591"/>
    <w:rsid w:val="00F0281D"/>
    <w:rsid w:val="00F03223"/>
    <w:rsid w:val="00F03E7C"/>
    <w:rsid w:val="00F040E3"/>
    <w:rsid w:val="00F055C5"/>
    <w:rsid w:val="00F05FCC"/>
    <w:rsid w:val="00F0796F"/>
    <w:rsid w:val="00F10408"/>
    <w:rsid w:val="00F107E0"/>
    <w:rsid w:val="00F11301"/>
    <w:rsid w:val="00F12143"/>
    <w:rsid w:val="00F12258"/>
    <w:rsid w:val="00F122D7"/>
    <w:rsid w:val="00F12673"/>
    <w:rsid w:val="00F12B43"/>
    <w:rsid w:val="00F12E29"/>
    <w:rsid w:val="00F13212"/>
    <w:rsid w:val="00F13639"/>
    <w:rsid w:val="00F13B9F"/>
    <w:rsid w:val="00F13EB6"/>
    <w:rsid w:val="00F14182"/>
    <w:rsid w:val="00F14273"/>
    <w:rsid w:val="00F14514"/>
    <w:rsid w:val="00F14960"/>
    <w:rsid w:val="00F14B31"/>
    <w:rsid w:val="00F1508D"/>
    <w:rsid w:val="00F15C8F"/>
    <w:rsid w:val="00F15D8F"/>
    <w:rsid w:val="00F15DD4"/>
    <w:rsid w:val="00F16A06"/>
    <w:rsid w:val="00F16EAC"/>
    <w:rsid w:val="00F17307"/>
    <w:rsid w:val="00F17522"/>
    <w:rsid w:val="00F179CF"/>
    <w:rsid w:val="00F202BB"/>
    <w:rsid w:val="00F20B43"/>
    <w:rsid w:val="00F21403"/>
    <w:rsid w:val="00F2157E"/>
    <w:rsid w:val="00F21A0A"/>
    <w:rsid w:val="00F22031"/>
    <w:rsid w:val="00F22809"/>
    <w:rsid w:val="00F237D1"/>
    <w:rsid w:val="00F24687"/>
    <w:rsid w:val="00F24D8B"/>
    <w:rsid w:val="00F2525B"/>
    <w:rsid w:val="00F25390"/>
    <w:rsid w:val="00F2541A"/>
    <w:rsid w:val="00F2552C"/>
    <w:rsid w:val="00F26093"/>
    <w:rsid w:val="00F265A7"/>
    <w:rsid w:val="00F266A3"/>
    <w:rsid w:val="00F26710"/>
    <w:rsid w:val="00F27999"/>
    <w:rsid w:val="00F27B2B"/>
    <w:rsid w:val="00F30817"/>
    <w:rsid w:val="00F3195B"/>
    <w:rsid w:val="00F31BAE"/>
    <w:rsid w:val="00F338BF"/>
    <w:rsid w:val="00F33A9B"/>
    <w:rsid w:val="00F34BFE"/>
    <w:rsid w:val="00F34D44"/>
    <w:rsid w:val="00F35323"/>
    <w:rsid w:val="00F354D3"/>
    <w:rsid w:val="00F3556D"/>
    <w:rsid w:val="00F3583A"/>
    <w:rsid w:val="00F35A54"/>
    <w:rsid w:val="00F35AAC"/>
    <w:rsid w:val="00F3753A"/>
    <w:rsid w:val="00F377BA"/>
    <w:rsid w:val="00F3780F"/>
    <w:rsid w:val="00F37F33"/>
    <w:rsid w:val="00F40440"/>
    <w:rsid w:val="00F4057F"/>
    <w:rsid w:val="00F405D7"/>
    <w:rsid w:val="00F4087B"/>
    <w:rsid w:val="00F424B6"/>
    <w:rsid w:val="00F4277E"/>
    <w:rsid w:val="00F4291A"/>
    <w:rsid w:val="00F42E36"/>
    <w:rsid w:val="00F443D5"/>
    <w:rsid w:val="00F44936"/>
    <w:rsid w:val="00F45380"/>
    <w:rsid w:val="00F45A67"/>
    <w:rsid w:val="00F463DF"/>
    <w:rsid w:val="00F46B93"/>
    <w:rsid w:val="00F4717E"/>
    <w:rsid w:val="00F472B5"/>
    <w:rsid w:val="00F473B9"/>
    <w:rsid w:val="00F479D5"/>
    <w:rsid w:val="00F47C5E"/>
    <w:rsid w:val="00F47C86"/>
    <w:rsid w:val="00F47CE3"/>
    <w:rsid w:val="00F50CDF"/>
    <w:rsid w:val="00F5192F"/>
    <w:rsid w:val="00F52AE2"/>
    <w:rsid w:val="00F52F8F"/>
    <w:rsid w:val="00F52FA4"/>
    <w:rsid w:val="00F533FD"/>
    <w:rsid w:val="00F53D74"/>
    <w:rsid w:val="00F54033"/>
    <w:rsid w:val="00F5413D"/>
    <w:rsid w:val="00F559C8"/>
    <w:rsid w:val="00F55E04"/>
    <w:rsid w:val="00F5696E"/>
    <w:rsid w:val="00F56FE3"/>
    <w:rsid w:val="00F57E63"/>
    <w:rsid w:val="00F601B1"/>
    <w:rsid w:val="00F60461"/>
    <w:rsid w:val="00F60520"/>
    <w:rsid w:val="00F60A1E"/>
    <w:rsid w:val="00F60BAF"/>
    <w:rsid w:val="00F60C56"/>
    <w:rsid w:val="00F60E1D"/>
    <w:rsid w:val="00F60EFF"/>
    <w:rsid w:val="00F617AA"/>
    <w:rsid w:val="00F61E78"/>
    <w:rsid w:val="00F6254A"/>
    <w:rsid w:val="00F62569"/>
    <w:rsid w:val="00F637B0"/>
    <w:rsid w:val="00F63D54"/>
    <w:rsid w:val="00F64401"/>
    <w:rsid w:val="00F6450F"/>
    <w:rsid w:val="00F64B9D"/>
    <w:rsid w:val="00F64CC7"/>
    <w:rsid w:val="00F64E0F"/>
    <w:rsid w:val="00F65A29"/>
    <w:rsid w:val="00F65C7A"/>
    <w:rsid w:val="00F67CB2"/>
    <w:rsid w:val="00F67CC0"/>
    <w:rsid w:val="00F67D2D"/>
    <w:rsid w:val="00F70155"/>
    <w:rsid w:val="00F71454"/>
    <w:rsid w:val="00F71C85"/>
    <w:rsid w:val="00F73147"/>
    <w:rsid w:val="00F73808"/>
    <w:rsid w:val="00F73A12"/>
    <w:rsid w:val="00F747FB"/>
    <w:rsid w:val="00F74C59"/>
    <w:rsid w:val="00F74E72"/>
    <w:rsid w:val="00F768B9"/>
    <w:rsid w:val="00F76905"/>
    <w:rsid w:val="00F77961"/>
    <w:rsid w:val="00F80077"/>
    <w:rsid w:val="00F80ADC"/>
    <w:rsid w:val="00F81268"/>
    <w:rsid w:val="00F81B3E"/>
    <w:rsid w:val="00F82923"/>
    <w:rsid w:val="00F82C8B"/>
    <w:rsid w:val="00F83CED"/>
    <w:rsid w:val="00F83F27"/>
    <w:rsid w:val="00F8447E"/>
    <w:rsid w:val="00F85593"/>
    <w:rsid w:val="00F860CC"/>
    <w:rsid w:val="00F86E3C"/>
    <w:rsid w:val="00F86E4D"/>
    <w:rsid w:val="00F86F63"/>
    <w:rsid w:val="00F87055"/>
    <w:rsid w:val="00F87E41"/>
    <w:rsid w:val="00F90858"/>
    <w:rsid w:val="00F909BE"/>
    <w:rsid w:val="00F90A5B"/>
    <w:rsid w:val="00F90EBF"/>
    <w:rsid w:val="00F91260"/>
    <w:rsid w:val="00F927E9"/>
    <w:rsid w:val="00F92C71"/>
    <w:rsid w:val="00F940A2"/>
    <w:rsid w:val="00F94398"/>
    <w:rsid w:val="00F95125"/>
    <w:rsid w:val="00F95E08"/>
    <w:rsid w:val="00F9653F"/>
    <w:rsid w:val="00F9670E"/>
    <w:rsid w:val="00F96CF5"/>
    <w:rsid w:val="00F96DA6"/>
    <w:rsid w:val="00F97889"/>
    <w:rsid w:val="00FA086C"/>
    <w:rsid w:val="00FA0CB2"/>
    <w:rsid w:val="00FA0FA9"/>
    <w:rsid w:val="00FA11E0"/>
    <w:rsid w:val="00FA1F40"/>
    <w:rsid w:val="00FA228B"/>
    <w:rsid w:val="00FA2319"/>
    <w:rsid w:val="00FA27D3"/>
    <w:rsid w:val="00FA29A8"/>
    <w:rsid w:val="00FA2CC3"/>
    <w:rsid w:val="00FA2EB1"/>
    <w:rsid w:val="00FA36C8"/>
    <w:rsid w:val="00FA38BB"/>
    <w:rsid w:val="00FA4385"/>
    <w:rsid w:val="00FA4629"/>
    <w:rsid w:val="00FA4FCF"/>
    <w:rsid w:val="00FA50D6"/>
    <w:rsid w:val="00FA548B"/>
    <w:rsid w:val="00FA5D41"/>
    <w:rsid w:val="00FA64B4"/>
    <w:rsid w:val="00FA6B35"/>
    <w:rsid w:val="00FA6B6D"/>
    <w:rsid w:val="00FA7369"/>
    <w:rsid w:val="00FA757E"/>
    <w:rsid w:val="00FA7D9C"/>
    <w:rsid w:val="00FA7DE4"/>
    <w:rsid w:val="00FB0184"/>
    <w:rsid w:val="00FB0755"/>
    <w:rsid w:val="00FB0A2D"/>
    <w:rsid w:val="00FB0B00"/>
    <w:rsid w:val="00FB0C3C"/>
    <w:rsid w:val="00FB0C90"/>
    <w:rsid w:val="00FB0D8F"/>
    <w:rsid w:val="00FB0E8B"/>
    <w:rsid w:val="00FB0FC0"/>
    <w:rsid w:val="00FB1414"/>
    <w:rsid w:val="00FB15B0"/>
    <w:rsid w:val="00FB16EF"/>
    <w:rsid w:val="00FB2A1F"/>
    <w:rsid w:val="00FB2B56"/>
    <w:rsid w:val="00FB311A"/>
    <w:rsid w:val="00FB3856"/>
    <w:rsid w:val="00FB3AF2"/>
    <w:rsid w:val="00FB40A7"/>
    <w:rsid w:val="00FB46FD"/>
    <w:rsid w:val="00FB48C4"/>
    <w:rsid w:val="00FB4E3A"/>
    <w:rsid w:val="00FB506F"/>
    <w:rsid w:val="00FB50DC"/>
    <w:rsid w:val="00FB59B7"/>
    <w:rsid w:val="00FB5F65"/>
    <w:rsid w:val="00FB6AF8"/>
    <w:rsid w:val="00FB7C34"/>
    <w:rsid w:val="00FB7D85"/>
    <w:rsid w:val="00FB7EAB"/>
    <w:rsid w:val="00FB7EEA"/>
    <w:rsid w:val="00FC02C6"/>
    <w:rsid w:val="00FC07BF"/>
    <w:rsid w:val="00FC1182"/>
    <w:rsid w:val="00FC12BF"/>
    <w:rsid w:val="00FC16A5"/>
    <w:rsid w:val="00FC1A7C"/>
    <w:rsid w:val="00FC1F86"/>
    <w:rsid w:val="00FC230D"/>
    <w:rsid w:val="00FC24B7"/>
    <w:rsid w:val="00FC2C60"/>
    <w:rsid w:val="00FC373E"/>
    <w:rsid w:val="00FC3C84"/>
    <w:rsid w:val="00FC49B2"/>
    <w:rsid w:val="00FC4F99"/>
    <w:rsid w:val="00FC5225"/>
    <w:rsid w:val="00FC566C"/>
    <w:rsid w:val="00FC64AB"/>
    <w:rsid w:val="00FC6662"/>
    <w:rsid w:val="00FC6951"/>
    <w:rsid w:val="00FC6C12"/>
    <w:rsid w:val="00FC7980"/>
    <w:rsid w:val="00FD01C3"/>
    <w:rsid w:val="00FD0535"/>
    <w:rsid w:val="00FD0638"/>
    <w:rsid w:val="00FD06B0"/>
    <w:rsid w:val="00FD11BD"/>
    <w:rsid w:val="00FD139B"/>
    <w:rsid w:val="00FD15E8"/>
    <w:rsid w:val="00FD1BE6"/>
    <w:rsid w:val="00FD2944"/>
    <w:rsid w:val="00FD37F1"/>
    <w:rsid w:val="00FD3E6F"/>
    <w:rsid w:val="00FD4E74"/>
    <w:rsid w:val="00FD4FEF"/>
    <w:rsid w:val="00FD51B9"/>
    <w:rsid w:val="00FD561C"/>
    <w:rsid w:val="00FD5A41"/>
    <w:rsid w:val="00FD63AE"/>
    <w:rsid w:val="00FD6D02"/>
    <w:rsid w:val="00FD72CD"/>
    <w:rsid w:val="00FD76A8"/>
    <w:rsid w:val="00FD771B"/>
    <w:rsid w:val="00FD7B3B"/>
    <w:rsid w:val="00FE040F"/>
    <w:rsid w:val="00FE06B1"/>
    <w:rsid w:val="00FE0E65"/>
    <w:rsid w:val="00FE1600"/>
    <w:rsid w:val="00FE1746"/>
    <w:rsid w:val="00FE1FEA"/>
    <w:rsid w:val="00FE20A8"/>
    <w:rsid w:val="00FE2A39"/>
    <w:rsid w:val="00FE2EF6"/>
    <w:rsid w:val="00FE3098"/>
    <w:rsid w:val="00FE3485"/>
    <w:rsid w:val="00FE3811"/>
    <w:rsid w:val="00FE3E43"/>
    <w:rsid w:val="00FE4BE5"/>
    <w:rsid w:val="00FE549E"/>
    <w:rsid w:val="00FE5EC1"/>
    <w:rsid w:val="00FE686D"/>
    <w:rsid w:val="00FE6A88"/>
    <w:rsid w:val="00FE6E3C"/>
    <w:rsid w:val="00FE72BE"/>
    <w:rsid w:val="00FE7553"/>
    <w:rsid w:val="00FE7997"/>
    <w:rsid w:val="00FF00DB"/>
    <w:rsid w:val="00FF3584"/>
    <w:rsid w:val="00FF39CF"/>
    <w:rsid w:val="00FF3F63"/>
    <w:rsid w:val="00FF43FA"/>
    <w:rsid w:val="00FF496B"/>
    <w:rsid w:val="00FF4EF8"/>
    <w:rsid w:val="00FF5A3C"/>
    <w:rsid w:val="00FF5F25"/>
    <w:rsid w:val="00FF5F9E"/>
    <w:rsid w:val="00FF6379"/>
    <w:rsid w:val="00FF6AC9"/>
    <w:rsid w:val="00FF7159"/>
    <w:rsid w:val="00FF746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CC2D3"/>
  <w15:docId w15:val="{C6B8B48B-BB4F-4F57-B69E-853FC065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0"/>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FC16A5"/>
    <w:pPr>
      <w:tabs>
        <w:tab w:val="right" w:pos="10318"/>
      </w:tabs>
      <w:spacing w:after="240"/>
      <w:jc w:val="right"/>
    </w:pPr>
  </w:style>
  <w:style w:type="character" w:customStyle="1" w:styleId="HeaderChar">
    <w:name w:val="Header Char"/>
    <w:aliases w:val="Page header Char"/>
    <w:basedOn w:val="DefaultParagraphFont"/>
    <w:link w:val="Header"/>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Recommendation,First level bullet point,List Paragraph1,List Paragraph11,Bullet point,List Paragraph Number,#List Paragraph,List Paragraph*,AR bullet 1,Bullet Point,Bullet Points,Bullet points,Bulletr List Paragraph,Content descriptions,L"/>
    <w:basedOn w:val="BlockText"/>
    <w:link w:val="ListParagraphChar"/>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qFormat/>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unhideWhenUsed/>
    <w:rsid w:val="000B6E48"/>
    <w:pPr>
      <w:spacing w:after="0"/>
    </w:pPr>
    <w:rPr>
      <w:sz w:val="20"/>
      <w:szCs w:val="20"/>
    </w:rPr>
  </w:style>
  <w:style w:type="character" w:customStyle="1" w:styleId="FootnoteTextChar">
    <w:name w:val="Footnote Text Char"/>
    <w:basedOn w:val="DefaultParagraphFont"/>
    <w:link w:val="FootnoteText"/>
    <w:uiPriority w:val="99"/>
    <w:rsid w:val="000B6E48"/>
    <w:rPr>
      <w:rFonts w:ascii="Lato" w:hAnsi="Lato"/>
      <w:sz w:val="20"/>
      <w:szCs w:val="20"/>
    </w:rPr>
  </w:style>
  <w:style w:type="character" w:styleId="FootnoteReference">
    <w:name w:val="footnote reference"/>
    <w:basedOn w:val="DefaultParagraphFont"/>
    <w:uiPriority w:val="99"/>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customStyle="1" w:styleId="field-content">
    <w:name w:val="field-content"/>
    <w:basedOn w:val="DefaultParagraphFont"/>
    <w:rsid w:val="002C1968"/>
  </w:style>
  <w:style w:type="character" w:styleId="Emphasis">
    <w:name w:val="Emphasis"/>
    <w:basedOn w:val="DefaultParagraphFont"/>
    <w:uiPriority w:val="20"/>
    <w:qFormat/>
    <w:rsid w:val="002C1968"/>
    <w:rPr>
      <w:i/>
      <w:iCs/>
    </w:rPr>
  </w:style>
  <w:style w:type="character" w:customStyle="1" w:styleId="ParagraphChar">
    <w:name w:val="Paragraph Char"/>
    <w:link w:val="Paragraph"/>
    <w:rsid w:val="003B2D19"/>
    <w:rPr>
      <w:rFonts w:ascii="Helvetica" w:hAnsi="Helvetica"/>
      <w:sz w:val="24"/>
      <w:szCs w:val="24"/>
    </w:rPr>
  </w:style>
  <w:style w:type="character" w:customStyle="1" w:styleId="SubparaChar">
    <w:name w:val="Subpara Char"/>
    <w:basedOn w:val="ParagraphChar"/>
    <w:link w:val="Subpara"/>
    <w:rsid w:val="003B2D19"/>
    <w:rPr>
      <w:rFonts w:ascii="Helvetica" w:hAnsi="Helvetica"/>
      <w:sz w:val="24"/>
      <w:szCs w:val="24"/>
    </w:rPr>
  </w:style>
  <w:style w:type="character" w:customStyle="1" w:styleId="SubsectionChar">
    <w:name w:val="Subsection Char"/>
    <w:link w:val="Subsection"/>
    <w:rsid w:val="003B2D19"/>
    <w:rPr>
      <w:rFonts w:ascii="Helvetica" w:hAnsi="Helvetica"/>
      <w:sz w:val="24"/>
      <w:szCs w:val="24"/>
    </w:rPr>
  </w:style>
  <w:style w:type="character" w:customStyle="1" w:styleId="SectiontextChar">
    <w:name w:val="Section text Char"/>
    <w:link w:val="Sectiontext"/>
    <w:rsid w:val="003B2D19"/>
    <w:rPr>
      <w:rFonts w:ascii="Helvetica" w:hAnsi="Helvetica"/>
      <w:sz w:val="24"/>
      <w:szCs w:val="24"/>
    </w:rPr>
  </w:style>
  <w:style w:type="paragraph" w:customStyle="1" w:styleId="Subsection">
    <w:name w:val="Subsection"/>
    <w:basedOn w:val="Sectiontext"/>
    <w:link w:val="SubsectionChar"/>
    <w:rsid w:val="003B2D19"/>
    <w:pPr>
      <w:tabs>
        <w:tab w:val="right" w:pos="902"/>
      </w:tabs>
      <w:ind w:hanging="1100"/>
    </w:pPr>
  </w:style>
  <w:style w:type="paragraph" w:customStyle="1" w:styleId="Paragraph">
    <w:name w:val="Paragraph"/>
    <w:basedOn w:val="Normal"/>
    <w:link w:val="ParagraphChar"/>
    <w:rsid w:val="003B2D19"/>
    <w:pPr>
      <w:widowControl w:val="0"/>
      <w:spacing w:after="240"/>
      <w:ind w:left="1667" w:hanging="567"/>
      <w:jc w:val="both"/>
    </w:pPr>
    <w:rPr>
      <w:rFonts w:ascii="Helvetica" w:hAnsi="Helvetica"/>
      <w:sz w:val="24"/>
      <w:szCs w:val="24"/>
    </w:rPr>
  </w:style>
  <w:style w:type="paragraph" w:customStyle="1" w:styleId="Subpara">
    <w:name w:val="Subpara"/>
    <w:basedOn w:val="Paragraph"/>
    <w:link w:val="SubparaChar"/>
    <w:rsid w:val="003B2D19"/>
    <w:pPr>
      <w:ind w:left="2268"/>
    </w:pPr>
  </w:style>
  <w:style w:type="paragraph" w:customStyle="1" w:styleId="Sectiontext">
    <w:name w:val="Section text"/>
    <w:basedOn w:val="Normal"/>
    <w:link w:val="SectiontextChar"/>
    <w:rsid w:val="003B2D19"/>
    <w:pPr>
      <w:widowControl w:val="0"/>
      <w:spacing w:after="240"/>
      <w:ind w:left="1100"/>
      <w:jc w:val="both"/>
    </w:pPr>
    <w:rPr>
      <w:rFonts w:ascii="Helvetica" w:hAnsi="Helvetica"/>
      <w:sz w:val="24"/>
      <w:szCs w:val="24"/>
    </w:rPr>
  </w:style>
  <w:style w:type="paragraph" w:customStyle="1" w:styleId="BodySectionSub">
    <w:name w:val="Body Section (Sub)"/>
    <w:next w:val="Normal"/>
    <w:link w:val="BodySectionSubChar"/>
    <w:rsid w:val="00B77A05"/>
    <w:pPr>
      <w:overflowPunct w:val="0"/>
      <w:autoSpaceDE w:val="0"/>
      <w:autoSpaceDN w:val="0"/>
      <w:adjustRightInd w:val="0"/>
      <w:spacing w:before="120" w:after="0"/>
      <w:ind w:left="1361"/>
      <w:textAlignment w:val="baseline"/>
    </w:pPr>
    <w:rPr>
      <w:rFonts w:ascii="Times New Roman" w:eastAsia="Times New Roman" w:hAnsi="Times New Roman"/>
      <w:sz w:val="24"/>
      <w:szCs w:val="20"/>
    </w:rPr>
  </w:style>
  <w:style w:type="character" w:customStyle="1" w:styleId="BodySectionSubChar">
    <w:name w:val="Body Section (Sub) Char"/>
    <w:basedOn w:val="DefaultParagraphFont"/>
    <w:link w:val="BodySectionSub"/>
    <w:rsid w:val="00B77A05"/>
    <w:rPr>
      <w:rFonts w:ascii="Times New Roman" w:eastAsia="Times New Roman" w:hAnsi="Times New Roman"/>
      <w:sz w:val="24"/>
      <w:szCs w:val="20"/>
    </w:rPr>
  </w:style>
  <w:style w:type="paragraph" w:customStyle="1" w:styleId="DraftHeading2">
    <w:name w:val="Draft Heading 2"/>
    <w:basedOn w:val="Normal"/>
    <w:next w:val="Normal"/>
    <w:link w:val="DraftHeading2Char"/>
    <w:rsid w:val="00B77A05"/>
    <w:pPr>
      <w:overflowPunct w:val="0"/>
      <w:autoSpaceDE w:val="0"/>
      <w:autoSpaceDN w:val="0"/>
      <w:adjustRightInd w:val="0"/>
      <w:spacing w:before="120" w:after="0"/>
      <w:textAlignment w:val="baseline"/>
    </w:pPr>
    <w:rPr>
      <w:rFonts w:ascii="Times New Roman" w:eastAsia="Times New Roman" w:hAnsi="Times New Roman"/>
      <w:sz w:val="24"/>
      <w:szCs w:val="20"/>
    </w:rPr>
  </w:style>
  <w:style w:type="character" w:customStyle="1" w:styleId="DraftHeading2Char">
    <w:name w:val="Draft Heading 2 Char"/>
    <w:basedOn w:val="DefaultParagraphFont"/>
    <w:link w:val="DraftHeading2"/>
    <w:rsid w:val="00B77A05"/>
    <w:rPr>
      <w:rFonts w:ascii="Times New Roman" w:eastAsia="Times New Roman" w:hAnsi="Times New Roman"/>
      <w:sz w:val="24"/>
      <w:szCs w:val="20"/>
    </w:rPr>
  </w:style>
  <w:style w:type="paragraph" w:customStyle="1" w:styleId="DraftHeading3">
    <w:name w:val="Draft Heading 3"/>
    <w:basedOn w:val="Normal"/>
    <w:next w:val="Normal"/>
    <w:rsid w:val="00B77A05"/>
    <w:pPr>
      <w:overflowPunct w:val="0"/>
      <w:autoSpaceDE w:val="0"/>
      <w:autoSpaceDN w:val="0"/>
      <w:adjustRightInd w:val="0"/>
      <w:spacing w:before="120" w:after="0"/>
      <w:textAlignment w:val="baseline"/>
    </w:pPr>
    <w:rPr>
      <w:rFonts w:ascii="Times New Roman" w:eastAsia="Times New Roman" w:hAnsi="Times New Roman"/>
      <w:sz w:val="24"/>
      <w:szCs w:val="20"/>
    </w:rPr>
  </w:style>
  <w:style w:type="character" w:customStyle="1" w:styleId="ListParagraphChar">
    <w:name w:val="List Paragraph Char"/>
    <w:aliases w:val="Recommendation Char,First level bullet point Char,List Paragraph1 Char,List Paragraph11 Char,Bullet point Char,List Paragraph Number Char,#List Paragraph Char,List Paragraph* Char,AR bullet 1 Char,Bullet Point Char,Bullet Points Char"/>
    <w:basedOn w:val="DefaultParagraphFont"/>
    <w:link w:val="ListParagraph"/>
    <w:uiPriority w:val="1"/>
    <w:locked/>
    <w:rsid w:val="000A3683"/>
    <w:rPr>
      <w:rFonts w:ascii="Lato" w:eastAsiaTheme="minorEastAsia" w:hAnsi="Lato"/>
      <w:iCs/>
    </w:rPr>
  </w:style>
  <w:style w:type="paragraph" w:customStyle="1" w:styleId="DraftSectionEg">
    <w:name w:val="Draft Section Eg"/>
    <w:next w:val="Normal"/>
    <w:rsid w:val="00952B18"/>
    <w:pPr>
      <w:spacing w:before="120" w:after="0"/>
      <w:ind w:left="851"/>
    </w:pPr>
    <w:rPr>
      <w:rFonts w:ascii="Times New Roman" w:eastAsia="Times New Roman" w:hAnsi="Times New Roman"/>
      <w:sz w:val="20"/>
      <w:szCs w:val="20"/>
    </w:rPr>
  </w:style>
  <w:style w:type="paragraph" w:customStyle="1" w:styleId="DraftHeading1">
    <w:name w:val="Draft Heading 1"/>
    <w:basedOn w:val="Normal"/>
    <w:next w:val="Normal"/>
    <w:link w:val="DraftHeading1Char"/>
    <w:rsid w:val="00952B18"/>
    <w:pPr>
      <w:overflowPunct w:val="0"/>
      <w:autoSpaceDE w:val="0"/>
      <w:autoSpaceDN w:val="0"/>
      <w:adjustRightInd w:val="0"/>
      <w:spacing w:before="120" w:after="0"/>
      <w:textAlignment w:val="baseline"/>
      <w:outlineLvl w:val="2"/>
    </w:pPr>
    <w:rPr>
      <w:rFonts w:ascii="Times New Roman" w:eastAsia="Times New Roman" w:hAnsi="Times New Roman"/>
      <w:b/>
      <w:sz w:val="24"/>
      <w:szCs w:val="24"/>
    </w:rPr>
  </w:style>
  <w:style w:type="character" w:customStyle="1" w:styleId="DraftHeading1Char">
    <w:name w:val="Draft Heading 1 Char"/>
    <w:basedOn w:val="DefaultParagraphFont"/>
    <w:link w:val="DraftHeading1"/>
    <w:locked/>
    <w:rsid w:val="00952B18"/>
    <w:rPr>
      <w:rFonts w:ascii="Times New Roman" w:eastAsia="Times New Roman" w:hAnsi="Times New Roman"/>
      <w:b/>
      <w:sz w:val="24"/>
      <w:szCs w:val="24"/>
    </w:rPr>
  </w:style>
  <w:style w:type="paragraph" w:customStyle="1" w:styleId="BulletDraftSub-section">
    <w:name w:val="Bullet Draft Sub-section"/>
    <w:next w:val="Normal"/>
    <w:rsid w:val="00952B18"/>
    <w:pPr>
      <w:spacing w:before="120" w:after="0"/>
    </w:pPr>
    <w:rPr>
      <w:rFonts w:ascii="Times New Roman" w:eastAsia="Times New Roman" w:hAnsi="Times New Roman"/>
      <w:sz w:val="24"/>
      <w:szCs w:val="20"/>
    </w:rPr>
  </w:style>
  <w:style w:type="paragraph" w:customStyle="1" w:styleId="BodyParagraph">
    <w:name w:val="Body Paragraph"/>
    <w:next w:val="Normal"/>
    <w:rsid w:val="006761D5"/>
    <w:pPr>
      <w:overflowPunct w:val="0"/>
      <w:autoSpaceDE w:val="0"/>
      <w:autoSpaceDN w:val="0"/>
      <w:adjustRightInd w:val="0"/>
      <w:spacing w:before="120" w:after="0"/>
      <w:ind w:left="1871"/>
      <w:textAlignment w:val="baseline"/>
    </w:pPr>
    <w:rPr>
      <w:rFonts w:ascii="Times New Roman" w:eastAsia="Times New Roman" w:hAnsi="Times New Roman"/>
      <w:sz w:val="24"/>
      <w:szCs w:val="20"/>
    </w:rPr>
  </w:style>
  <w:style w:type="paragraph" w:customStyle="1" w:styleId="DraftParaEg">
    <w:name w:val="Draft Para Eg"/>
    <w:next w:val="Normal"/>
    <w:rsid w:val="006761D5"/>
    <w:pPr>
      <w:spacing w:before="120" w:after="0"/>
      <w:ind w:left="1871"/>
    </w:pPr>
    <w:rPr>
      <w:rFonts w:ascii="Times New Roman" w:eastAsia="Times New Roman" w:hAnsi="Times New Roman"/>
      <w:sz w:val="20"/>
      <w:szCs w:val="20"/>
    </w:rPr>
  </w:style>
  <w:style w:type="paragraph" w:customStyle="1" w:styleId="DraftHeading4">
    <w:name w:val="Draft Heading 4"/>
    <w:basedOn w:val="Normal"/>
    <w:next w:val="Normal"/>
    <w:rsid w:val="00C91EBD"/>
    <w:pPr>
      <w:overflowPunct w:val="0"/>
      <w:autoSpaceDE w:val="0"/>
      <w:autoSpaceDN w:val="0"/>
      <w:adjustRightInd w:val="0"/>
      <w:spacing w:before="120" w:after="0"/>
      <w:textAlignment w:val="baseline"/>
    </w:pPr>
    <w:rPr>
      <w:rFonts w:ascii="Times New Roman" w:eastAsia="Times New Roman" w:hAnsi="Times New Roman"/>
      <w:sz w:val="24"/>
      <w:szCs w:val="20"/>
    </w:rPr>
  </w:style>
  <w:style w:type="paragraph" w:customStyle="1" w:styleId="NewSectionHeading">
    <w:name w:val="New Section Heading"/>
    <w:basedOn w:val="Normal"/>
    <w:next w:val="Normal"/>
    <w:link w:val="NewSectionHeadingChar"/>
    <w:rsid w:val="00FB48C4"/>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NewSectionHeadingChar">
    <w:name w:val="New Section Heading Char"/>
    <w:link w:val="NewSectionHeading"/>
    <w:rsid w:val="00FB48C4"/>
    <w:rPr>
      <w:rFonts w:ascii="Helvetica" w:eastAsia="Times New Roman" w:hAnsi="Helvetica"/>
      <w:b/>
      <w:sz w:val="24"/>
      <w:szCs w:val="24"/>
      <w:lang w:eastAsia="en-AU"/>
    </w:rPr>
  </w:style>
  <w:style w:type="paragraph" w:customStyle="1" w:styleId="SideNote">
    <w:name w:val="Side Note"/>
    <w:basedOn w:val="Normal"/>
    <w:rsid w:val="003201A0"/>
    <w:pPr>
      <w:framePr w:w="964" w:h="340" w:hSpace="284" w:wrap="around" w:vAnchor="text" w:hAnchor="page" w:xAlign="outside" w:y="1"/>
      <w:suppressLineNumbers/>
      <w:overflowPunct w:val="0"/>
      <w:autoSpaceDE w:val="0"/>
      <w:autoSpaceDN w:val="0"/>
      <w:adjustRightInd w:val="0"/>
      <w:spacing w:before="120" w:after="0"/>
      <w:textAlignment w:val="baseline"/>
    </w:pPr>
    <w:rPr>
      <w:rFonts w:ascii="Arial" w:eastAsia="Times New Roman" w:hAnsi="Arial"/>
      <w:b/>
      <w:spacing w:val="-10"/>
      <w:sz w:val="16"/>
      <w:szCs w:val="20"/>
    </w:rPr>
  </w:style>
  <w:style w:type="paragraph" w:customStyle="1" w:styleId="AmndSub-sectionEg">
    <w:name w:val="Amnd Sub-section Eg"/>
    <w:next w:val="Normal"/>
    <w:link w:val="AmndSub-sectionEgChar"/>
    <w:rsid w:val="003201A0"/>
    <w:pPr>
      <w:spacing w:before="120" w:after="0"/>
      <w:ind w:left="2381"/>
    </w:pPr>
    <w:rPr>
      <w:rFonts w:ascii="Times New Roman" w:eastAsia="Times New Roman" w:hAnsi="Times New Roman"/>
      <w:sz w:val="20"/>
      <w:szCs w:val="20"/>
    </w:rPr>
  </w:style>
  <w:style w:type="character" w:customStyle="1" w:styleId="AmndSub-sectionEgChar">
    <w:name w:val="Amnd Sub-section Eg Char"/>
    <w:basedOn w:val="DefaultParagraphFont"/>
    <w:link w:val="AmndSub-sectionEg"/>
    <w:rsid w:val="003201A0"/>
    <w:rPr>
      <w:rFonts w:ascii="Times New Roman" w:eastAsia="Times New Roman" w:hAnsi="Times New Roman"/>
      <w:sz w:val="20"/>
      <w:szCs w:val="20"/>
    </w:rPr>
  </w:style>
  <w:style w:type="paragraph" w:customStyle="1" w:styleId="BulletDraftSub-paragraph">
    <w:name w:val="Bullet Draft Sub-paragraph"/>
    <w:next w:val="Normal"/>
    <w:rsid w:val="003201A0"/>
    <w:pPr>
      <w:spacing w:before="120" w:after="0"/>
    </w:pPr>
    <w:rPr>
      <w:rFonts w:ascii="Times New Roman" w:eastAsia="Times New Roman" w:hAnsi="Times New Roman"/>
      <w:sz w:val="24"/>
      <w:szCs w:val="20"/>
    </w:rPr>
  </w:style>
  <w:style w:type="paragraph" w:customStyle="1" w:styleId="BulletSchSub-sub-para">
    <w:name w:val="Bullet Sch Sub-sub-para"/>
    <w:next w:val="Normal"/>
    <w:link w:val="BulletSchSub-sub-paraChar"/>
    <w:rsid w:val="003201A0"/>
    <w:pPr>
      <w:spacing w:before="120" w:after="0"/>
    </w:pPr>
    <w:rPr>
      <w:rFonts w:ascii="Times New Roman" w:eastAsia="Times New Roman" w:hAnsi="Times New Roman"/>
      <w:sz w:val="20"/>
      <w:szCs w:val="20"/>
    </w:rPr>
  </w:style>
  <w:style w:type="character" w:customStyle="1" w:styleId="BulletSchSub-sub-paraChar">
    <w:name w:val="Bullet Sch Sub-sub-para Char"/>
    <w:basedOn w:val="DefaultParagraphFont"/>
    <w:link w:val="BulletSchSub-sub-para"/>
    <w:rsid w:val="003201A0"/>
    <w:rPr>
      <w:rFonts w:ascii="Times New Roman" w:eastAsia="Times New Roman" w:hAnsi="Times New Roman"/>
      <w:sz w:val="20"/>
      <w:szCs w:val="20"/>
    </w:rPr>
  </w:style>
  <w:style w:type="paragraph" w:customStyle="1" w:styleId="amain">
    <w:name w:val="amain"/>
    <w:basedOn w:val="Normal"/>
    <w:rsid w:val="002E6C67"/>
    <w:pPr>
      <w:spacing w:before="100" w:beforeAutospacing="1" w:after="100" w:afterAutospacing="1"/>
    </w:pPr>
    <w:rPr>
      <w:rFonts w:ascii="Times New Roman" w:eastAsia="Times New Roman" w:hAnsi="Times New Roman"/>
      <w:sz w:val="24"/>
      <w:szCs w:val="24"/>
      <w:lang w:eastAsia="en-AU"/>
    </w:rPr>
  </w:style>
  <w:style w:type="paragraph" w:customStyle="1" w:styleId="Yourssincerely">
    <w:name w:val="Yours sincerely"/>
    <w:basedOn w:val="Normal"/>
    <w:uiPriority w:val="4"/>
    <w:rsid w:val="004D0C61"/>
    <w:pPr>
      <w:spacing w:before="600" w:after="1200"/>
    </w:pPr>
    <w:rPr>
      <w:rFonts w:eastAsia="Times New Roman"/>
      <w:szCs w:val="20"/>
    </w:rPr>
  </w:style>
  <w:style w:type="paragraph" w:customStyle="1" w:styleId="Example">
    <w:name w:val="Example"/>
    <w:basedOn w:val="Normal"/>
    <w:rsid w:val="00D753FF"/>
    <w:pPr>
      <w:widowControl w:val="0"/>
      <w:spacing w:after="120"/>
      <w:ind w:left="1100"/>
      <w:jc w:val="both"/>
    </w:pPr>
    <w:rPr>
      <w:rFonts w:ascii="Helvetica" w:eastAsia="Times New Roman" w:hAnsi="Helvetica"/>
      <w:i/>
      <w:sz w:val="20"/>
      <w:szCs w:val="24"/>
      <w:lang w:eastAsia="en-AU"/>
    </w:rPr>
  </w:style>
  <w:style w:type="paragraph" w:customStyle="1" w:styleId="Indenta">
    <w:name w:val="Indent(a)"/>
    <w:rsid w:val="003015F1"/>
    <w:pPr>
      <w:tabs>
        <w:tab w:val="right" w:pos="1332"/>
        <w:tab w:val="left" w:pos="1616"/>
      </w:tabs>
      <w:spacing w:before="80" w:after="0" w:line="260" w:lineRule="atLeast"/>
      <w:ind w:left="1616" w:hanging="1616"/>
    </w:pPr>
    <w:rPr>
      <w:rFonts w:ascii="Times New Roman" w:eastAsia="Times New Roman" w:hAnsi="Times New Roman"/>
      <w:sz w:val="24"/>
      <w:szCs w:val="20"/>
      <w:lang w:eastAsia="en-AU"/>
    </w:rPr>
  </w:style>
  <w:style w:type="paragraph" w:styleId="BodyText3">
    <w:name w:val="Body Text 3"/>
    <w:basedOn w:val="Normal"/>
    <w:link w:val="BodyText3Char"/>
    <w:rsid w:val="003015F1"/>
    <w:pPr>
      <w:spacing w:after="120"/>
    </w:pPr>
    <w:rPr>
      <w:rFonts w:ascii="Times New Roman" w:eastAsia="Times New Roman" w:hAnsi="Times New Roman"/>
      <w:sz w:val="18"/>
      <w:szCs w:val="20"/>
      <w:lang w:eastAsia="en-AU"/>
    </w:rPr>
  </w:style>
  <w:style w:type="character" w:customStyle="1" w:styleId="BodyText3Char">
    <w:name w:val="Body Text 3 Char"/>
    <w:basedOn w:val="DefaultParagraphFont"/>
    <w:link w:val="BodyText3"/>
    <w:rsid w:val="003015F1"/>
    <w:rPr>
      <w:rFonts w:ascii="Times New Roman" w:eastAsia="Times New Roman" w:hAnsi="Times New Roman"/>
      <w:sz w:val="18"/>
      <w:szCs w:val="20"/>
      <w:lang w:eastAsia="en-AU"/>
    </w:rPr>
  </w:style>
  <w:style w:type="character" w:customStyle="1" w:styleId="DefinitionChar">
    <w:name w:val="Definition Char"/>
    <w:link w:val="Definition"/>
    <w:locked/>
    <w:rsid w:val="000C48A8"/>
    <w:rPr>
      <w:rFonts w:ascii="Helvetica" w:hAnsi="Helvetica" w:cs="Helvetica"/>
      <w:sz w:val="24"/>
    </w:rPr>
  </w:style>
  <w:style w:type="paragraph" w:customStyle="1" w:styleId="Definition">
    <w:name w:val="Definition"/>
    <w:aliases w:val="dd"/>
    <w:basedOn w:val="Normal"/>
    <w:link w:val="DefinitionChar"/>
    <w:rsid w:val="000C48A8"/>
    <w:pPr>
      <w:widowControl w:val="0"/>
      <w:spacing w:after="240"/>
      <w:ind w:left="1100"/>
      <w:jc w:val="both"/>
    </w:pPr>
    <w:rPr>
      <w:rFonts w:ascii="Helvetica" w:hAnsi="Helvetica" w:cs="Helvetica"/>
      <w:sz w:val="24"/>
    </w:rPr>
  </w:style>
  <w:style w:type="paragraph" w:customStyle="1" w:styleId="DivisionHeading">
    <w:name w:val="Division Heading"/>
    <w:basedOn w:val="PartHeading"/>
    <w:next w:val="Normal"/>
    <w:rsid w:val="000C48A8"/>
    <w:pPr>
      <w:spacing w:before="100" w:beforeAutospacing="1"/>
      <w:outlineLvl w:val="2"/>
    </w:pPr>
    <w:rPr>
      <w:sz w:val="26"/>
    </w:rPr>
  </w:style>
  <w:style w:type="paragraph" w:customStyle="1" w:styleId="PartHeading">
    <w:name w:val="Part Heading"/>
    <w:basedOn w:val="Normal"/>
    <w:next w:val="DivisionHeading"/>
    <w:rsid w:val="000C48A8"/>
    <w:pPr>
      <w:keepNext/>
      <w:keepLines/>
      <w:widowControl w:val="0"/>
      <w:spacing w:before="240" w:after="240"/>
      <w:ind w:left="1985" w:hanging="1985"/>
      <w:outlineLvl w:val="1"/>
    </w:pPr>
    <w:rPr>
      <w:rFonts w:ascii="Helvetica" w:eastAsia="Times New Roman" w:hAnsi="Helvetica"/>
      <w:b/>
      <w:sz w:val="28"/>
      <w:szCs w:val="24"/>
      <w:lang w:eastAsia="en-AU"/>
    </w:rPr>
  </w:style>
  <w:style w:type="paragraph" w:customStyle="1" w:styleId="BlankHeader">
    <w:name w:val="BlankHeader"/>
    <w:next w:val="Normal"/>
    <w:rsid w:val="000C48A8"/>
    <w:pPr>
      <w:widowControl w:val="0"/>
      <w:spacing w:after="0"/>
    </w:pPr>
    <w:rPr>
      <w:rFonts w:ascii="Helvetica" w:eastAsia="Times New Roman" w:hAnsi="Helvetica"/>
      <w:vanish/>
      <w:sz w:val="24"/>
      <w:szCs w:val="24"/>
      <w:lang w:eastAsia="en-AU"/>
    </w:rPr>
  </w:style>
  <w:style w:type="character" w:customStyle="1" w:styleId="charDivisionText">
    <w:name w:val="charDivisionText"/>
    <w:rsid w:val="000C48A8"/>
  </w:style>
  <w:style w:type="character" w:customStyle="1" w:styleId="charPartText">
    <w:name w:val="charPartText"/>
    <w:rsid w:val="000C48A8"/>
  </w:style>
  <w:style w:type="character" w:customStyle="1" w:styleId="charSubdivisionText">
    <w:name w:val="charSubdivisionText"/>
    <w:rsid w:val="000C48A8"/>
  </w:style>
  <w:style w:type="character" w:customStyle="1" w:styleId="cite-author">
    <w:name w:val="cite-author"/>
    <w:basedOn w:val="DefaultParagraphFont"/>
    <w:rsid w:val="00F265A7"/>
  </w:style>
  <w:style w:type="character" w:customStyle="1" w:styleId="UnresolvedMention1">
    <w:name w:val="Unresolved Mention1"/>
    <w:basedOn w:val="DefaultParagraphFont"/>
    <w:uiPriority w:val="99"/>
    <w:semiHidden/>
    <w:unhideWhenUsed/>
    <w:rsid w:val="00F265A7"/>
    <w:rPr>
      <w:color w:val="605E5C"/>
      <w:shd w:val="clear" w:color="auto" w:fill="E1DFDD"/>
    </w:rPr>
  </w:style>
  <w:style w:type="paragraph" w:styleId="TOC5">
    <w:name w:val="toc 5"/>
    <w:basedOn w:val="Normal"/>
    <w:next w:val="Normal"/>
    <w:autoRedefine/>
    <w:uiPriority w:val="39"/>
    <w:unhideWhenUsed/>
    <w:rsid w:val="00E9158B"/>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E9158B"/>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E9158B"/>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E9158B"/>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E9158B"/>
    <w:pPr>
      <w:spacing w:after="100" w:line="259" w:lineRule="auto"/>
      <w:ind w:left="1760"/>
    </w:pPr>
    <w:rPr>
      <w:rFonts w:asciiTheme="minorHAnsi" w:eastAsiaTheme="minorEastAsia" w:hAnsiTheme="minorHAnsi" w:cstheme="minorBidi"/>
      <w:lang w:eastAsia="en-AU"/>
    </w:rPr>
  </w:style>
  <w:style w:type="character" w:styleId="CommentReference">
    <w:name w:val="annotation reference"/>
    <w:basedOn w:val="DefaultParagraphFont"/>
    <w:uiPriority w:val="99"/>
    <w:semiHidden/>
    <w:unhideWhenUsed/>
    <w:rsid w:val="00A04F1D"/>
    <w:rPr>
      <w:sz w:val="16"/>
      <w:szCs w:val="16"/>
    </w:rPr>
  </w:style>
  <w:style w:type="paragraph" w:styleId="CommentText">
    <w:name w:val="annotation text"/>
    <w:basedOn w:val="Normal"/>
    <w:link w:val="CommentTextChar"/>
    <w:uiPriority w:val="99"/>
    <w:unhideWhenUsed/>
    <w:rsid w:val="00A04F1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04F1D"/>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A04F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F1D"/>
    <w:rPr>
      <w:rFonts w:ascii="Segoe UI" w:hAnsi="Segoe UI" w:cs="Segoe UI"/>
      <w:sz w:val="18"/>
      <w:szCs w:val="18"/>
    </w:rPr>
  </w:style>
  <w:style w:type="character" w:customStyle="1" w:styleId="UnresolvedMention2">
    <w:name w:val="Unresolved Mention2"/>
    <w:basedOn w:val="DefaultParagraphFont"/>
    <w:uiPriority w:val="99"/>
    <w:semiHidden/>
    <w:unhideWhenUsed/>
    <w:rsid w:val="003C6C88"/>
    <w:rPr>
      <w:color w:val="605E5C"/>
      <w:shd w:val="clear" w:color="auto" w:fill="E1DFDD"/>
    </w:rPr>
  </w:style>
  <w:style w:type="paragraph" w:styleId="PlainText">
    <w:name w:val="Plain Text"/>
    <w:basedOn w:val="Normal"/>
    <w:link w:val="PlainTextChar"/>
    <w:uiPriority w:val="99"/>
    <w:unhideWhenUsed/>
    <w:rsid w:val="004206AD"/>
    <w:pPr>
      <w:spacing w:after="0"/>
    </w:pPr>
    <w:rPr>
      <w:rFonts w:ascii="Calibri" w:eastAsiaTheme="minorHAnsi" w:hAnsi="Calibri" w:cs="Calibri"/>
    </w:rPr>
  </w:style>
  <w:style w:type="character" w:customStyle="1" w:styleId="PlainTextChar">
    <w:name w:val="Plain Text Char"/>
    <w:basedOn w:val="DefaultParagraphFont"/>
    <w:link w:val="PlainText"/>
    <w:uiPriority w:val="99"/>
    <w:rsid w:val="004206AD"/>
    <w:rPr>
      <w:rFonts w:ascii="Calibri" w:eastAsiaTheme="minorHAnsi" w:hAnsi="Calibri" w:cs="Calibri"/>
    </w:rPr>
  </w:style>
  <w:style w:type="character" w:customStyle="1" w:styleId="UnresolvedMention3">
    <w:name w:val="Unresolved Mention3"/>
    <w:basedOn w:val="DefaultParagraphFont"/>
    <w:uiPriority w:val="99"/>
    <w:semiHidden/>
    <w:unhideWhenUsed/>
    <w:rsid w:val="000C3DD0"/>
    <w:rPr>
      <w:color w:val="605E5C"/>
      <w:shd w:val="clear" w:color="auto" w:fill="E1DFDD"/>
    </w:rPr>
  </w:style>
  <w:style w:type="paragraph" w:customStyle="1" w:styleId="Footnotesection">
    <w:name w:val="Footnote(section)"/>
    <w:rsid w:val="002278CD"/>
    <w:pPr>
      <w:keepLines/>
      <w:tabs>
        <w:tab w:val="left" w:pos="893"/>
      </w:tabs>
      <w:spacing w:before="120" w:after="0" w:line="260" w:lineRule="atLeast"/>
      <w:ind w:left="893" w:hanging="893"/>
    </w:pPr>
    <w:rPr>
      <w:rFonts w:ascii="Times New Roman" w:eastAsia="Times New Roman" w:hAnsi="Times New Roman"/>
      <w:i/>
      <w:snapToGrid w:val="0"/>
      <w:sz w:val="24"/>
      <w:szCs w:val="20"/>
      <w:lang w:eastAsia="en-AU"/>
    </w:rPr>
  </w:style>
  <w:style w:type="paragraph" w:customStyle="1" w:styleId="Indenti">
    <w:name w:val="Indent(i)"/>
    <w:rsid w:val="002278CD"/>
    <w:pPr>
      <w:tabs>
        <w:tab w:val="right" w:pos="2041"/>
        <w:tab w:val="left" w:pos="2325"/>
      </w:tabs>
      <w:spacing w:before="80" w:after="0" w:line="260" w:lineRule="atLeast"/>
      <w:ind w:left="2325" w:hanging="2325"/>
    </w:pPr>
    <w:rPr>
      <w:rFonts w:ascii="Times New Roman" w:eastAsia="Times New Roman" w:hAnsi="Times New Roman"/>
      <w:sz w:val="24"/>
      <w:szCs w:val="20"/>
      <w:lang w:eastAsia="en-AU"/>
    </w:rPr>
  </w:style>
  <w:style w:type="character" w:customStyle="1" w:styleId="CharSectno">
    <w:name w:val="CharSectno"/>
    <w:rsid w:val="002278CD"/>
    <w:rPr>
      <w:noProof w:val="0"/>
    </w:rPr>
  </w:style>
  <w:style w:type="paragraph" w:customStyle="1" w:styleId="DraftHeading5">
    <w:name w:val="Draft Heading 5"/>
    <w:basedOn w:val="Normal"/>
    <w:next w:val="Normal"/>
    <w:rsid w:val="00352179"/>
    <w:pPr>
      <w:overflowPunct w:val="0"/>
      <w:autoSpaceDE w:val="0"/>
      <w:autoSpaceDN w:val="0"/>
      <w:adjustRightInd w:val="0"/>
      <w:spacing w:before="120" w:after="0"/>
      <w:textAlignment w:val="baseline"/>
    </w:pPr>
    <w:rPr>
      <w:rFonts w:ascii="Times New Roman" w:eastAsia="Times New Roman" w:hAnsi="Times New Roman"/>
      <w:sz w:val="24"/>
      <w:szCs w:val="20"/>
    </w:rPr>
  </w:style>
  <w:style w:type="paragraph" w:customStyle="1" w:styleId="Heading-PART">
    <w:name w:val="Heading - PART"/>
    <w:next w:val="Normal"/>
    <w:rsid w:val="00352179"/>
    <w:pPr>
      <w:overflowPunct w:val="0"/>
      <w:autoSpaceDE w:val="0"/>
      <w:autoSpaceDN w:val="0"/>
      <w:adjustRightInd w:val="0"/>
      <w:spacing w:before="240" w:after="120"/>
      <w:jc w:val="center"/>
      <w:textAlignment w:val="baseline"/>
      <w:outlineLvl w:val="0"/>
    </w:pPr>
    <w:rPr>
      <w:rFonts w:ascii="Times New Roman" w:eastAsia="Times New Roman" w:hAnsi="Times New Roman"/>
      <w:b/>
      <w:caps/>
      <w:szCs w:val="20"/>
    </w:rPr>
  </w:style>
  <w:style w:type="paragraph" w:customStyle="1" w:styleId="DraftDefinition2">
    <w:name w:val="Draft Definition 2"/>
    <w:next w:val="Normal"/>
    <w:rsid w:val="0035217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ind w:left="1871" w:hanging="510"/>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B040DA"/>
    <w:pPr>
      <w:spacing w:after="200"/>
    </w:pPr>
    <w:rPr>
      <w:rFonts w:ascii="Lato" w:eastAsia="Calibri" w:hAnsi="Lato" w:cs="Times New Roman"/>
      <w:b/>
      <w:bCs/>
    </w:rPr>
  </w:style>
  <w:style w:type="character" w:customStyle="1" w:styleId="CommentSubjectChar">
    <w:name w:val="Comment Subject Char"/>
    <w:basedOn w:val="CommentTextChar"/>
    <w:link w:val="CommentSubject"/>
    <w:uiPriority w:val="99"/>
    <w:semiHidden/>
    <w:rsid w:val="00B040DA"/>
    <w:rPr>
      <w:rFonts w:ascii="Lato" w:eastAsiaTheme="minorHAnsi" w:hAnsi="Lato" w:cstheme="minorBidi"/>
      <w:b/>
      <w:bCs/>
      <w:sz w:val="20"/>
      <w:szCs w:val="20"/>
    </w:rPr>
  </w:style>
  <w:style w:type="character" w:customStyle="1" w:styleId="frag-no">
    <w:name w:val="frag-no"/>
    <w:basedOn w:val="DefaultParagraphFont"/>
    <w:rsid w:val="00F87055"/>
  </w:style>
  <w:style w:type="character" w:customStyle="1" w:styleId="frag-heading">
    <w:name w:val="frag-heading"/>
    <w:basedOn w:val="DefaultParagraphFont"/>
    <w:rsid w:val="00F87055"/>
  </w:style>
  <w:style w:type="character" w:customStyle="1" w:styleId="frag-defterm">
    <w:name w:val="frag-defterm"/>
    <w:basedOn w:val="DefaultParagraphFont"/>
    <w:rsid w:val="00F87055"/>
  </w:style>
  <w:style w:type="character" w:customStyle="1" w:styleId="legpartno">
    <w:name w:val="legpartno"/>
    <w:basedOn w:val="DefaultParagraphFont"/>
    <w:rsid w:val="00B209F3"/>
  </w:style>
  <w:style w:type="character" w:customStyle="1" w:styleId="legparttitle">
    <w:name w:val="legparttitle"/>
    <w:basedOn w:val="DefaultParagraphFont"/>
    <w:rsid w:val="00B209F3"/>
  </w:style>
  <w:style w:type="character" w:customStyle="1" w:styleId="legpblocktitle">
    <w:name w:val="legpblocktitle"/>
    <w:basedOn w:val="DefaultParagraphFont"/>
    <w:rsid w:val="00B209F3"/>
  </w:style>
  <w:style w:type="character" w:customStyle="1" w:styleId="legds">
    <w:name w:val="legds"/>
    <w:basedOn w:val="DefaultParagraphFont"/>
    <w:rsid w:val="00B209F3"/>
  </w:style>
  <w:style w:type="paragraph" w:customStyle="1" w:styleId="legclearfix">
    <w:name w:val="legclearfix"/>
    <w:basedOn w:val="Normal"/>
    <w:rsid w:val="00B209F3"/>
    <w:pPr>
      <w:spacing w:before="100" w:beforeAutospacing="1" w:after="100" w:afterAutospacing="1"/>
    </w:pPr>
    <w:rPr>
      <w:rFonts w:ascii="Times New Roman" w:eastAsia="Times New Roman" w:hAnsi="Times New Roman"/>
      <w:sz w:val="24"/>
      <w:szCs w:val="24"/>
      <w:lang w:eastAsia="en-AU"/>
    </w:rPr>
  </w:style>
  <w:style w:type="paragraph" w:customStyle="1" w:styleId="legrhs">
    <w:name w:val="legrhs"/>
    <w:basedOn w:val="Normal"/>
    <w:rsid w:val="00B209F3"/>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8A5555"/>
    <w:pPr>
      <w:autoSpaceDE w:val="0"/>
      <w:autoSpaceDN w:val="0"/>
      <w:adjustRightInd w:val="0"/>
      <w:spacing w:after="0"/>
    </w:pPr>
    <w:rPr>
      <w:rFonts w:ascii="Tahoma" w:hAnsi="Tahoma" w:cs="Tahoma"/>
      <w:color w:val="000000"/>
      <w:sz w:val="24"/>
      <w:szCs w:val="24"/>
    </w:rPr>
  </w:style>
  <w:style w:type="character" w:customStyle="1" w:styleId="A7">
    <w:name w:val="A7"/>
    <w:uiPriority w:val="99"/>
    <w:rsid w:val="008A5555"/>
    <w:rPr>
      <w:color w:val="000000"/>
      <w:sz w:val="14"/>
      <w:szCs w:val="14"/>
    </w:rPr>
  </w:style>
  <w:style w:type="character" w:customStyle="1" w:styleId="A8">
    <w:name w:val="A8"/>
    <w:uiPriority w:val="99"/>
    <w:rsid w:val="001C5B26"/>
    <w:rPr>
      <w:color w:val="000000"/>
    </w:rPr>
  </w:style>
  <w:style w:type="paragraph" w:customStyle="1" w:styleId="leglisttextstandard">
    <w:name w:val="leglisttextstandard"/>
    <w:basedOn w:val="Normal"/>
    <w:rsid w:val="00990D20"/>
    <w:pPr>
      <w:spacing w:before="100" w:beforeAutospacing="1" w:after="100" w:afterAutospacing="1"/>
    </w:pPr>
    <w:rPr>
      <w:rFonts w:ascii="Times New Roman" w:eastAsia="Times New Roman" w:hAnsi="Times New Roman"/>
      <w:sz w:val="24"/>
      <w:szCs w:val="24"/>
      <w:lang w:eastAsia="en-AU"/>
    </w:rPr>
  </w:style>
  <w:style w:type="character" w:customStyle="1" w:styleId="UnresolvedMention4">
    <w:name w:val="Unresolved Mention4"/>
    <w:basedOn w:val="DefaultParagraphFont"/>
    <w:uiPriority w:val="99"/>
    <w:semiHidden/>
    <w:unhideWhenUsed/>
    <w:rsid w:val="00385A00"/>
    <w:rPr>
      <w:color w:val="605E5C"/>
      <w:shd w:val="clear" w:color="auto" w:fill="E1DFDD"/>
    </w:rPr>
  </w:style>
  <w:style w:type="paragraph" w:styleId="Revision">
    <w:name w:val="Revision"/>
    <w:hidden/>
    <w:uiPriority w:val="99"/>
    <w:semiHidden/>
    <w:rsid w:val="004F6C94"/>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862">
      <w:bodyDiv w:val="1"/>
      <w:marLeft w:val="0"/>
      <w:marRight w:val="0"/>
      <w:marTop w:val="0"/>
      <w:marBottom w:val="0"/>
      <w:divBdr>
        <w:top w:val="none" w:sz="0" w:space="0" w:color="auto"/>
        <w:left w:val="none" w:sz="0" w:space="0" w:color="auto"/>
        <w:bottom w:val="none" w:sz="0" w:space="0" w:color="auto"/>
        <w:right w:val="none" w:sz="0" w:space="0" w:color="auto"/>
      </w:divBdr>
    </w:div>
    <w:div w:id="86658514">
      <w:bodyDiv w:val="1"/>
      <w:marLeft w:val="0"/>
      <w:marRight w:val="0"/>
      <w:marTop w:val="0"/>
      <w:marBottom w:val="0"/>
      <w:divBdr>
        <w:top w:val="none" w:sz="0" w:space="0" w:color="auto"/>
        <w:left w:val="none" w:sz="0" w:space="0" w:color="auto"/>
        <w:bottom w:val="none" w:sz="0" w:space="0" w:color="auto"/>
        <w:right w:val="none" w:sz="0" w:space="0" w:color="auto"/>
      </w:divBdr>
    </w:div>
    <w:div w:id="87508370">
      <w:bodyDiv w:val="1"/>
      <w:marLeft w:val="0"/>
      <w:marRight w:val="0"/>
      <w:marTop w:val="0"/>
      <w:marBottom w:val="0"/>
      <w:divBdr>
        <w:top w:val="none" w:sz="0" w:space="0" w:color="auto"/>
        <w:left w:val="none" w:sz="0" w:space="0" w:color="auto"/>
        <w:bottom w:val="none" w:sz="0" w:space="0" w:color="auto"/>
        <w:right w:val="none" w:sz="0" w:space="0" w:color="auto"/>
      </w:divBdr>
      <w:divsChild>
        <w:div w:id="1036344834">
          <w:marLeft w:val="547"/>
          <w:marRight w:val="0"/>
          <w:marTop w:val="0"/>
          <w:marBottom w:val="0"/>
          <w:divBdr>
            <w:top w:val="none" w:sz="0" w:space="0" w:color="auto"/>
            <w:left w:val="none" w:sz="0" w:space="0" w:color="auto"/>
            <w:bottom w:val="none" w:sz="0" w:space="0" w:color="auto"/>
            <w:right w:val="none" w:sz="0" w:space="0" w:color="auto"/>
          </w:divBdr>
        </w:div>
        <w:div w:id="1256402921">
          <w:marLeft w:val="547"/>
          <w:marRight w:val="0"/>
          <w:marTop w:val="0"/>
          <w:marBottom w:val="0"/>
          <w:divBdr>
            <w:top w:val="none" w:sz="0" w:space="0" w:color="auto"/>
            <w:left w:val="none" w:sz="0" w:space="0" w:color="auto"/>
            <w:bottom w:val="none" w:sz="0" w:space="0" w:color="auto"/>
            <w:right w:val="none" w:sz="0" w:space="0" w:color="auto"/>
          </w:divBdr>
        </w:div>
      </w:divsChild>
    </w:div>
    <w:div w:id="103548488">
      <w:bodyDiv w:val="1"/>
      <w:marLeft w:val="0"/>
      <w:marRight w:val="0"/>
      <w:marTop w:val="0"/>
      <w:marBottom w:val="0"/>
      <w:divBdr>
        <w:top w:val="none" w:sz="0" w:space="0" w:color="auto"/>
        <w:left w:val="none" w:sz="0" w:space="0" w:color="auto"/>
        <w:bottom w:val="none" w:sz="0" w:space="0" w:color="auto"/>
        <w:right w:val="none" w:sz="0" w:space="0" w:color="auto"/>
      </w:divBdr>
    </w:div>
    <w:div w:id="119614440">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9205180">
      <w:bodyDiv w:val="1"/>
      <w:marLeft w:val="0"/>
      <w:marRight w:val="0"/>
      <w:marTop w:val="0"/>
      <w:marBottom w:val="0"/>
      <w:divBdr>
        <w:top w:val="none" w:sz="0" w:space="0" w:color="auto"/>
        <w:left w:val="none" w:sz="0" w:space="0" w:color="auto"/>
        <w:bottom w:val="none" w:sz="0" w:space="0" w:color="auto"/>
        <w:right w:val="none" w:sz="0" w:space="0" w:color="auto"/>
      </w:divBdr>
    </w:div>
    <w:div w:id="192773150">
      <w:bodyDiv w:val="1"/>
      <w:marLeft w:val="0"/>
      <w:marRight w:val="0"/>
      <w:marTop w:val="0"/>
      <w:marBottom w:val="0"/>
      <w:divBdr>
        <w:top w:val="none" w:sz="0" w:space="0" w:color="auto"/>
        <w:left w:val="none" w:sz="0" w:space="0" w:color="auto"/>
        <w:bottom w:val="none" w:sz="0" w:space="0" w:color="auto"/>
        <w:right w:val="none" w:sz="0" w:space="0" w:color="auto"/>
      </w:divBdr>
      <w:divsChild>
        <w:div w:id="421414729">
          <w:marLeft w:val="547"/>
          <w:marRight w:val="0"/>
          <w:marTop w:val="0"/>
          <w:marBottom w:val="0"/>
          <w:divBdr>
            <w:top w:val="none" w:sz="0" w:space="0" w:color="auto"/>
            <w:left w:val="none" w:sz="0" w:space="0" w:color="auto"/>
            <w:bottom w:val="none" w:sz="0" w:space="0" w:color="auto"/>
            <w:right w:val="none" w:sz="0" w:space="0" w:color="auto"/>
          </w:divBdr>
        </w:div>
        <w:div w:id="394470853">
          <w:marLeft w:val="547"/>
          <w:marRight w:val="0"/>
          <w:marTop w:val="0"/>
          <w:marBottom w:val="0"/>
          <w:divBdr>
            <w:top w:val="none" w:sz="0" w:space="0" w:color="auto"/>
            <w:left w:val="none" w:sz="0" w:space="0" w:color="auto"/>
            <w:bottom w:val="none" w:sz="0" w:space="0" w:color="auto"/>
            <w:right w:val="none" w:sz="0" w:space="0" w:color="auto"/>
          </w:divBdr>
        </w:div>
        <w:div w:id="518737193">
          <w:marLeft w:val="547"/>
          <w:marRight w:val="0"/>
          <w:marTop w:val="0"/>
          <w:marBottom w:val="0"/>
          <w:divBdr>
            <w:top w:val="none" w:sz="0" w:space="0" w:color="auto"/>
            <w:left w:val="none" w:sz="0" w:space="0" w:color="auto"/>
            <w:bottom w:val="none" w:sz="0" w:space="0" w:color="auto"/>
            <w:right w:val="none" w:sz="0" w:space="0" w:color="auto"/>
          </w:divBdr>
        </w:div>
        <w:div w:id="1021735754">
          <w:marLeft w:val="2448"/>
          <w:marRight w:val="0"/>
          <w:marTop w:val="100"/>
          <w:marBottom w:val="0"/>
          <w:divBdr>
            <w:top w:val="none" w:sz="0" w:space="0" w:color="auto"/>
            <w:left w:val="none" w:sz="0" w:space="0" w:color="auto"/>
            <w:bottom w:val="none" w:sz="0" w:space="0" w:color="auto"/>
            <w:right w:val="none" w:sz="0" w:space="0" w:color="auto"/>
          </w:divBdr>
        </w:div>
      </w:divsChild>
    </w:div>
    <w:div w:id="195505237">
      <w:bodyDiv w:val="1"/>
      <w:marLeft w:val="0"/>
      <w:marRight w:val="0"/>
      <w:marTop w:val="0"/>
      <w:marBottom w:val="0"/>
      <w:divBdr>
        <w:top w:val="none" w:sz="0" w:space="0" w:color="auto"/>
        <w:left w:val="none" w:sz="0" w:space="0" w:color="auto"/>
        <w:bottom w:val="none" w:sz="0" w:space="0" w:color="auto"/>
        <w:right w:val="none" w:sz="0" w:space="0" w:color="auto"/>
      </w:divBdr>
      <w:divsChild>
        <w:div w:id="2007854080">
          <w:marLeft w:val="547"/>
          <w:marRight w:val="0"/>
          <w:marTop w:val="0"/>
          <w:marBottom w:val="0"/>
          <w:divBdr>
            <w:top w:val="none" w:sz="0" w:space="0" w:color="auto"/>
            <w:left w:val="none" w:sz="0" w:space="0" w:color="auto"/>
            <w:bottom w:val="none" w:sz="0" w:space="0" w:color="auto"/>
            <w:right w:val="none" w:sz="0" w:space="0" w:color="auto"/>
          </w:divBdr>
        </w:div>
        <w:div w:id="1129324559">
          <w:marLeft w:val="2448"/>
          <w:marRight w:val="0"/>
          <w:marTop w:val="100"/>
          <w:marBottom w:val="0"/>
          <w:divBdr>
            <w:top w:val="none" w:sz="0" w:space="0" w:color="auto"/>
            <w:left w:val="none" w:sz="0" w:space="0" w:color="auto"/>
            <w:bottom w:val="none" w:sz="0" w:space="0" w:color="auto"/>
            <w:right w:val="none" w:sz="0" w:space="0" w:color="auto"/>
          </w:divBdr>
        </w:div>
        <w:div w:id="392506616">
          <w:marLeft w:val="2448"/>
          <w:marRight w:val="0"/>
          <w:marTop w:val="100"/>
          <w:marBottom w:val="0"/>
          <w:divBdr>
            <w:top w:val="none" w:sz="0" w:space="0" w:color="auto"/>
            <w:left w:val="none" w:sz="0" w:space="0" w:color="auto"/>
            <w:bottom w:val="none" w:sz="0" w:space="0" w:color="auto"/>
            <w:right w:val="none" w:sz="0" w:space="0" w:color="auto"/>
          </w:divBdr>
        </w:div>
        <w:div w:id="1345786496">
          <w:marLeft w:val="547"/>
          <w:marRight w:val="0"/>
          <w:marTop w:val="0"/>
          <w:marBottom w:val="0"/>
          <w:divBdr>
            <w:top w:val="none" w:sz="0" w:space="0" w:color="auto"/>
            <w:left w:val="none" w:sz="0" w:space="0" w:color="auto"/>
            <w:bottom w:val="none" w:sz="0" w:space="0" w:color="auto"/>
            <w:right w:val="none" w:sz="0" w:space="0" w:color="auto"/>
          </w:divBdr>
        </w:div>
        <w:div w:id="1528905293">
          <w:marLeft w:val="2448"/>
          <w:marRight w:val="0"/>
          <w:marTop w:val="100"/>
          <w:marBottom w:val="0"/>
          <w:divBdr>
            <w:top w:val="none" w:sz="0" w:space="0" w:color="auto"/>
            <w:left w:val="none" w:sz="0" w:space="0" w:color="auto"/>
            <w:bottom w:val="none" w:sz="0" w:space="0" w:color="auto"/>
            <w:right w:val="none" w:sz="0" w:space="0" w:color="auto"/>
          </w:divBdr>
        </w:div>
        <w:div w:id="466314214">
          <w:marLeft w:val="547"/>
          <w:marRight w:val="0"/>
          <w:marTop w:val="0"/>
          <w:marBottom w:val="0"/>
          <w:divBdr>
            <w:top w:val="none" w:sz="0" w:space="0" w:color="auto"/>
            <w:left w:val="none" w:sz="0" w:space="0" w:color="auto"/>
            <w:bottom w:val="none" w:sz="0" w:space="0" w:color="auto"/>
            <w:right w:val="none" w:sz="0" w:space="0" w:color="auto"/>
          </w:divBdr>
        </w:div>
      </w:divsChild>
    </w:div>
    <w:div w:id="245846711">
      <w:bodyDiv w:val="1"/>
      <w:marLeft w:val="0"/>
      <w:marRight w:val="0"/>
      <w:marTop w:val="0"/>
      <w:marBottom w:val="0"/>
      <w:divBdr>
        <w:top w:val="none" w:sz="0" w:space="0" w:color="auto"/>
        <w:left w:val="none" w:sz="0" w:space="0" w:color="auto"/>
        <w:bottom w:val="none" w:sz="0" w:space="0" w:color="auto"/>
        <w:right w:val="none" w:sz="0" w:space="0" w:color="auto"/>
      </w:divBdr>
      <w:divsChild>
        <w:div w:id="1675571979">
          <w:marLeft w:val="547"/>
          <w:marRight w:val="0"/>
          <w:marTop w:val="0"/>
          <w:marBottom w:val="0"/>
          <w:divBdr>
            <w:top w:val="none" w:sz="0" w:space="0" w:color="auto"/>
            <w:left w:val="none" w:sz="0" w:space="0" w:color="auto"/>
            <w:bottom w:val="none" w:sz="0" w:space="0" w:color="auto"/>
            <w:right w:val="none" w:sz="0" w:space="0" w:color="auto"/>
          </w:divBdr>
        </w:div>
        <w:div w:id="571309359">
          <w:marLeft w:val="547"/>
          <w:marRight w:val="0"/>
          <w:marTop w:val="0"/>
          <w:marBottom w:val="0"/>
          <w:divBdr>
            <w:top w:val="none" w:sz="0" w:space="0" w:color="auto"/>
            <w:left w:val="none" w:sz="0" w:space="0" w:color="auto"/>
            <w:bottom w:val="none" w:sz="0" w:space="0" w:color="auto"/>
            <w:right w:val="none" w:sz="0" w:space="0" w:color="auto"/>
          </w:divBdr>
        </w:div>
      </w:divsChild>
    </w:div>
    <w:div w:id="261113321">
      <w:bodyDiv w:val="1"/>
      <w:marLeft w:val="0"/>
      <w:marRight w:val="0"/>
      <w:marTop w:val="0"/>
      <w:marBottom w:val="0"/>
      <w:divBdr>
        <w:top w:val="none" w:sz="0" w:space="0" w:color="auto"/>
        <w:left w:val="none" w:sz="0" w:space="0" w:color="auto"/>
        <w:bottom w:val="none" w:sz="0" w:space="0" w:color="auto"/>
        <w:right w:val="none" w:sz="0" w:space="0" w:color="auto"/>
      </w:divBdr>
    </w:div>
    <w:div w:id="358698253">
      <w:bodyDiv w:val="1"/>
      <w:marLeft w:val="0"/>
      <w:marRight w:val="0"/>
      <w:marTop w:val="0"/>
      <w:marBottom w:val="0"/>
      <w:divBdr>
        <w:top w:val="none" w:sz="0" w:space="0" w:color="auto"/>
        <w:left w:val="none" w:sz="0" w:space="0" w:color="auto"/>
        <w:bottom w:val="none" w:sz="0" w:space="0" w:color="auto"/>
        <w:right w:val="none" w:sz="0" w:space="0" w:color="auto"/>
      </w:divBdr>
      <w:divsChild>
        <w:div w:id="68813982">
          <w:marLeft w:val="547"/>
          <w:marRight w:val="0"/>
          <w:marTop w:val="0"/>
          <w:marBottom w:val="0"/>
          <w:divBdr>
            <w:top w:val="none" w:sz="0" w:space="0" w:color="auto"/>
            <w:left w:val="none" w:sz="0" w:space="0" w:color="auto"/>
            <w:bottom w:val="none" w:sz="0" w:space="0" w:color="auto"/>
            <w:right w:val="none" w:sz="0" w:space="0" w:color="auto"/>
          </w:divBdr>
        </w:div>
        <w:div w:id="1894926088">
          <w:marLeft w:val="547"/>
          <w:marRight w:val="0"/>
          <w:marTop w:val="0"/>
          <w:marBottom w:val="0"/>
          <w:divBdr>
            <w:top w:val="none" w:sz="0" w:space="0" w:color="auto"/>
            <w:left w:val="none" w:sz="0" w:space="0" w:color="auto"/>
            <w:bottom w:val="none" w:sz="0" w:space="0" w:color="auto"/>
            <w:right w:val="none" w:sz="0" w:space="0" w:color="auto"/>
          </w:divBdr>
        </w:div>
        <w:div w:id="1359966190">
          <w:marLeft w:val="547"/>
          <w:marRight w:val="0"/>
          <w:marTop w:val="0"/>
          <w:marBottom w:val="0"/>
          <w:divBdr>
            <w:top w:val="none" w:sz="0" w:space="0" w:color="auto"/>
            <w:left w:val="none" w:sz="0" w:space="0" w:color="auto"/>
            <w:bottom w:val="none" w:sz="0" w:space="0" w:color="auto"/>
            <w:right w:val="none" w:sz="0" w:space="0" w:color="auto"/>
          </w:divBdr>
        </w:div>
      </w:divsChild>
    </w:div>
    <w:div w:id="369381722">
      <w:bodyDiv w:val="1"/>
      <w:marLeft w:val="0"/>
      <w:marRight w:val="0"/>
      <w:marTop w:val="0"/>
      <w:marBottom w:val="0"/>
      <w:divBdr>
        <w:top w:val="none" w:sz="0" w:space="0" w:color="auto"/>
        <w:left w:val="none" w:sz="0" w:space="0" w:color="auto"/>
        <w:bottom w:val="none" w:sz="0" w:space="0" w:color="auto"/>
        <w:right w:val="none" w:sz="0" w:space="0" w:color="auto"/>
      </w:divBdr>
    </w:div>
    <w:div w:id="424618502">
      <w:bodyDiv w:val="1"/>
      <w:marLeft w:val="0"/>
      <w:marRight w:val="0"/>
      <w:marTop w:val="0"/>
      <w:marBottom w:val="0"/>
      <w:divBdr>
        <w:top w:val="none" w:sz="0" w:space="0" w:color="auto"/>
        <w:left w:val="none" w:sz="0" w:space="0" w:color="auto"/>
        <w:bottom w:val="none" w:sz="0" w:space="0" w:color="auto"/>
        <w:right w:val="none" w:sz="0" w:space="0" w:color="auto"/>
      </w:divBdr>
    </w:div>
    <w:div w:id="450367542">
      <w:bodyDiv w:val="1"/>
      <w:marLeft w:val="0"/>
      <w:marRight w:val="0"/>
      <w:marTop w:val="0"/>
      <w:marBottom w:val="0"/>
      <w:divBdr>
        <w:top w:val="none" w:sz="0" w:space="0" w:color="auto"/>
        <w:left w:val="none" w:sz="0" w:space="0" w:color="auto"/>
        <w:bottom w:val="none" w:sz="0" w:space="0" w:color="auto"/>
        <w:right w:val="none" w:sz="0" w:space="0" w:color="auto"/>
      </w:divBdr>
      <w:divsChild>
        <w:div w:id="1796873575">
          <w:marLeft w:val="720"/>
          <w:marRight w:val="0"/>
          <w:marTop w:val="0"/>
          <w:marBottom w:val="0"/>
          <w:divBdr>
            <w:top w:val="none" w:sz="0" w:space="0" w:color="auto"/>
            <w:left w:val="none" w:sz="0" w:space="0" w:color="auto"/>
            <w:bottom w:val="none" w:sz="0" w:space="0" w:color="auto"/>
            <w:right w:val="none" w:sz="0" w:space="0" w:color="auto"/>
          </w:divBdr>
        </w:div>
        <w:div w:id="1230651454">
          <w:marLeft w:val="720"/>
          <w:marRight w:val="0"/>
          <w:marTop w:val="0"/>
          <w:marBottom w:val="0"/>
          <w:divBdr>
            <w:top w:val="none" w:sz="0" w:space="0" w:color="auto"/>
            <w:left w:val="none" w:sz="0" w:space="0" w:color="auto"/>
            <w:bottom w:val="none" w:sz="0" w:space="0" w:color="auto"/>
            <w:right w:val="none" w:sz="0" w:space="0" w:color="auto"/>
          </w:divBdr>
        </w:div>
        <w:div w:id="1115098257">
          <w:marLeft w:val="720"/>
          <w:marRight w:val="0"/>
          <w:marTop w:val="0"/>
          <w:marBottom w:val="0"/>
          <w:divBdr>
            <w:top w:val="none" w:sz="0" w:space="0" w:color="auto"/>
            <w:left w:val="none" w:sz="0" w:space="0" w:color="auto"/>
            <w:bottom w:val="none" w:sz="0" w:space="0" w:color="auto"/>
            <w:right w:val="none" w:sz="0" w:space="0" w:color="auto"/>
          </w:divBdr>
        </w:div>
      </w:divsChild>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16193963">
      <w:bodyDiv w:val="1"/>
      <w:marLeft w:val="0"/>
      <w:marRight w:val="0"/>
      <w:marTop w:val="0"/>
      <w:marBottom w:val="0"/>
      <w:divBdr>
        <w:top w:val="none" w:sz="0" w:space="0" w:color="auto"/>
        <w:left w:val="none" w:sz="0" w:space="0" w:color="auto"/>
        <w:bottom w:val="none" w:sz="0" w:space="0" w:color="auto"/>
        <w:right w:val="none" w:sz="0" w:space="0" w:color="auto"/>
      </w:divBdr>
    </w:div>
    <w:div w:id="525603141">
      <w:bodyDiv w:val="1"/>
      <w:marLeft w:val="0"/>
      <w:marRight w:val="0"/>
      <w:marTop w:val="0"/>
      <w:marBottom w:val="0"/>
      <w:divBdr>
        <w:top w:val="none" w:sz="0" w:space="0" w:color="auto"/>
        <w:left w:val="none" w:sz="0" w:space="0" w:color="auto"/>
        <w:bottom w:val="none" w:sz="0" w:space="0" w:color="auto"/>
        <w:right w:val="none" w:sz="0" w:space="0" w:color="auto"/>
      </w:divBdr>
    </w:div>
    <w:div w:id="543055627">
      <w:bodyDiv w:val="1"/>
      <w:marLeft w:val="0"/>
      <w:marRight w:val="0"/>
      <w:marTop w:val="0"/>
      <w:marBottom w:val="0"/>
      <w:divBdr>
        <w:top w:val="none" w:sz="0" w:space="0" w:color="auto"/>
        <w:left w:val="none" w:sz="0" w:space="0" w:color="auto"/>
        <w:bottom w:val="none" w:sz="0" w:space="0" w:color="auto"/>
        <w:right w:val="none" w:sz="0" w:space="0" w:color="auto"/>
      </w:divBdr>
      <w:divsChild>
        <w:div w:id="121507599">
          <w:marLeft w:val="720"/>
          <w:marRight w:val="0"/>
          <w:marTop w:val="0"/>
          <w:marBottom w:val="0"/>
          <w:divBdr>
            <w:top w:val="none" w:sz="0" w:space="0" w:color="auto"/>
            <w:left w:val="none" w:sz="0" w:space="0" w:color="auto"/>
            <w:bottom w:val="none" w:sz="0" w:space="0" w:color="auto"/>
            <w:right w:val="none" w:sz="0" w:space="0" w:color="auto"/>
          </w:divBdr>
        </w:div>
        <w:div w:id="1808861216">
          <w:marLeft w:val="1670"/>
          <w:marRight w:val="0"/>
          <w:marTop w:val="100"/>
          <w:marBottom w:val="0"/>
          <w:divBdr>
            <w:top w:val="none" w:sz="0" w:space="0" w:color="auto"/>
            <w:left w:val="none" w:sz="0" w:space="0" w:color="auto"/>
            <w:bottom w:val="none" w:sz="0" w:space="0" w:color="auto"/>
            <w:right w:val="none" w:sz="0" w:space="0" w:color="auto"/>
          </w:divBdr>
        </w:div>
        <w:div w:id="1280378605">
          <w:marLeft w:val="1670"/>
          <w:marRight w:val="0"/>
          <w:marTop w:val="100"/>
          <w:marBottom w:val="0"/>
          <w:divBdr>
            <w:top w:val="none" w:sz="0" w:space="0" w:color="auto"/>
            <w:left w:val="none" w:sz="0" w:space="0" w:color="auto"/>
            <w:bottom w:val="none" w:sz="0" w:space="0" w:color="auto"/>
            <w:right w:val="none" w:sz="0" w:space="0" w:color="auto"/>
          </w:divBdr>
        </w:div>
        <w:div w:id="1441072425">
          <w:marLeft w:val="1670"/>
          <w:marRight w:val="0"/>
          <w:marTop w:val="100"/>
          <w:marBottom w:val="0"/>
          <w:divBdr>
            <w:top w:val="none" w:sz="0" w:space="0" w:color="auto"/>
            <w:left w:val="none" w:sz="0" w:space="0" w:color="auto"/>
            <w:bottom w:val="none" w:sz="0" w:space="0" w:color="auto"/>
            <w:right w:val="none" w:sz="0" w:space="0" w:color="auto"/>
          </w:divBdr>
        </w:div>
        <w:div w:id="358818675">
          <w:marLeft w:val="1670"/>
          <w:marRight w:val="0"/>
          <w:marTop w:val="100"/>
          <w:marBottom w:val="0"/>
          <w:divBdr>
            <w:top w:val="none" w:sz="0" w:space="0" w:color="auto"/>
            <w:left w:val="none" w:sz="0" w:space="0" w:color="auto"/>
            <w:bottom w:val="none" w:sz="0" w:space="0" w:color="auto"/>
            <w:right w:val="none" w:sz="0" w:space="0" w:color="auto"/>
          </w:divBdr>
        </w:div>
        <w:div w:id="617878880">
          <w:marLeft w:val="720"/>
          <w:marRight w:val="0"/>
          <w:marTop w:val="0"/>
          <w:marBottom w:val="0"/>
          <w:divBdr>
            <w:top w:val="none" w:sz="0" w:space="0" w:color="auto"/>
            <w:left w:val="none" w:sz="0" w:space="0" w:color="auto"/>
            <w:bottom w:val="none" w:sz="0" w:space="0" w:color="auto"/>
            <w:right w:val="none" w:sz="0" w:space="0" w:color="auto"/>
          </w:divBdr>
        </w:div>
      </w:divsChild>
    </w:div>
    <w:div w:id="554514798">
      <w:bodyDiv w:val="1"/>
      <w:marLeft w:val="0"/>
      <w:marRight w:val="0"/>
      <w:marTop w:val="0"/>
      <w:marBottom w:val="0"/>
      <w:divBdr>
        <w:top w:val="none" w:sz="0" w:space="0" w:color="auto"/>
        <w:left w:val="none" w:sz="0" w:space="0" w:color="auto"/>
        <w:bottom w:val="none" w:sz="0" w:space="0" w:color="auto"/>
        <w:right w:val="none" w:sz="0" w:space="0" w:color="auto"/>
      </w:divBdr>
      <w:divsChild>
        <w:div w:id="1372731524">
          <w:marLeft w:val="0"/>
          <w:marRight w:val="0"/>
          <w:marTop w:val="0"/>
          <w:marBottom w:val="0"/>
          <w:divBdr>
            <w:top w:val="none" w:sz="0" w:space="0" w:color="auto"/>
            <w:left w:val="none" w:sz="0" w:space="0" w:color="auto"/>
            <w:bottom w:val="none" w:sz="0" w:space="0" w:color="auto"/>
            <w:right w:val="none" w:sz="0" w:space="0" w:color="auto"/>
          </w:divBdr>
        </w:div>
        <w:div w:id="733892674">
          <w:marLeft w:val="0"/>
          <w:marRight w:val="0"/>
          <w:marTop w:val="0"/>
          <w:marBottom w:val="0"/>
          <w:divBdr>
            <w:top w:val="none" w:sz="0" w:space="0" w:color="auto"/>
            <w:left w:val="none" w:sz="0" w:space="0" w:color="auto"/>
            <w:bottom w:val="none" w:sz="0" w:space="0" w:color="auto"/>
            <w:right w:val="none" w:sz="0" w:space="0" w:color="auto"/>
          </w:divBdr>
        </w:div>
        <w:div w:id="502164604">
          <w:marLeft w:val="0"/>
          <w:marRight w:val="0"/>
          <w:marTop w:val="0"/>
          <w:marBottom w:val="0"/>
          <w:divBdr>
            <w:top w:val="none" w:sz="0" w:space="0" w:color="auto"/>
            <w:left w:val="none" w:sz="0" w:space="0" w:color="auto"/>
            <w:bottom w:val="none" w:sz="0" w:space="0" w:color="auto"/>
            <w:right w:val="none" w:sz="0" w:space="0" w:color="auto"/>
          </w:divBdr>
        </w:div>
        <w:div w:id="1792437364">
          <w:marLeft w:val="0"/>
          <w:marRight w:val="0"/>
          <w:marTop w:val="0"/>
          <w:marBottom w:val="0"/>
          <w:divBdr>
            <w:top w:val="none" w:sz="0" w:space="0" w:color="auto"/>
            <w:left w:val="none" w:sz="0" w:space="0" w:color="auto"/>
            <w:bottom w:val="none" w:sz="0" w:space="0" w:color="auto"/>
            <w:right w:val="none" w:sz="0" w:space="0" w:color="auto"/>
          </w:divBdr>
        </w:div>
        <w:div w:id="1256014081">
          <w:marLeft w:val="0"/>
          <w:marRight w:val="0"/>
          <w:marTop w:val="0"/>
          <w:marBottom w:val="0"/>
          <w:divBdr>
            <w:top w:val="none" w:sz="0" w:space="0" w:color="auto"/>
            <w:left w:val="none" w:sz="0" w:space="0" w:color="auto"/>
            <w:bottom w:val="none" w:sz="0" w:space="0" w:color="auto"/>
            <w:right w:val="none" w:sz="0" w:space="0" w:color="auto"/>
          </w:divBdr>
        </w:div>
        <w:div w:id="1594044501">
          <w:marLeft w:val="0"/>
          <w:marRight w:val="0"/>
          <w:marTop w:val="0"/>
          <w:marBottom w:val="0"/>
          <w:divBdr>
            <w:top w:val="none" w:sz="0" w:space="0" w:color="auto"/>
            <w:left w:val="none" w:sz="0" w:space="0" w:color="auto"/>
            <w:bottom w:val="none" w:sz="0" w:space="0" w:color="auto"/>
            <w:right w:val="none" w:sz="0" w:space="0" w:color="auto"/>
          </w:divBdr>
        </w:div>
        <w:div w:id="1050569127">
          <w:marLeft w:val="0"/>
          <w:marRight w:val="0"/>
          <w:marTop w:val="0"/>
          <w:marBottom w:val="0"/>
          <w:divBdr>
            <w:top w:val="none" w:sz="0" w:space="0" w:color="auto"/>
            <w:left w:val="none" w:sz="0" w:space="0" w:color="auto"/>
            <w:bottom w:val="none" w:sz="0" w:space="0" w:color="auto"/>
            <w:right w:val="none" w:sz="0" w:space="0" w:color="auto"/>
          </w:divBdr>
        </w:div>
        <w:div w:id="1531842144">
          <w:marLeft w:val="0"/>
          <w:marRight w:val="0"/>
          <w:marTop w:val="0"/>
          <w:marBottom w:val="0"/>
          <w:divBdr>
            <w:top w:val="none" w:sz="0" w:space="0" w:color="auto"/>
            <w:left w:val="none" w:sz="0" w:space="0" w:color="auto"/>
            <w:bottom w:val="none" w:sz="0" w:space="0" w:color="auto"/>
            <w:right w:val="none" w:sz="0" w:space="0" w:color="auto"/>
          </w:divBdr>
        </w:div>
        <w:div w:id="2097899574">
          <w:marLeft w:val="0"/>
          <w:marRight w:val="0"/>
          <w:marTop w:val="0"/>
          <w:marBottom w:val="0"/>
          <w:divBdr>
            <w:top w:val="none" w:sz="0" w:space="0" w:color="auto"/>
            <w:left w:val="none" w:sz="0" w:space="0" w:color="auto"/>
            <w:bottom w:val="none" w:sz="0" w:space="0" w:color="auto"/>
            <w:right w:val="none" w:sz="0" w:space="0" w:color="auto"/>
          </w:divBdr>
        </w:div>
        <w:div w:id="278411145">
          <w:marLeft w:val="0"/>
          <w:marRight w:val="0"/>
          <w:marTop w:val="0"/>
          <w:marBottom w:val="0"/>
          <w:divBdr>
            <w:top w:val="none" w:sz="0" w:space="0" w:color="auto"/>
            <w:left w:val="none" w:sz="0" w:space="0" w:color="auto"/>
            <w:bottom w:val="none" w:sz="0" w:space="0" w:color="auto"/>
            <w:right w:val="none" w:sz="0" w:space="0" w:color="auto"/>
          </w:divBdr>
        </w:div>
        <w:div w:id="412968643">
          <w:marLeft w:val="0"/>
          <w:marRight w:val="0"/>
          <w:marTop w:val="0"/>
          <w:marBottom w:val="0"/>
          <w:divBdr>
            <w:top w:val="none" w:sz="0" w:space="0" w:color="auto"/>
            <w:left w:val="none" w:sz="0" w:space="0" w:color="auto"/>
            <w:bottom w:val="none" w:sz="0" w:space="0" w:color="auto"/>
            <w:right w:val="none" w:sz="0" w:space="0" w:color="auto"/>
          </w:divBdr>
        </w:div>
        <w:div w:id="1670793282">
          <w:marLeft w:val="0"/>
          <w:marRight w:val="0"/>
          <w:marTop w:val="0"/>
          <w:marBottom w:val="0"/>
          <w:divBdr>
            <w:top w:val="none" w:sz="0" w:space="0" w:color="auto"/>
            <w:left w:val="none" w:sz="0" w:space="0" w:color="auto"/>
            <w:bottom w:val="none" w:sz="0" w:space="0" w:color="auto"/>
            <w:right w:val="none" w:sz="0" w:space="0" w:color="auto"/>
          </w:divBdr>
        </w:div>
      </w:divsChild>
    </w:div>
    <w:div w:id="602349356">
      <w:bodyDiv w:val="1"/>
      <w:marLeft w:val="0"/>
      <w:marRight w:val="0"/>
      <w:marTop w:val="0"/>
      <w:marBottom w:val="0"/>
      <w:divBdr>
        <w:top w:val="none" w:sz="0" w:space="0" w:color="auto"/>
        <w:left w:val="none" w:sz="0" w:space="0" w:color="auto"/>
        <w:bottom w:val="none" w:sz="0" w:space="0" w:color="auto"/>
        <w:right w:val="none" w:sz="0" w:space="0" w:color="auto"/>
      </w:divBdr>
      <w:divsChild>
        <w:div w:id="477961669">
          <w:marLeft w:val="720"/>
          <w:marRight w:val="0"/>
          <w:marTop w:val="0"/>
          <w:marBottom w:val="0"/>
          <w:divBdr>
            <w:top w:val="none" w:sz="0" w:space="0" w:color="auto"/>
            <w:left w:val="none" w:sz="0" w:space="0" w:color="auto"/>
            <w:bottom w:val="none" w:sz="0" w:space="0" w:color="auto"/>
            <w:right w:val="none" w:sz="0" w:space="0" w:color="auto"/>
          </w:divBdr>
        </w:div>
        <w:div w:id="1915239668">
          <w:marLeft w:val="2635"/>
          <w:marRight w:val="0"/>
          <w:marTop w:val="100"/>
          <w:marBottom w:val="0"/>
          <w:divBdr>
            <w:top w:val="none" w:sz="0" w:space="0" w:color="auto"/>
            <w:left w:val="none" w:sz="0" w:space="0" w:color="auto"/>
            <w:bottom w:val="none" w:sz="0" w:space="0" w:color="auto"/>
            <w:right w:val="none" w:sz="0" w:space="0" w:color="auto"/>
          </w:divBdr>
        </w:div>
        <w:div w:id="1527668683">
          <w:marLeft w:val="720"/>
          <w:marRight w:val="0"/>
          <w:marTop w:val="0"/>
          <w:marBottom w:val="0"/>
          <w:divBdr>
            <w:top w:val="none" w:sz="0" w:space="0" w:color="auto"/>
            <w:left w:val="none" w:sz="0" w:space="0" w:color="auto"/>
            <w:bottom w:val="none" w:sz="0" w:space="0" w:color="auto"/>
            <w:right w:val="none" w:sz="0" w:space="0" w:color="auto"/>
          </w:divBdr>
        </w:div>
        <w:div w:id="1334868541">
          <w:marLeft w:val="720"/>
          <w:marRight w:val="0"/>
          <w:marTop w:val="0"/>
          <w:marBottom w:val="0"/>
          <w:divBdr>
            <w:top w:val="none" w:sz="0" w:space="0" w:color="auto"/>
            <w:left w:val="none" w:sz="0" w:space="0" w:color="auto"/>
            <w:bottom w:val="none" w:sz="0" w:space="0" w:color="auto"/>
            <w:right w:val="none" w:sz="0" w:space="0" w:color="auto"/>
          </w:divBdr>
        </w:div>
        <w:div w:id="1387533794">
          <w:marLeft w:val="2635"/>
          <w:marRight w:val="0"/>
          <w:marTop w:val="100"/>
          <w:marBottom w:val="0"/>
          <w:divBdr>
            <w:top w:val="none" w:sz="0" w:space="0" w:color="auto"/>
            <w:left w:val="none" w:sz="0" w:space="0" w:color="auto"/>
            <w:bottom w:val="none" w:sz="0" w:space="0" w:color="auto"/>
            <w:right w:val="none" w:sz="0" w:space="0" w:color="auto"/>
          </w:divBdr>
        </w:div>
        <w:div w:id="1077706409">
          <w:marLeft w:val="2635"/>
          <w:marRight w:val="0"/>
          <w:marTop w:val="100"/>
          <w:marBottom w:val="0"/>
          <w:divBdr>
            <w:top w:val="none" w:sz="0" w:space="0" w:color="auto"/>
            <w:left w:val="none" w:sz="0" w:space="0" w:color="auto"/>
            <w:bottom w:val="none" w:sz="0" w:space="0" w:color="auto"/>
            <w:right w:val="none" w:sz="0" w:space="0" w:color="auto"/>
          </w:divBdr>
        </w:div>
        <w:div w:id="1020084314">
          <w:marLeft w:val="720"/>
          <w:marRight w:val="0"/>
          <w:marTop w:val="0"/>
          <w:marBottom w:val="0"/>
          <w:divBdr>
            <w:top w:val="none" w:sz="0" w:space="0" w:color="auto"/>
            <w:left w:val="none" w:sz="0" w:space="0" w:color="auto"/>
            <w:bottom w:val="none" w:sz="0" w:space="0" w:color="auto"/>
            <w:right w:val="none" w:sz="0" w:space="0" w:color="auto"/>
          </w:divBdr>
        </w:div>
        <w:div w:id="212546153">
          <w:marLeft w:val="2635"/>
          <w:marRight w:val="0"/>
          <w:marTop w:val="100"/>
          <w:marBottom w:val="0"/>
          <w:divBdr>
            <w:top w:val="none" w:sz="0" w:space="0" w:color="auto"/>
            <w:left w:val="none" w:sz="0" w:space="0" w:color="auto"/>
            <w:bottom w:val="none" w:sz="0" w:space="0" w:color="auto"/>
            <w:right w:val="none" w:sz="0" w:space="0" w:color="auto"/>
          </w:divBdr>
        </w:div>
        <w:div w:id="376010494">
          <w:marLeft w:val="2635"/>
          <w:marRight w:val="0"/>
          <w:marTop w:val="100"/>
          <w:marBottom w:val="0"/>
          <w:divBdr>
            <w:top w:val="none" w:sz="0" w:space="0" w:color="auto"/>
            <w:left w:val="none" w:sz="0" w:space="0" w:color="auto"/>
            <w:bottom w:val="none" w:sz="0" w:space="0" w:color="auto"/>
            <w:right w:val="none" w:sz="0" w:space="0" w:color="auto"/>
          </w:divBdr>
        </w:div>
      </w:divsChild>
    </w:div>
    <w:div w:id="636495684">
      <w:bodyDiv w:val="1"/>
      <w:marLeft w:val="0"/>
      <w:marRight w:val="0"/>
      <w:marTop w:val="0"/>
      <w:marBottom w:val="0"/>
      <w:divBdr>
        <w:top w:val="none" w:sz="0" w:space="0" w:color="auto"/>
        <w:left w:val="none" w:sz="0" w:space="0" w:color="auto"/>
        <w:bottom w:val="none" w:sz="0" w:space="0" w:color="auto"/>
        <w:right w:val="none" w:sz="0" w:space="0" w:color="auto"/>
      </w:divBdr>
    </w:div>
    <w:div w:id="682899281">
      <w:bodyDiv w:val="1"/>
      <w:marLeft w:val="0"/>
      <w:marRight w:val="0"/>
      <w:marTop w:val="0"/>
      <w:marBottom w:val="0"/>
      <w:divBdr>
        <w:top w:val="none" w:sz="0" w:space="0" w:color="auto"/>
        <w:left w:val="none" w:sz="0" w:space="0" w:color="auto"/>
        <w:bottom w:val="none" w:sz="0" w:space="0" w:color="auto"/>
        <w:right w:val="none" w:sz="0" w:space="0" w:color="auto"/>
      </w:divBdr>
    </w:div>
    <w:div w:id="732587718">
      <w:bodyDiv w:val="1"/>
      <w:marLeft w:val="0"/>
      <w:marRight w:val="0"/>
      <w:marTop w:val="0"/>
      <w:marBottom w:val="0"/>
      <w:divBdr>
        <w:top w:val="none" w:sz="0" w:space="0" w:color="auto"/>
        <w:left w:val="none" w:sz="0" w:space="0" w:color="auto"/>
        <w:bottom w:val="none" w:sz="0" w:space="0" w:color="auto"/>
        <w:right w:val="none" w:sz="0" w:space="0" w:color="auto"/>
      </w:divBdr>
    </w:div>
    <w:div w:id="757677587">
      <w:bodyDiv w:val="1"/>
      <w:marLeft w:val="0"/>
      <w:marRight w:val="0"/>
      <w:marTop w:val="0"/>
      <w:marBottom w:val="0"/>
      <w:divBdr>
        <w:top w:val="none" w:sz="0" w:space="0" w:color="auto"/>
        <w:left w:val="none" w:sz="0" w:space="0" w:color="auto"/>
        <w:bottom w:val="none" w:sz="0" w:space="0" w:color="auto"/>
        <w:right w:val="none" w:sz="0" w:space="0" w:color="auto"/>
      </w:divBdr>
    </w:div>
    <w:div w:id="761342414">
      <w:bodyDiv w:val="1"/>
      <w:marLeft w:val="0"/>
      <w:marRight w:val="0"/>
      <w:marTop w:val="0"/>
      <w:marBottom w:val="0"/>
      <w:divBdr>
        <w:top w:val="none" w:sz="0" w:space="0" w:color="auto"/>
        <w:left w:val="none" w:sz="0" w:space="0" w:color="auto"/>
        <w:bottom w:val="none" w:sz="0" w:space="0" w:color="auto"/>
        <w:right w:val="none" w:sz="0" w:space="0" w:color="auto"/>
      </w:divBdr>
    </w:div>
    <w:div w:id="785541225">
      <w:bodyDiv w:val="1"/>
      <w:marLeft w:val="0"/>
      <w:marRight w:val="0"/>
      <w:marTop w:val="0"/>
      <w:marBottom w:val="0"/>
      <w:divBdr>
        <w:top w:val="none" w:sz="0" w:space="0" w:color="auto"/>
        <w:left w:val="none" w:sz="0" w:space="0" w:color="auto"/>
        <w:bottom w:val="none" w:sz="0" w:space="0" w:color="auto"/>
        <w:right w:val="none" w:sz="0" w:space="0" w:color="auto"/>
      </w:divBdr>
    </w:div>
    <w:div w:id="796029454">
      <w:bodyDiv w:val="1"/>
      <w:marLeft w:val="0"/>
      <w:marRight w:val="0"/>
      <w:marTop w:val="0"/>
      <w:marBottom w:val="0"/>
      <w:divBdr>
        <w:top w:val="none" w:sz="0" w:space="0" w:color="auto"/>
        <w:left w:val="none" w:sz="0" w:space="0" w:color="auto"/>
        <w:bottom w:val="none" w:sz="0" w:space="0" w:color="auto"/>
        <w:right w:val="none" w:sz="0" w:space="0" w:color="auto"/>
      </w:divBdr>
      <w:divsChild>
        <w:div w:id="258758636">
          <w:marLeft w:val="720"/>
          <w:marRight w:val="0"/>
          <w:marTop w:val="0"/>
          <w:marBottom w:val="0"/>
          <w:divBdr>
            <w:top w:val="none" w:sz="0" w:space="0" w:color="auto"/>
            <w:left w:val="none" w:sz="0" w:space="0" w:color="auto"/>
            <w:bottom w:val="none" w:sz="0" w:space="0" w:color="auto"/>
            <w:right w:val="none" w:sz="0" w:space="0" w:color="auto"/>
          </w:divBdr>
        </w:div>
        <w:div w:id="645863610">
          <w:marLeft w:val="720"/>
          <w:marRight w:val="0"/>
          <w:marTop w:val="0"/>
          <w:marBottom w:val="0"/>
          <w:divBdr>
            <w:top w:val="none" w:sz="0" w:space="0" w:color="auto"/>
            <w:left w:val="none" w:sz="0" w:space="0" w:color="auto"/>
            <w:bottom w:val="none" w:sz="0" w:space="0" w:color="auto"/>
            <w:right w:val="none" w:sz="0" w:space="0" w:color="auto"/>
          </w:divBdr>
        </w:div>
        <w:div w:id="1418601287">
          <w:marLeft w:val="1670"/>
          <w:marRight w:val="0"/>
          <w:marTop w:val="100"/>
          <w:marBottom w:val="0"/>
          <w:divBdr>
            <w:top w:val="none" w:sz="0" w:space="0" w:color="auto"/>
            <w:left w:val="none" w:sz="0" w:space="0" w:color="auto"/>
            <w:bottom w:val="none" w:sz="0" w:space="0" w:color="auto"/>
            <w:right w:val="none" w:sz="0" w:space="0" w:color="auto"/>
          </w:divBdr>
        </w:div>
        <w:div w:id="400443445">
          <w:marLeft w:val="720"/>
          <w:marRight w:val="0"/>
          <w:marTop w:val="0"/>
          <w:marBottom w:val="0"/>
          <w:divBdr>
            <w:top w:val="none" w:sz="0" w:space="0" w:color="auto"/>
            <w:left w:val="none" w:sz="0" w:space="0" w:color="auto"/>
            <w:bottom w:val="none" w:sz="0" w:space="0" w:color="auto"/>
            <w:right w:val="none" w:sz="0" w:space="0" w:color="auto"/>
          </w:divBdr>
        </w:div>
      </w:divsChild>
    </w:div>
    <w:div w:id="797921253">
      <w:bodyDiv w:val="1"/>
      <w:marLeft w:val="0"/>
      <w:marRight w:val="0"/>
      <w:marTop w:val="0"/>
      <w:marBottom w:val="0"/>
      <w:divBdr>
        <w:top w:val="none" w:sz="0" w:space="0" w:color="auto"/>
        <w:left w:val="none" w:sz="0" w:space="0" w:color="auto"/>
        <w:bottom w:val="none" w:sz="0" w:space="0" w:color="auto"/>
        <w:right w:val="none" w:sz="0" w:space="0" w:color="auto"/>
      </w:divBdr>
      <w:divsChild>
        <w:div w:id="499665667">
          <w:marLeft w:val="0"/>
          <w:marRight w:val="0"/>
          <w:marTop w:val="0"/>
          <w:marBottom w:val="0"/>
          <w:divBdr>
            <w:top w:val="none" w:sz="0" w:space="0" w:color="auto"/>
            <w:left w:val="none" w:sz="0" w:space="0" w:color="auto"/>
            <w:bottom w:val="none" w:sz="0" w:space="0" w:color="auto"/>
            <w:right w:val="none" w:sz="0" w:space="0" w:color="auto"/>
          </w:divBdr>
          <w:divsChild>
            <w:div w:id="908921186">
              <w:marLeft w:val="340"/>
              <w:marRight w:val="0"/>
              <w:marTop w:val="160"/>
              <w:marBottom w:val="200"/>
              <w:divBdr>
                <w:top w:val="none" w:sz="0" w:space="0" w:color="auto"/>
                <w:left w:val="none" w:sz="0" w:space="0" w:color="auto"/>
                <w:bottom w:val="none" w:sz="0" w:space="0" w:color="auto"/>
                <w:right w:val="none" w:sz="0" w:space="0" w:color="auto"/>
              </w:divBdr>
            </w:div>
            <w:div w:id="7984256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611090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51753616">
                      <w:marLeft w:val="0"/>
                      <w:marRight w:val="0"/>
                      <w:marTop w:val="0"/>
                      <w:marBottom w:val="0"/>
                      <w:divBdr>
                        <w:top w:val="none" w:sz="0" w:space="0" w:color="auto"/>
                        <w:left w:val="none" w:sz="0" w:space="0" w:color="auto"/>
                        <w:bottom w:val="none" w:sz="0" w:space="0" w:color="auto"/>
                        <w:right w:val="none" w:sz="0" w:space="0" w:color="auto"/>
                      </w:divBdr>
                      <w:divsChild>
                        <w:div w:id="120272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9093257">
                      <w:marLeft w:val="0"/>
                      <w:marRight w:val="0"/>
                      <w:marTop w:val="0"/>
                      <w:marBottom w:val="0"/>
                      <w:divBdr>
                        <w:top w:val="none" w:sz="0" w:space="0" w:color="auto"/>
                        <w:left w:val="none" w:sz="0" w:space="0" w:color="auto"/>
                        <w:bottom w:val="none" w:sz="0" w:space="0" w:color="auto"/>
                        <w:right w:val="none" w:sz="0" w:space="0" w:color="auto"/>
                      </w:divBdr>
                      <w:divsChild>
                        <w:div w:id="1926948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48726872">
                  <w:blockQuote w:val="1"/>
                  <w:marLeft w:val="400"/>
                  <w:marRight w:val="0"/>
                  <w:marTop w:val="160"/>
                  <w:marBottom w:val="200"/>
                  <w:divBdr>
                    <w:top w:val="none" w:sz="0" w:space="0" w:color="auto"/>
                    <w:left w:val="none" w:sz="0" w:space="0" w:color="auto"/>
                    <w:bottom w:val="none" w:sz="0" w:space="0" w:color="auto"/>
                    <w:right w:val="none" w:sz="0" w:space="0" w:color="auto"/>
                  </w:divBdr>
                </w:div>
                <w:div w:id="6081228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67196677">
                      <w:marLeft w:val="0"/>
                      <w:marRight w:val="0"/>
                      <w:marTop w:val="0"/>
                      <w:marBottom w:val="0"/>
                      <w:divBdr>
                        <w:top w:val="none" w:sz="0" w:space="0" w:color="auto"/>
                        <w:left w:val="none" w:sz="0" w:space="0" w:color="auto"/>
                        <w:bottom w:val="none" w:sz="0" w:space="0" w:color="auto"/>
                        <w:right w:val="none" w:sz="0" w:space="0" w:color="auto"/>
                      </w:divBdr>
                      <w:divsChild>
                        <w:div w:id="2944541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1527690">
                      <w:marLeft w:val="0"/>
                      <w:marRight w:val="0"/>
                      <w:marTop w:val="0"/>
                      <w:marBottom w:val="0"/>
                      <w:divBdr>
                        <w:top w:val="none" w:sz="0" w:space="0" w:color="auto"/>
                        <w:left w:val="none" w:sz="0" w:space="0" w:color="auto"/>
                        <w:bottom w:val="none" w:sz="0" w:space="0" w:color="auto"/>
                        <w:right w:val="none" w:sz="0" w:space="0" w:color="auto"/>
                      </w:divBdr>
                      <w:divsChild>
                        <w:div w:id="18644390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1102385">
                      <w:marLeft w:val="0"/>
                      <w:marRight w:val="0"/>
                      <w:marTop w:val="0"/>
                      <w:marBottom w:val="0"/>
                      <w:divBdr>
                        <w:top w:val="none" w:sz="0" w:space="0" w:color="auto"/>
                        <w:left w:val="none" w:sz="0" w:space="0" w:color="auto"/>
                        <w:bottom w:val="none" w:sz="0" w:space="0" w:color="auto"/>
                        <w:right w:val="none" w:sz="0" w:space="0" w:color="auto"/>
                      </w:divBdr>
                      <w:divsChild>
                        <w:div w:id="17535083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8279527">
                      <w:marLeft w:val="0"/>
                      <w:marRight w:val="0"/>
                      <w:marTop w:val="0"/>
                      <w:marBottom w:val="0"/>
                      <w:divBdr>
                        <w:top w:val="none" w:sz="0" w:space="0" w:color="auto"/>
                        <w:left w:val="none" w:sz="0" w:space="0" w:color="auto"/>
                        <w:bottom w:val="none" w:sz="0" w:space="0" w:color="auto"/>
                        <w:right w:val="none" w:sz="0" w:space="0" w:color="auto"/>
                      </w:divBdr>
                      <w:divsChild>
                        <w:div w:id="17221662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4177117">
                              <w:marLeft w:val="0"/>
                              <w:marRight w:val="0"/>
                              <w:marTop w:val="0"/>
                              <w:marBottom w:val="0"/>
                              <w:divBdr>
                                <w:top w:val="none" w:sz="0" w:space="0" w:color="auto"/>
                                <w:left w:val="none" w:sz="0" w:space="0" w:color="auto"/>
                                <w:bottom w:val="none" w:sz="0" w:space="0" w:color="auto"/>
                                <w:right w:val="none" w:sz="0" w:space="0" w:color="auto"/>
                              </w:divBdr>
                              <w:divsChild>
                                <w:div w:id="104429063">
                                  <w:marLeft w:val="0"/>
                                  <w:marRight w:val="0"/>
                                  <w:marTop w:val="160"/>
                                  <w:marBottom w:val="200"/>
                                  <w:divBdr>
                                    <w:top w:val="none" w:sz="0" w:space="0" w:color="auto"/>
                                    <w:left w:val="none" w:sz="0" w:space="0" w:color="auto"/>
                                    <w:bottom w:val="none" w:sz="0" w:space="0" w:color="auto"/>
                                    <w:right w:val="none" w:sz="0" w:space="0" w:color="auto"/>
                                  </w:divBdr>
                                </w:div>
                                <w:div w:id="58453220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31667295">
                  <w:blockQuote w:val="1"/>
                  <w:marLeft w:val="400"/>
                  <w:marRight w:val="0"/>
                  <w:marTop w:val="160"/>
                  <w:marBottom w:val="200"/>
                  <w:divBdr>
                    <w:top w:val="none" w:sz="0" w:space="0" w:color="auto"/>
                    <w:left w:val="none" w:sz="0" w:space="0" w:color="auto"/>
                    <w:bottom w:val="none" w:sz="0" w:space="0" w:color="auto"/>
                    <w:right w:val="none" w:sz="0" w:space="0" w:color="auto"/>
                  </w:divBdr>
                </w:div>
                <w:div w:id="500317086">
                  <w:blockQuote w:val="1"/>
                  <w:marLeft w:val="400"/>
                  <w:marRight w:val="0"/>
                  <w:marTop w:val="160"/>
                  <w:marBottom w:val="200"/>
                  <w:divBdr>
                    <w:top w:val="none" w:sz="0" w:space="0" w:color="auto"/>
                    <w:left w:val="none" w:sz="0" w:space="0" w:color="auto"/>
                    <w:bottom w:val="none" w:sz="0" w:space="0" w:color="auto"/>
                    <w:right w:val="none" w:sz="0" w:space="0" w:color="auto"/>
                  </w:divBdr>
                </w:div>
                <w:div w:id="12702412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12876236">
                      <w:marLeft w:val="0"/>
                      <w:marRight w:val="0"/>
                      <w:marTop w:val="160"/>
                      <w:marBottom w:val="200"/>
                      <w:divBdr>
                        <w:top w:val="none" w:sz="0" w:space="0" w:color="auto"/>
                        <w:left w:val="none" w:sz="0" w:space="0" w:color="auto"/>
                        <w:bottom w:val="none" w:sz="0" w:space="0" w:color="auto"/>
                        <w:right w:val="none" w:sz="0" w:space="0" w:color="auto"/>
                      </w:divBdr>
                      <w:divsChild>
                        <w:div w:id="986741791">
                          <w:marLeft w:val="0"/>
                          <w:marRight w:val="0"/>
                          <w:marTop w:val="0"/>
                          <w:marBottom w:val="0"/>
                          <w:divBdr>
                            <w:top w:val="none" w:sz="0" w:space="0" w:color="auto"/>
                            <w:left w:val="none" w:sz="0" w:space="0" w:color="auto"/>
                            <w:bottom w:val="none" w:sz="0" w:space="0" w:color="auto"/>
                            <w:right w:val="none" w:sz="0" w:space="0" w:color="auto"/>
                          </w:divBdr>
                          <w:divsChild>
                            <w:div w:id="11095418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7660015">
                          <w:marLeft w:val="0"/>
                          <w:marRight w:val="0"/>
                          <w:marTop w:val="0"/>
                          <w:marBottom w:val="0"/>
                          <w:divBdr>
                            <w:top w:val="none" w:sz="0" w:space="0" w:color="auto"/>
                            <w:left w:val="none" w:sz="0" w:space="0" w:color="auto"/>
                            <w:bottom w:val="none" w:sz="0" w:space="0" w:color="auto"/>
                            <w:right w:val="none" w:sz="0" w:space="0" w:color="auto"/>
                          </w:divBdr>
                          <w:divsChild>
                            <w:div w:id="18788155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83354066">
          <w:marLeft w:val="0"/>
          <w:marRight w:val="0"/>
          <w:marTop w:val="0"/>
          <w:marBottom w:val="0"/>
          <w:divBdr>
            <w:top w:val="none" w:sz="0" w:space="0" w:color="auto"/>
            <w:left w:val="none" w:sz="0" w:space="0" w:color="auto"/>
            <w:bottom w:val="none" w:sz="0" w:space="0" w:color="auto"/>
            <w:right w:val="none" w:sz="0" w:space="0" w:color="auto"/>
          </w:divBdr>
          <w:divsChild>
            <w:div w:id="1428692188">
              <w:marLeft w:val="340"/>
              <w:marRight w:val="0"/>
              <w:marTop w:val="160"/>
              <w:marBottom w:val="200"/>
              <w:divBdr>
                <w:top w:val="none" w:sz="0" w:space="0" w:color="auto"/>
                <w:left w:val="none" w:sz="0" w:space="0" w:color="auto"/>
                <w:bottom w:val="none" w:sz="0" w:space="0" w:color="auto"/>
                <w:right w:val="none" w:sz="0" w:space="0" w:color="auto"/>
              </w:divBdr>
            </w:div>
            <w:div w:id="2962273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376408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0874272">
                      <w:marLeft w:val="0"/>
                      <w:marRight w:val="0"/>
                      <w:marTop w:val="0"/>
                      <w:marBottom w:val="0"/>
                      <w:divBdr>
                        <w:top w:val="none" w:sz="0" w:space="0" w:color="auto"/>
                        <w:left w:val="none" w:sz="0" w:space="0" w:color="auto"/>
                        <w:bottom w:val="none" w:sz="0" w:space="0" w:color="auto"/>
                        <w:right w:val="none" w:sz="0" w:space="0" w:color="auto"/>
                      </w:divBdr>
                      <w:divsChild>
                        <w:div w:id="11068518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2924809">
                      <w:marLeft w:val="0"/>
                      <w:marRight w:val="0"/>
                      <w:marTop w:val="0"/>
                      <w:marBottom w:val="0"/>
                      <w:divBdr>
                        <w:top w:val="none" w:sz="0" w:space="0" w:color="auto"/>
                        <w:left w:val="none" w:sz="0" w:space="0" w:color="auto"/>
                        <w:bottom w:val="none" w:sz="0" w:space="0" w:color="auto"/>
                        <w:right w:val="none" w:sz="0" w:space="0" w:color="auto"/>
                      </w:divBdr>
                      <w:divsChild>
                        <w:div w:id="12861103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2692033">
                      <w:marLeft w:val="0"/>
                      <w:marRight w:val="0"/>
                      <w:marTop w:val="0"/>
                      <w:marBottom w:val="0"/>
                      <w:divBdr>
                        <w:top w:val="none" w:sz="0" w:space="0" w:color="auto"/>
                        <w:left w:val="none" w:sz="0" w:space="0" w:color="auto"/>
                        <w:bottom w:val="none" w:sz="0" w:space="0" w:color="auto"/>
                        <w:right w:val="none" w:sz="0" w:space="0" w:color="auto"/>
                      </w:divBdr>
                      <w:divsChild>
                        <w:div w:id="15173040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2783067">
                      <w:marLeft w:val="0"/>
                      <w:marRight w:val="0"/>
                      <w:marTop w:val="0"/>
                      <w:marBottom w:val="0"/>
                      <w:divBdr>
                        <w:top w:val="none" w:sz="0" w:space="0" w:color="auto"/>
                        <w:left w:val="none" w:sz="0" w:space="0" w:color="auto"/>
                        <w:bottom w:val="none" w:sz="0" w:space="0" w:color="auto"/>
                        <w:right w:val="none" w:sz="0" w:space="0" w:color="auto"/>
                      </w:divBdr>
                      <w:divsChild>
                        <w:div w:id="14312733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250673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55821816">
                      <w:marLeft w:val="0"/>
                      <w:marRight w:val="0"/>
                      <w:marTop w:val="0"/>
                      <w:marBottom w:val="0"/>
                      <w:divBdr>
                        <w:top w:val="none" w:sz="0" w:space="0" w:color="auto"/>
                        <w:left w:val="none" w:sz="0" w:space="0" w:color="auto"/>
                        <w:bottom w:val="none" w:sz="0" w:space="0" w:color="auto"/>
                        <w:right w:val="none" w:sz="0" w:space="0" w:color="auto"/>
                      </w:divBdr>
                      <w:divsChild>
                        <w:div w:id="1270183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142423">
                      <w:marLeft w:val="0"/>
                      <w:marRight w:val="0"/>
                      <w:marTop w:val="0"/>
                      <w:marBottom w:val="0"/>
                      <w:divBdr>
                        <w:top w:val="none" w:sz="0" w:space="0" w:color="auto"/>
                        <w:left w:val="none" w:sz="0" w:space="0" w:color="auto"/>
                        <w:bottom w:val="none" w:sz="0" w:space="0" w:color="auto"/>
                        <w:right w:val="none" w:sz="0" w:space="0" w:color="auto"/>
                      </w:divBdr>
                      <w:divsChild>
                        <w:div w:id="19674648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9134446">
                      <w:marLeft w:val="0"/>
                      <w:marRight w:val="0"/>
                      <w:marTop w:val="0"/>
                      <w:marBottom w:val="0"/>
                      <w:divBdr>
                        <w:top w:val="none" w:sz="0" w:space="0" w:color="auto"/>
                        <w:left w:val="none" w:sz="0" w:space="0" w:color="auto"/>
                        <w:bottom w:val="none" w:sz="0" w:space="0" w:color="auto"/>
                        <w:right w:val="none" w:sz="0" w:space="0" w:color="auto"/>
                      </w:divBdr>
                      <w:divsChild>
                        <w:div w:id="14227989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36582663">
                  <w:blockQuote w:val="1"/>
                  <w:marLeft w:val="400"/>
                  <w:marRight w:val="0"/>
                  <w:marTop w:val="160"/>
                  <w:marBottom w:val="200"/>
                  <w:divBdr>
                    <w:top w:val="none" w:sz="0" w:space="0" w:color="auto"/>
                    <w:left w:val="none" w:sz="0" w:space="0" w:color="auto"/>
                    <w:bottom w:val="none" w:sz="0" w:space="0" w:color="auto"/>
                    <w:right w:val="none" w:sz="0" w:space="0" w:color="auto"/>
                  </w:divBdr>
                </w:div>
                <w:div w:id="2010521018">
                  <w:blockQuote w:val="1"/>
                  <w:marLeft w:val="400"/>
                  <w:marRight w:val="0"/>
                  <w:marTop w:val="160"/>
                  <w:marBottom w:val="200"/>
                  <w:divBdr>
                    <w:top w:val="none" w:sz="0" w:space="0" w:color="auto"/>
                    <w:left w:val="none" w:sz="0" w:space="0" w:color="auto"/>
                    <w:bottom w:val="none" w:sz="0" w:space="0" w:color="auto"/>
                    <w:right w:val="none" w:sz="0" w:space="0" w:color="auto"/>
                  </w:divBdr>
                </w:div>
                <w:div w:id="13978943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43151551">
                      <w:marLeft w:val="0"/>
                      <w:marRight w:val="0"/>
                      <w:marTop w:val="0"/>
                      <w:marBottom w:val="0"/>
                      <w:divBdr>
                        <w:top w:val="none" w:sz="0" w:space="0" w:color="auto"/>
                        <w:left w:val="none" w:sz="0" w:space="0" w:color="auto"/>
                        <w:bottom w:val="none" w:sz="0" w:space="0" w:color="auto"/>
                        <w:right w:val="none" w:sz="0" w:space="0" w:color="auto"/>
                      </w:divBdr>
                      <w:divsChild>
                        <w:div w:id="20272479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1815408">
                      <w:marLeft w:val="0"/>
                      <w:marRight w:val="0"/>
                      <w:marTop w:val="0"/>
                      <w:marBottom w:val="0"/>
                      <w:divBdr>
                        <w:top w:val="none" w:sz="0" w:space="0" w:color="auto"/>
                        <w:left w:val="none" w:sz="0" w:space="0" w:color="auto"/>
                        <w:bottom w:val="none" w:sz="0" w:space="0" w:color="auto"/>
                        <w:right w:val="none" w:sz="0" w:space="0" w:color="auto"/>
                      </w:divBdr>
                      <w:divsChild>
                        <w:div w:id="4323569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769442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20073024">
      <w:bodyDiv w:val="1"/>
      <w:marLeft w:val="0"/>
      <w:marRight w:val="0"/>
      <w:marTop w:val="0"/>
      <w:marBottom w:val="0"/>
      <w:divBdr>
        <w:top w:val="none" w:sz="0" w:space="0" w:color="auto"/>
        <w:left w:val="none" w:sz="0" w:space="0" w:color="auto"/>
        <w:bottom w:val="none" w:sz="0" w:space="0" w:color="auto"/>
        <w:right w:val="none" w:sz="0" w:space="0" w:color="auto"/>
      </w:divBdr>
      <w:divsChild>
        <w:div w:id="1492521433">
          <w:marLeft w:val="274"/>
          <w:marRight w:val="0"/>
          <w:marTop w:val="0"/>
          <w:marBottom w:val="0"/>
          <w:divBdr>
            <w:top w:val="none" w:sz="0" w:space="0" w:color="auto"/>
            <w:left w:val="none" w:sz="0" w:space="0" w:color="auto"/>
            <w:bottom w:val="none" w:sz="0" w:space="0" w:color="auto"/>
            <w:right w:val="none" w:sz="0" w:space="0" w:color="auto"/>
          </w:divBdr>
        </w:div>
        <w:div w:id="487327822">
          <w:marLeft w:val="274"/>
          <w:marRight w:val="0"/>
          <w:marTop w:val="0"/>
          <w:marBottom w:val="0"/>
          <w:divBdr>
            <w:top w:val="none" w:sz="0" w:space="0" w:color="auto"/>
            <w:left w:val="none" w:sz="0" w:space="0" w:color="auto"/>
            <w:bottom w:val="none" w:sz="0" w:space="0" w:color="auto"/>
            <w:right w:val="none" w:sz="0" w:space="0" w:color="auto"/>
          </w:divBdr>
        </w:div>
        <w:div w:id="1625501790">
          <w:marLeft w:val="1498"/>
          <w:marRight w:val="0"/>
          <w:marTop w:val="100"/>
          <w:marBottom w:val="0"/>
          <w:divBdr>
            <w:top w:val="none" w:sz="0" w:space="0" w:color="auto"/>
            <w:left w:val="none" w:sz="0" w:space="0" w:color="auto"/>
            <w:bottom w:val="none" w:sz="0" w:space="0" w:color="auto"/>
            <w:right w:val="none" w:sz="0" w:space="0" w:color="auto"/>
          </w:divBdr>
        </w:div>
        <w:div w:id="508060430">
          <w:marLeft w:val="1498"/>
          <w:marRight w:val="0"/>
          <w:marTop w:val="100"/>
          <w:marBottom w:val="0"/>
          <w:divBdr>
            <w:top w:val="none" w:sz="0" w:space="0" w:color="auto"/>
            <w:left w:val="none" w:sz="0" w:space="0" w:color="auto"/>
            <w:bottom w:val="none" w:sz="0" w:space="0" w:color="auto"/>
            <w:right w:val="none" w:sz="0" w:space="0" w:color="auto"/>
          </w:divBdr>
        </w:div>
      </w:divsChild>
    </w:div>
    <w:div w:id="853153310">
      <w:bodyDiv w:val="1"/>
      <w:marLeft w:val="0"/>
      <w:marRight w:val="0"/>
      <w:marTop w:val="0"/>
      <w:marBottom w:val="0"/>
      <w:divBdr>
        <w:top w:val="none" w:sz="0" w:space="0" w:color="auto"/>
        <w:left w:val="none" w:sz="0" w:space="0" w:color="auto"/>
        <w:bottom w:val="none" w:sz="0" w:space="0" w:color="auto"/>
        <w:right w:val="none" w:sz="0" w:space="0" w:color="auto"/>
      </w:divBdr>
      <w:divsChild>
        <w:div w:id="5676134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13352004">
              <w:blockQuote w:val="1"/>
              <w:marLeft w:val="600"/>
              <w:marRight w:val="0"/>
              <w:marTop w:val="120"/>
              <w:marBottom w:val="120"/>
              <w:divBdr>
                <w:top w:val="none" w:sz="0" w:space="0" w:color="auto"/>
                <w:left w:val="none" w:sz="0" w:space="0" w:color="auto"/>
                <w:bottom w:val="none" w:sz="0" w:space="0" w:color="auto"/>
                <w:right w:val="none" w:sz="0" w:space="0" w:color="auto"/>
              </w:divBdr>
            </w:div>
            <w:div w:id="1317560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69486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7050353">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2552004">
                  <w:blockQuote w:val="1"/>
                  <w:marLeft w:val="600"/>
                  <w:marRight w:val="0"/>
                  <w:marTop w:val="80"/>
                  <w:marBottom w:val="80"/>
                  <w:divBdr>
                    <w:top w:val="none" w:sz="0" w:space="0" w:color="auto"/>
                    <w:left w:val="none" w:sz="0" w:space="0" w:color="auto"/>
                    <w:bottom w:val="none" w:sz="0" w:space="0" w:color="auto"/>
                    <w:right w:val="none" w:sz="0" w:space="0" w:color="auto"/>
                  </w:divBdr>
                </w:div>
                <w:div w:id="504246527">
                  <w:blockQuote w:val="1"/>
                  <w:marLeft w:val="60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 w:id="856819744">
      <w:bodyDiv w:val="1"/>
      <w:marLeft w:val="0"/>
      <w:marRight w:val="0"/>
      <w:marTop w:val="0"/>
      <w:marBottom w:val="0"/>
      <w:divBdr>
        <w:top w:val="none" w:sz="0" w:space="0" w:color="auto"/>
        <w:left w:val="none" w:sz="0" w:space="0" w:color="auto"/>
        <w:bottom w:val="none" w:sz="0" w:space="0" w:color="auto"/>
        <w:right w:val="none" w:sz="0" w:space="0" w:color="auto"/>
      </w:divBdr>
    </w:div>
    <w:div w:id="879827465">
      <w:bodyDiv w:val="1"/>
      <w:marLeft w:val="0"/>
      <w:marRight w:val="0"/>
      <w:marTop w:val="0"/>
      <w:marBottom w:val="0"/>
      <w:divBdr>
        <w:top w:val="none" w:sz="0" w:space="0" w:color="auto"/>
        <w:left w:val="none" w:sz="0" w:space="0" w:color="auto"/>
        <w:bottom w:val="none" w:sz="0" w:space="0" w:color="auto"/>
        <w:right w:val="none" w:sz="0" w:space="0" w:color="auto"/>
      </w:divBdr>
    </w:div>
    <w:div w:id="915479475">
      <w:bodyDiv w:val="1"/>
      <w:marLeft w:val="0"/>
      <w:marRight w:val="0"/>
      <w:marTop w:val="0"/>
      <w:marBottom w:val="0"/>
      <w:divBdr>
        <w:top w:val="none" w:sz="0" w:space="0" w:color="auto"/>
        <w:left w:val="none" w:sz="0" w:space="0" w:color="auto"/>
        <w:bottom w:val="none" w:sz="0" w:space="0" w:color="auto"/>
        <w:right w:val="none" w:sz="0" w:space="0" w:color="auto"/>
      </w:divBdr>
    </w:div>
    <w:div w:id="921448882">
      <w:bodyDiv w:val="1"/>
      <w:marLeft w:val="0"/>
      <w:marRight w:val="0"/>
      <w:marTop w:val="0"/>
      <w:marBottom w:val="0"/>
      <w:divBdr>
        <w:top w:val="none" w:sz="0" w:space="0" w:color="auto"/>
        <w:left w:val="none" w:sz="0" w:space="0" w:color="auto"/>
        <w:bottom w:val="none" w:sz="0" w:space="0" w:color="auto"/>
        <w:right w:val="none" w:sz="0" w:space="0" w:color="auto"/>
      </w:divBdr>
      <w:divsChild>
        <w:div w:id="474570863">
          <w:marLeft w:val="0"/>
          <w:marRight w:val="0"/>
          <w:marTop w:val="0"/>
          <w:marBottom w:val="336"/>
          <w:divBdr>
            <w:top w:val="single" w:sz="6" w:space="12" w:color="E0E0E0"/>
            <w:left w:val="none" w:sz="0" w:space="0" w:color="auto"/>
            <w:bottom w:val="none" w:sz="0" w:space="0" w:color="auto"/>
            <w:right w:val="none" w:sz="0" w:space="0" w:color="auto"/>
          </w:divBdr>
          <w:divsChild>
            <w:div w:id="1419326191">
              <w:marLeft w:val="0"/>
              <w:marRight w:val="0"/>
              <w:marTop w:val="0"/>
              <w:marBottom w:val="0"/>
              <w:divBdr>
                <w:top w:val="none" w:sz="0" w:space="0" w:color="auto"/>
                <w:left w:val="none" w:sz="0" w:space="0" w:color="auto"/>
                <w:bottom w:val="none" w:sz="0" w:space="0" w:color="auto"/>
                <w:right w:val="none" w:sz="0" w:space="0" w:color="auto"/>
              </w:divBdr>
              <w:divsChild>
                <w:div w:id="1224564211">
                  <w:marLeft w:val="0"/>
                  <w:marRight w:val="0"/>
                  <w:marTop w:val="0"/>
                  <w:marBottom w:val="0"/>
                  <w:divBdr>
                    <w:top w:val="none" w:sz="0" w:space="0" w:color="auto"/>
                    <w:left w:val="none" w:sz="0" w:space="0" w:color="auto"/>
                    <w:bottom w:val="none" w:sz="0" w:space="0" w:color="auto"/>
                    <w:right w:val="none" w:sz="0" w:space="0" w:color="auto"/>
                  </w:divBdr>
                  <w:divsChild>
                    <w:div w:id="1988510476">
                      <w:marLeft w:val="0"/>
                      <w:marRight w:val="0"/>
                      <w:marTop w:val="0"/>
                      <w:marBottom w:val="0"/>
                      <w:divBdr>
                        <w:top w:val="none" w:sz="0" w:space="0" w:color="auto"/>
                        <w:left w:val="none" w:sz="0" w:space="0" w:color="auto"/>
                        <w:bottom w:val="none" w:sz="0" w:space="0" w:color="auto"/>
                        <w:right w:val="none" w:sz="0" w:space="0" w:color="auto"/>
                      </w:divBdr>
                      <w:divsChild>
                        <w:div w:id="1541935522">
                          <w:marLeft w:val="0"/>
                          <w:marRight w:val="0"/>
                          <w:marTop w:val="0"/>
                          <w:marBottom w:val="0"/>
                          <w:divBdr>
                            <w:top w:val="none" w:sz="0" w:space="0" w:color="auto"/>
                            <w:left w:val="none" w:sz="0" w:space="0" w:color="auto"/>
                            <w:bottom w:val="none" w:sz="0" w:space="0" w:color="auto"/>
                            <w:right w:val="none" w:sz="0" w:space="0" w:color="auto"/>
                          </w:divBdr>
                          <w:divsChild>
                            <w:div w:id="8868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9181">
      <w:bodyDiv w:val="1"/>
      <w:marLeft w:val="0"/>
      <w:marRight w:val="0"/>
      <w:marTop w:val="0"/>
      <w:marBottom w:val="0"/>
      <w:divBdr>
        <w:top w:val="none" w:sz="0" w:space="0" w:color="auto"/>
        <w:left w:val="none" w:sz="0" w:space="0" w:color="auto"/>
        <w:bottom w:val="none" w:sz="0" w:space="0" w:color="auto"/>
        <w:right w:val="none" w:sz="0" w:space="0" w:color="auto"/>
      </w:divBdr>
    </w:div>
    <w:div w:id="963274193">
      <w:bodyDiv w:val="1"/>
      <w:marLeft w:val="0"/>
      <w:marRight w:val="0"/>
      <w:marTop w:val="0"/>
      <w:marBottom w:val="0"/>
      <w:divBdr>
        <w:top w:val="none" w:sz="0" w:space="0" w:color="auto"/>
        <w:left w:val="none" w:sz="0" w:space="0" w:color="auto"/>
        <w:bottom w:val="none" w:sz="0" w:space="0" w:color="auto"/>
        <w:right w:val="none" w:sz="0" w:space="0" w:color="auto"/>
      </w:divBdr>
      <w:divsChild>
        <w:div w:id="547843122">
          <w:marLeft w:val="720"/>
          <w:marRight w:val="0"/>
          <w:marTop w:val="0"/>
          <w:marBottom w:val="0"/>
          <w:divBdr>
            <w:top w:val="none" w:sz="0" w:space="0" w:color="auto"/>
            <w:left w:val="none" w:sz="0" w:space="0" w:color="auto"/>
            <w:bottom w:val="none" w:sz="0" w:space="0" w:color="auto"/>
            <w:right w:val="none" w:sz="0" w:space="0" w:color="auto"/>
          </w:divBdr>
        </w:div>
        <w:div w:id="951010328">
          <w:marLeft w:val="720"/>
          <w:marRight w:val="0"/>
          <w:marTop w:val="0"/>
          <w:marBottom w:val="0"/>
          <w:divBdr>
            <w:top w:val="none" w:sz="0" w:space="0" w:color="auto"/>
            <w:left w:val="none" w:sz="0" w:space="0" w:color="auto"/>
            <w:bottom w:val="none" w:sz="0" w:space="0" w:color="auto"/>
            <w:right w:val="none" w:sz="0" w:space="0" w:color="auto"/>
          </w:divBdr>
        </w:div>
        <w:div w:id="832842696">
          <w:marLeft w:val="720"/>
          <w:marRight w:val="0"/>
          <w:marTop w:val="0"/>
          <w:marBottom w:val="0"/>
          <w:divBdr>
            <w:top w:val="none" w:sz="0" w:space="0" w:color="auto"/>
            <w:left w:val="none" w:sz="0" w:space="0" w:color="auto"/>
            <w:bottom w:val="none" w:sz="0" w:space="0" w:color="auto"/>
            <w:right w:val="none" w:sz="0" w:space="0" w:color="auto"/>
          </w:divBdr>
        </w:div>
        <w:div w:id="1805809279">
          <w:marLeft w:val="720"/>
          <w:marRight w:val="0"/>
          <w:marTop w:val="0"/>
          <w:marBottom w:val="0"/>
          <w:divBdr>
            <w:top w:val="none" w:sz="0" w:space="0" w:color="auto"/>
            <w:left w:val="none" w:sz="0" w:space="0" w:color="auto"/>
            <w:bottom w:val="none" w:sz="0" w:space="0" w:color="auto"/>
            <w:right w:val="none" w:sz="0" w:space="0" w:color="auto"/>
          </w:divBdr>
        </w:div>
        <w:div w:id="2138060071">
          <w:marLeft w:val="720"/>
          <w:marRight w:val="0"/>
          <w:marTop w:val="0"/>
          <w:marBottom w:val="0"/>
          <w:divBdr>
            <w:top w:val="none" w:sz="0" w:space="0" w:color="auto"/>
            <w:left w:val="none" w:sz="0" w:space="0" w:color="auto"/>
            <w:bottom w:val="none" w:sz="0" w:space="0" w:color="auto"/>
            <w:right w:val="none" w:sz="0" w:space="0" w:color="auto"/>
          </w:divBdr>
        </w:div>
        <w:div w:id="1466966016">
          <w:marLeft w:val="720"/>
          <w:marRight w:val="0"/>
          <w:marTop w:val="0"/>
          <w:marBottom w:val="0"/>
          <w:divBdr>
            <w:top w:val="none" w:sz="0" w:space="0" w:color="auto"/>
            <w:left w:val="none" w:sz="0" w:space="0" w:color="auto"/>
            <w:bottom w:val="none" w:sz="0" w:space="0" w:color="auto"/>
            <w:right w:val="none" w:sz="0" w:space="0" w:color="auto"/>
          </w:divBdr>
        </w:div>
      </w:divsChild>
    </w:div>
    <w:div w:id="976882997">
      <w:bodyDiv w:val="1"/>
      <w:marLeft w:val="0"/>
      <w:marRight w:val="0"/>
      <w:marTop w:val="0"/>
      <w:marBottom w:val="0"/>
      <w:divBdr>
        <w:top w:val="none" w:sz="0" w:space="0" w:color="auto"/>
        <w:left w:val="none" w:sz="0" w:space="0" w:color="auto"/>
        <w:bottom w:val="none" w:sz="0" w:space="0" w:color="auto"/>
        <w:right w:val="none" w:sz="0" w:space="0" w:color="auto"/>
      </w:divBdr>
    </w:div>
    <w:div w:id="1083794852">
      <w:bodyDiv w:val="1"/>
      <w:marLeft w:val="0"/>
      <w:marRight w:val="0"/>
      <w:marTop w:val="0"/>
      <w:marBottom w:val="0"/>
      <w:divBdr>
        <w:top w:val="none" w:sz="0" w:space="0" w:color="auto"/>
        <w:left w:val="none" w:sz="0" w:space="0" w:color="auto"/>
        <w:bottom w:val="none" w:sz="0" w:space="0" w:color="auto"/>
        <w:right w:val="none" w:sz="0" w:space="0" w:color="auto"/>
      </w:divBdr>
    </w:div>
    <w:div w:id="1115369535">
      <w:bodyDiv w:val="1"/>
      <w:marLeft w:val="0"/>
      <w:marRight w:val="0"/>
      <w:marTop w:val="0"/>
      <w:marBottom w:val="0"/>
      <w:divBdr>
        <w:top w:val="none" w:sz="0" w:space="0" w:color="auto"/>
        <w:left w:val="none" w:sz="0" w:space="0" w:color="auto"/>
        <w:bottom w:val="none" w:sz="0" w:space="0" w:color="auto"/>
        <w:right w:val="none" w:sz="0" w:space="0" w:color="auto"/>
      </w:divBdr>
      <w:divsChild>
        <w:div w:id="1563590242">
          <w:marLeft w:val="547"/>
          <w:marRight w:val="0"/>
          <w:marTop w:val="0"/>
          <w:marBottom w:val="0"/>
          <w:divBdr>
            <w:top w:val="none" w:sz="0" w:space="0" w:color="auto"/>
            <w:left w:val="none" w:sz="0" w:space="0" w:color="auto"/>
            <w:bottom w:val="none" w:sz="0" w:space="0" w:color="auto"/>
            <w:right w:val="none" w:sz="0" w:space="0" w:color="auto"/>
          </w:divBdr>
        </w:div>
        <w:div w:id="775638715">
          <w:marLeft w:val="547"/>
          <w:marRight w:val="0"/>
          <w:marTop w:val="0"/>
          <w:marBottom w:val="0"/>
          <w:divBdr>
            <w:top w:val="none" w:sz="0" w:space="0" w:color="auto"/>
            <w:left w:val="none" w:sz="0" w:space="0" w:color="auto"/>
            <w:bottom w:val="none" w:sz="0" w:space="0" w:color="auto"/>
            <w:right w:val="none" w:sz="0" w:space="0" w:color="auto"/>
          </w:divBdr>
        </w:div>
        <w:div w:id="873466622">
          <w:marLeft w:val="547"/>
          <w:marRight w:val="0"/>
          <w:marTop w:val="0"/>
          <w:marBottom w:val="0"/>
          <w:divBdr>
            <w:top w:val="none" w:sz="0" w:space="0" w:color="auto"/>
            <w:left w:val="none" w:sz="0" w:space="0" w:color="auto"/>
            <w:bottom w:val="none" w:sz="0" w:space="0" w:color="auto"/>
            <w:right w:val="none" w:sz="0" w:space="0" w:color="auto"/>
          </w:divBdr>
        </w:div>
      </w:divsChild>
    </w:div>
    <w:div w:id="1123577371">
      <w:bodyDiv w:val="1"/>
      <w:marLeft w:val="0"/>
      <w:marRight w:val="0"/>
      <w:marTop w:val="0"/>
      <w:marBottom w:val="0"/>
      <w:divBdr>
        <w:top w:val="none" w:sz="0" w:space="0" w:color="auto"/>
        <w:left w:val="none" w:sz="0" w:space="0" w:color="auto"/>
        <w:bottom w:val="none" w:sz="0" w:space="0" w:color="auto"/>
        <w:right w:val="none" w:sz="0" w:space="0" w:color="auto"/>
      </w:divBdr>
      <w:divsChild>
        <w:div w:id="84427588">
          <w:marLeft w:val="547"/>
          <w:marRight w:val="0"/>
          <w:marTop w:val="0"/>
          <w:marBottom w:val="0"/>
          <w:divBdr>
            <w:top w:val="none" w:sz="0" w:space="0" w:color="auto"/>
            <w:left w:val="none" w:sz="0" w:space="0" w:color="auto"/>
            <w:bottom w:val="none" w:sz="0" w:space="0" w:color="auto"/>
            <w:right w:val="none" w:sz="0" w:space="0" w:color="auto"/>
          </w:divBdr>
        </w:div>
        <w:div w:id="55587448">
          <w:marLeft w:val="547"/>
          <w:marRight w:val="0"/>
          <w:marTop w:val="0"/>
          <w:marBottom w:val="0"/>
          <w:divBdr>
            <w:top w:val="none" w:sz="0" w:space="0" w:color="auto"/>
            <w:left w:val="none" w:sz="0" w:space="0" w:color="auto"/>
            <w:bottom w:val="none" w:sz="0" w:space="0" w:color="auto"/>
            <w:right w:val="none" w:sz="0" w:space="0" w:color="auto"/>
          </w:divBdr>
        </w:div>
        <w:div w:id="1282760070">
          <w:marLeft w:val="547"/>
          <w:marRight w:val="0"/>
          <w:marTop w:val="0"/>
          <w:marBottom w:val="0"/>
          <w:divBdr>
            <w:top w:val="none" w:sz="0" w:space="0" w:color="auto"/>
            <w:left w:val="none" w:sz="0" w:space="0" w:color="auto"/>
            <w:bottom w:val="none" w:sz="0" w:space="0" w:color="auto"/>
            <w:right w:val="none" w:sz="0" w:space="0" w:color="auto"/>
          </w:divBdr>
        </w:div>
        <w:div w:id="426081957">
          <w:marLeft w:val="547"/>
          <w:marRight w:val="0"/>
          <w:marTop w:val="0"/>
          <w:marBottom w:val="0"/>
          <w:divBdr>
            <w:top w:val="none" w:sz="0" w:space="0" w:color="auto"/>
            <w:left w:val="none" w:sz="0" w:space="0" w:color="auto"/>
            <w:bottom w:val="none" w:sz="0" w:space="0" w:color="auto"/>
            <w:right w:val="none" w:sz="0" w:space="0" w:color="auto"/>
          </w:divBdr>
        </w:div>
        <w:div w:id="1337340626">
          <w:marLeft w:val="547"/>
          <w:marRight w:val="0"/>
          <w:marTop w:val="0"/>
          <w:marBottom w:val="0"/>
          <w:divBdr>
            <w:top w:val="none" w:sz="0" w:space="0" w:color="auto"/>
            <w:left w:val="none" w:sz="0" w:space="0" w:color="auto"/>
            <w:bottom w:val="none" w:sz="0" w:space="0" w:color="auto"/>
            <w:right w:val="none" w:sz="0" w:space="0" w:color="auto"/>
          </w:divBdr>
        </w:div>
      </w:divsChild>
    </w:div>
    <w:div w:id="1148597076">
      <w:bodyDiv w:val="1"/>
      <w:marLeft w:val="0"/>
      <w:marRight w:val="0"/>
      <w:marTop w:val="0"/>
      <w:marBottom w:val="0"/>
      <w:divBdr>
        <w:top w:val="none" w:sz="0" w:space="0" w:color="auto"/>
        <w:left w:val="none" w:sz="0" w:space="0" w:color="auto"/>
        <w:bottom w:val="none" w:sz="0" w:space="0" w:color="auto"/>
        <w:right w:val="none" w:sz="0" w:space="0" w:color="auto"/>
      </w:divBdr>
    </w:div>
    <w:div w:id="1175918516">
      <w:bodyDiv w:val="1"/>
      <w:marLeft w:val="0"/>
      <w:marRight w:val="0"/>
      <w:marTop w:val="0"/>
      <w:marBottom w:val="0"/>
      <w:divBdr>
        <w:top w:val="none" w:sz="0" w:space="0" w:color="auto"/>
        <w:left w:val="none" w:sz="0" w:space="0" w:color="auto"/>
        <w:bottom w:val="none" w:sz="0" w:space="0" w:color="auto"/>
        <w:right w:val="none" w:sz="0" w:space="0" w:color="auto"/>
      </w:divBdr>
      <w:divsChild>
        <w:div w:id="563569001">
          <w:marLeft w:val="547"/>
          <w:marRight w:val="0"/>
          <w:marTop w:val="0"/>
          <w:marBottom w:val="0"/>
          <w:divBdr>
            <w:top w:val="none" w:sz="0" w:space="0" w:color="auto"/>
            <w:left w:val="none" w:sz="0" w:space="0" w:color="auto"/>
            <w:bottom w:val="none" w:sz="0" w:space="0" w:color="auto"/>
            <w:right w:val="none" w:sz="0" w:space="0" w:color="auto"/>
          </w:divBdr>
        </w:div>
        <w:div w:id="1129780376">
          <w:marLeft w:val="1498"/>
          <w:marRight w:val="0"/>
          <w:marTop w:val="100"/>
          <w:marBottom w:val="0"/>
          <w:divBdr>
            <w:top w:val="none" w:sz="0" w:space="0" w:color="auto"/>
            <w:left w:val="none" w:sz="0" w:space="0" w:color="auto"/>
            <w:bottom w:val="none" w:sz="0" w:space="0" w:color="auto"/>
            <w:right w:val="none" w:sz="0" w:space="0" w:color="auto"/>
          </w:divBdr>
        </w:div>
        <w:div w:id="526873612">
          <w:marLeft w:val="2448"/>
          <w:marRight w:val="0"/>
          <w:marTop w:val="100"/>
          <w:marBottom w:val="0"/>
          <w:divBdr>
            <w:top w:val="none" w:sz="0" w:space="0" w:color="auto"/>
            <w:left w:val="none" w:sz="0" w:space="0" w:color="auto"/>
            <w:bottom w:val="none" w:sz="0" w:space="0" w:color="auto"/>
            <w:right w:val="none" w:sz="0" w:space="0" w:color="auto"/>
          </w:divBdr>
        </w:div>
        <w:div w:id="1010722728">
          <w:marLeft w:val="1498"/>
          <w:marRight w:val="0"/>
          <w:marTop w:val="100"/>
          <w:marBottom w:val="0"/>
          <w:divBdr>
            <w:top w:val="none" w:sz="0" w:space="0" w:color="auto"/>
            <w:left w:val="none" w:sz="0" w:space="0" w:color="auto"/>
            <w:bottom w:val="none" w:sz="0" w:space="0" w:color="auto"/>
            <w:right w:val="none" w:sz="0" w:space="0" w:color="auto"/>
          </w:divBdr>
        </w:div>
        <w:div w:id="1384059623">
          <w:marLeft w:val="2448"/>
          <w:marRight w:val="0"/>
          <w:marTop w:val="100"/>
          <w:marBottom w:val="0"/>
          <w:divBdr>
            <w:top w:val="none" w:sz="0" w:space="0" w:color="auto"/>
            <w:left w:val="none" w:sz="0" w:space="0" w:color="auto"/>
            <w:bottom w:val="none" w:sz="0" w:space="0" w:color="auto"/>
            <w:right w:val="none" w:sz="0" w:space="0" w:color="auto"/>
          </w:divBdr>
        </w:div>
        <w:div w:id="996806211">
          <w:marLeft w:val="2448"/>
          <w:marRight w:val="0"/>
          <w:marTop w:val="100"/>
          <w:marBottom w:val="0"/>
          <w:divBdr>
            <w:top w:val="none" w:sz="0" w:space="0" w:color="auto"/>
            <w:left w:val="none" w:sz="0" w:space="0" w:color="auto"/>
            <w:bottom w:val="none" w:sz="0" w:space="0" w:color="auto"/>
            <w:right w:val="none" w:sz="0" w:space="0" w:color="auto"/>
          </w:divBdr>
        </w:div>
        <w:div w:id="1279876882">
          <w:marLeft w:val="4363"/>
          <w:marRight w:val="0"/>
          <w:marTop w:val="100"/>
          <w:marBottom w:val="0"/>
          <w:divBdr>
            <w:top w:val="none" w:sz="0" w:space="0" w:color="auto"/>
            <w:left w:val="none" w:sz="0" w:space="0" w:color="auto"/>
            <w:bottom w:val="none" w:sz="0" w:space="0" w:color="auto"/>
            <w:right w:val="none" w:sz="0" w:space="0" w:color="auto"/>
          </w:divBdr>
        </w:div>
        <w:div w:id="369769196">
          <w:marLeft w:val="5400"/>
          <w:marRight w:val="0"/>
          <w:marTop w:val="100"/>
          <w:marBottom w:val="0"/>
          <w:divBdr>
            <w:top w:val="none" w:sz="0" w:space="0" w:color="auto"/>
            <w:left w:val="none" w:sz="0" w:space="0" w:color="auto"/>
            <w:bottom w:val="none" w:sz="0" w:space="0" w:color="auto"/>
            <w:right w:val="none" w:sz="0" w:space="0" w:color="auto"/>
          </w:divBdr>
        </w:div>
        <w:div w:id="19164798">
          <w:marLeft w:val="5400"/>
          <w:marRight w:val="0"/>
          <w:marTop w:val="100"/>
          <w:marBottom w:val="0"/>
          <w:divBdr>
            <w:top w:val="none" w:sz="0" w:space="0" w:color="auto"/>
            <w:left w:val="none" w:sz="0" w:space="0" w:color="auto"/>
            <w:bottom w:val="none" w:sz="0" w:space="0" w:color="auto"/>
            <w:right w:val="none" w:sz="0" w:space="0" w:color="auto"/>
          </w:divBdr>
        </w:div>
        <w:div w:id="1507554559">
          <w:marLeft w:val="5400"/>
          <w:marRight w:val="0"/>
          <w:marTop w:val="100"/>
          <w:marBottom w:val="0"/>
          <w:divBdr>
            <w:top w:val="none" w:sz="0" w:space="0" w:color="auto"/>
            <w:left w:val="none" w:sz="0" w:space="0" w:color="auto"/>
            <w:bottom w:val="none" w:sz="0" w:space="0" w:color="auto"/>
            <w:right w:val="none" w:sz="0" w:space="0" w:color="auto"/>
          </w:divBdr>
        </w:div>
        <w:div w:id="1994330742">
          <w:marLeft w:val="5400"/>
          <w:marRight w:val="0"/>
          <w:marTop w:val="100"/>
          <w:marBottom w:val="0"/>
          <w:divBdr>
            <w:top w:val="none" w:sz="0" w:space="0" w:color="auto"/>
            <w:left w:val="none" w:sz="0" w:space="0" w:color="auto"/>
            <w:bottom w:val="none" w:sz="0" w:space="0" w:color="auto"/>
            <w:right w:val="none" w:sz="0" w:space="0" w:color="auto"/>
          </w:divBdr>
        </w:div>
      </w:divsChild>
    </w:div>
    <w:div w:id="1176386410">
      <w:bodyDiv w:val="1"/>
      <w:marLeft w:val="0"/>
      <w:marRight w:val="0"/>
      <w:marTop w:val="0"/>
      <w:marBottom w:val="0"/>
      <w:divBdr>
        <w:top w:val="none" w:sz="0" w:space="0" w:color="auto"/>
        <w:left w:val="none" w:sz="0" w:space="0" w:color="auto"/>
        <w:bottom w:val="none" w:sz="0" w:space="0" w:color="auto"/>
        <w:right w:val="none" w:sz="0" w:space="0" w:color="auto"/>
      </w:divBdr>
      <w:divsChild>
        <w:div w:id="1384449086">
          <w:marLeft w:val="274"/>
          <w:marRight w:val="0"/>
          <w:marTop w:val="0"/>
          <w:marBottom w:val="0"/>
          <w:divBdr>
            <w:top w:val="none" w:sz="0" w:space="0" w:color="auto"/>
            <w:left w:val="none" w:sz="0" w:space="0" w:color="auto"/>
            <w:bottom w:val="none" w:sz="0" w:space="0" w:color="auto"/>
            <w:right w:val="none" w:sz="0" w:space="0" w:color="auto"/>
          </w:divBdr>
        </w:div>
        <w:div w:id="448620972">
          <w:marLeft w:val="274"/>
          <w:marRight w:val="0"/>
          <w:marTop w:val="0"/>
          <w:marBottom w:val="0"/>
          <w:divBdr>
            <w:top w:val="none" w:sz="0" w:space="0" w:color="auto"/>
            <w:left w:val="none" w:sz="0" w:space="0" w:color="auto"/>
            <w:bottom w:val="none" w:sz="0" w:space="0" w:color="auto"/>
            <w:right w:val="none" w:sz="0" w:space="0" w:color="auto"/>
          </w:divBdr>
        </w:div>
        <w:div w:id="1620381178">
          <w:marLeft w:val="1498"/>
          <w:marRight w:val="0"/>
          <w:marTop w:val="100"/>
          <w:marBottom w:val="0"/>
          <w:divBdr>
            <w:top w:val="none" w:sz="0" w:space="0" w:color="auto"/>
            <w:left w:val="none" w:sz="0" w:space="0" w:color="auto"/>
            <w:bottom w:val="none" w:sz="0" w:space="0" w:color="auto"/>
            <w:right w:val="none" w:sz="0" w:space="0" w:color="auto"/>
          </w:divBdr>
        </w:div>
        <w:div w:id="929893575">
          <w:marLeft w:val="1498"/>
          <w:marRight w:val="0"/>
          <w:marTop w:val="100"/>
          <w:marBottom w:val="0"/>
          <w:divBdr>
            <w:top w:val="none" w:sz="0" w:space="0" w:color="auto"/>
            <w:left w:val="none" w:sz="0" w:space="0" w:color="auto"/>
            <w:bottom w:val="none" w:sz="0" w:space="0" w:color="auto"/>
            <w:right w:val="none" w:sz="0" w:space="0" w:color="auto"/>
          </w:divBdr>
        </w:div>
      </w:divsChild>
    </w:div>
    <w:div w:id="1182010146">
      <w:bodyDiv w:val="1"/>
      <w:marLeft w:val="0"/>
      <w:marRight w:val="0"/>
      <w:marTop w:val="0"/>
      <w:marBottom w:val="0"/>
      <w:divBdr>
        <w:top w:val="none" w:sz="0" w:space="0" w:color="auto"/>
        <w:left w:val="none" w:sz="0" w:space="0" w:color="auto"/>
        <w:bottom w:val="none" w:sz="0" w:space="0" w:color="auto"/>
        <w:right w:val="none" w:sz="0" w:space="0" w:color="auto"/>
      </w:divBdr>
      <w:divsChild>
        <w:div w:id="859971318">
          <w:marLeft w:val="547"/>
          <w:marRight w:val="0"/>
          <w:marTop w:val="0"/>
          <w:marBottom w:val="0"/>
          <w:divBdr>
            <w:top w:val="none" w:sz="0" w:space="0" w:color="auto"/>
            <w:left w:val="none" w:sz="0" w:space="0" w:color="auto"/>
            <w:bottom w:val="none" w:sz="0" w:space="0" w:color="auto"/>
            <w:right w:val="none" w:sz="0" w:space="0" w:color="auto"/>
          </w:divBdr>
        </w:div>
        <w:div w:id="148834532">
          <w:marLeft w:val="2448"/>
          <w:marRight w:val="0"/>
          <w:marTop w:val="100"/>
          <w:marBottom w:val="0"/>
          <w:divBdr>
            <w:top w:val="none" w:sz="0" w:space="0" w:color="auto"/>
            <w:left w:val="none" w:sz="0" w:space="0" w:color="auto"/>
            <w:bottom w:val="none" w:sz="0" w:space="0" w:color="auto"/>
            <w:right w:val="none" w:sz="0" w:space="0" w:color="auto"/>
          </w:divBdr>
        </w:div>
        <w:div w:id="2003316896">
          <w:marLeft w:val="547"/>
          <w:marRight w:val="0"/>
          <w:marTop w:val="0"/>
          <w:marBottom w:val="0"/>
          <w:divBdr>
            <w:top w:val="none" w:sz="0" w:space="0" w:color="auto"/>
            <w:left w:val="none" w:sz="0" w:space="0" w:color="auto"/>
            <w:bottom w:val="none" w:sz="0" w:space="0" w:color="auto"/>
            <w:right w:val="none" w:sz="0" w:space="0" w:color="auto"/>
          </w:divBdr>
        </w:div>
        <w:div w:id="1864398110">
          <w:marLeft w:val="547"/>
          <w:marRight w:val="0"/>
          <w:marTop w:val="0"/>
          <w:marBottom w:val="0"/>
          <w:divBdr>
            <w:top w:val="none" w:sz="0" w:space="0" w:color="auto"/>
            <w:left w:val="none" w:sz="0" w:space="0" w:color="auto"/>
            <w:bottom w:val="none" w:sz="0" w:space="0" w:color="auto"/>
            <w:right w:val="none" w:sz="0" w:space="0" w:color="auto"/>
          </w:divBdr>
        </w:div>
        <w:div w:id="482889058">
          <w:marLeft w:val="2448"/>
          <w:marRight w:val="0"/>
          <w:marTop w:val="100"/>
          <w:marBottom w:val="0"/>
          <w:divBdr>
            <w:top w:val="none" w:sz="0" w:space="0" w:color="auto"/>
            <w:left w:val="none" w:sz="0" w:space="0" w:color="auto"/>
            <w:bottom w:val="none" w:sz="0" w:space="0" w:color="auto"/>
            <w:right w:val="none" w:sz="0" w:space="0" w:color="auto"/>
          </w:divBdr>
        </w:div>
        <w:div w:id="1317999836">
          <w:marLeft w:val="547"/>
          <w:marRight w:val="0"/>
          <w:marTop w:val="0"/>
          <w:marBottom w:val="0"/>
          <w:divBdr>
            <w:top w:val="none" w:sz="0" w:space="0" w:color="auto"/>
            <w:left w:val="none" w:sz="0" w:space="0" w:color="auto"/>
            <w:bottom w:val="none" w:sz="0" w:space="0" w:color="auto"/>
            <w:right w:val="none" w:sz="0" w:space="0" w:color="auto"/>
          </w:divBdr>
        </w:div>
      </w:divsChild>
    </w:div>
    <w:div w:id="1209609064">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sChild>
        <w:div w:id="1018384816">
          <w:marLeft w:val="547"/>
          <w:marRight w:val="0"/>
          <w:marTop w:val="0"/>
          <w:marBottom w:val="0"/>
          <w:divBdr>
            <w:top w:val="none" w:sz="0" w:space="0" w:color="auto"/>
            <w:left w:val="none" w:sz="0" w:space="0" w:color="auto"/>
            <w:bottom w:val="none" w:sz="0" w:space="0" w:color="auto"/>
            <w:right w:val="none" w:sz="0" w:space="0" w:color="auto"/>
          </w:divBdr>
        </w:div>
        <w:div w:id="420413655">
          <w:marLeft w:val="547"/>
          <w:marRight w:val="0"/>
          <w:marTop w:val="0"/>
          <w:marBottom w:val="0"/>
          <w:divBdr>
            <w:top w:val="none" w:sz="0" w:space="0" w:color="auto"/>
            <w:left w:val="none" w:sz="0" w:space="0" w:color="auto"/>
            <w:bottom w:val="none" w:sz="0" w:space="0" w:color="auto"/>
            <w:right w:val="none" w:sz="0" w:space="0" w:color="auto"/>
          </w:divBdr>
        </w:div>
        <w:div w:id="271329168">
          <w:marLeft w:val="547"/>
          <w:marRight w:val="0"/>
          <w:marTop w:val="0"/>
          <w:marBottom w:val="0"/>
          <w:divBdr>
            <w:top w:val="none" w:sz="0" w:space="0" w:color="auto"/>
            <w:left w:val="none" w:sz="0" w:space="0" w:color="auto"/>
            <w:bottom w:val="none" w:sz="0" w:space="0" w:color="auto"/>
            <w:right w:val="none" w:sz="0" w:space="0" w:color="auto"/>
          </w:divBdr>
        </w:div>
        <w:div w:id="344553470">
          <w:marLeft w:val="547"/>
          <w:marRight w:val="0"/>
          <w:marTop w:val="0"/>
          <w:marBottom w:val="0"/>
          <w:divBdr>
            <w:top w:val="none" w:sz="0" w:space="0" w:color="auto"/>
            <w:left w:val="none" w:sz="0" w:space="0" w:color="auto"/>
            <w:bottom w:val="none" w:sz="0" w:space="0" w:color="auto"/>
            <w:right w:val="none" w:sz="0" w:space="0" w:color="auto"/>
          </w:divBdr>
        </w:div>
        <w:div w:id="1085690050">
          <w:marLeft w:val="547"/>
          <w:marRight w:val="0"/>
          <w:marTop w:val="0"/>
          <w:marBottom w:val="0"/>
          <w:divBdr>
            <w:top w:val="none" w:sz="0" w:space="0" w:color="auto"/>
            <w:left w:val="none" w:sz="0" w:space="0" w:color="auto"/>
            <w:bottom w:val="none" w:sz="0" w:space="0" w:color="auto"/>
            <w:right w:val="none" w:sz="0" w:space="0" w:color="auto"/>
          </w:divBdr>
        </w:div>
      </w:divsChild>
    </w:div>
    <w:div w:id="1261374116">
      <w:bodyDiv w:val="1"/>
      <w:marLeft w:val="0"/>
      <w:marRight w:val="0"/>
      <w:marTop w:val="0"/>
      <w:marBottom w:val="0"/>
      <w:divBdr>
        <w:top w:val="none" w:sz="0" w:space="0" w:color="auto"/>
        <w:left w:val="none" w:sz="0" w:space="0" w:color="auto"/>
        <w:bottom w:val="none" w:sz="0" w:space="0" w:color="auto"/>
        <w:right w:val="none" w:sz="0" w:space="0" w:color="auto"/>
      </w:divBdr>
    </w:div>
    <w:div w:id="1304969189">
      <w:bodyDiv w:val="1"/>
      <w:marLeft w:val="0"/>
      <w:marRight w:val="0"/>
      <w:marTop w:val="0"/>
      <w:marBottom w:val="0"/>
      <w:divBdr>
        <w:top w:val="none" w:sz="0" w:space="0" w:color="auto"/>
        <w:left w:val="none" w:sz="0" w:space="0" w:color="auto"/>
        <w:bottom w:val="none" w:sz="0" w:space="0" w:color="auto"/>
        <w:right w:val="none" w:sz="0" w:space="0" w:color="auto"/>
      </w:divBdr>
    </w:div>
    <w:div w:id="1310668093">
      <w:bodyDiv w:val="1"/>
      <w:marLeft w:val="0"/>
      <w:marRight w:val="0"/>
      <w:marTop w:val="0"/>
      <w:marBottom w:val="0"/>
      <w:divBdr>
        <w:top w:val="none" w:sz="0" w:space="0" w:color="auto"/>
        <w:left w:val="none" w:sz="0" w:space="0" w:color="auto"/>
        <w:bottom w:val="none" w:sz="0" w:space="0" w:color="auto"/>
        <w:right w:val="none" w:sz="0" w:space="0" w:color="auto"/>
      </w:divBdr>
      <w:divsChild>
        <w:div w:id="1922835197">
          <w:marLeft w:val="2722"/>
          <w:marRight w:val="0"/>
          <w:marTop w:val="100"/>
          <w:marBottom w:val="0"/>
          <w:divBdr>
            <w:top w:val="none" w:sz="0" w:space="0" w:color="auto"/>
            <w:left w:val="none" w:sz="0" w:space="0" w:color="auto"/>
            <w:bottom w:val="none" w:sz="0" w:space="0" w:color="auto"/>
            <w:right w:val="none" w:sz="0" w:space="0" w:color="auto"/>
          </w:divBdr>
        </w:div>
        <w:div w:id="1079980304">
          <w:marLeft w:val="2722"/>
          <w:marRight w:val="0"/>
          <w:marTop w:val="100"/>
          <w:marBottom w:val="0"/>
          <w:divBdr>
            <w:top w:val="none" w:sz="0" w:space="0" w:color="auto"/>
            <w:left w:val="none" w:sz="0" w:space="0" w:color="auto"/>
            <w:bottom w:val="none" w:sz="0" w:space="0" w:color="auto"/>
            <w:right w:val="none" w:sz="0" w:space="0" w:color="auto"/>
          </w:divBdr>
        </w:div>
        <w:div w:id="31270963">
          <w:marLeft w:val="2722"/>
          <w:marRight w:val="0"/>
          <w:marTop w:val="100"/>
          <w:marBottom w:val="0"/>
          <w:divBdr>
            <w:top w:val="none" w:sz="0" w:space="0" w:color="auto"/>
            <w:left w:val="none" w:sz="0" w:space="0" w:color="auto"/>
            <w:bottom w:val="none" w:sz="0" w:space="0" w:color="auto"/>
            <w:right w:val="none" w:sz="0" w:space="0" w:color="auto"/>
          </w:divBdr>
        </w:div>
        <w:div w:id="423112197">
          <w:marLeft w:val="2722"/>
          <w:marRight w:val="0"/>
          <w:marTop w:val="100"/>
          <w:marBottom w:val="0"/>
          <w:divBdr>
            <w:top w:val="none" w:sz="0" w:space="0" w:color="auto"/>
            <w:left w:val="none" w:sz="0" w:space="0" w:color="auto"/>
            <w:bottom w:val="none" w:sz="0" w:space="0" w:color="auto"/>
            <w:right w:val="none" w:sz="0" w:space="0" w:color="auto"/>
          </w:divBdr>
        </w:div>
        <w:div w:id="271130875">
          <w:marLeft w:val="2722"/>
          <w:marRight w:val="0"/>
          <w:marTop w:val="100"/>
          <w:marBottom w:val="0"/>
          <w:divBdr>
            <w:top w:val="none" w:sz="0" w:space="0" w:color="auto"/>
            <w:left w:val="none" w:sz="0" w:space="0" w:color="auto"/>
            <w:bottom w:val="none" w:sz="0" w:space="0" w:color="auto"/>
            <w:right w:val="none" w:sz="0" w:space="0" w:color="auto"/>
          </w:divBdr>
        </w:div>
        <w:div w:id="1321809482">
          <w:marLeft w:val="2722"/>
          <w:marRight w:val="0"/>
          <w:marTop w:val="100"/>
          <w:marBottom w:val="0"/>
          <w:divBdr>
            <w:top w:val="none" w:sz="0" w:space="0" w:color="auto"/>
            <w:left w:val="none" w:sz="0" w:space="0" w:color="auto"/>
            <w:bottom w:val="none" w:sz="0" w:space="0" w:color="auto"/>
            <w:right w:val="none" w:sz="0" w:space="0" w:color="auto"/>
          </w:divBdr>
        </w:div>
      </w:divsChild>
    </w:div>
    <w:div w:id="1314411791">
      <w:bodyDiv w:val="1"/>
      <w:marLeft w:val="0"/>
      <w:marRight w:val="0"/>
      <w:marTop w:val="0"/>
      <w:marBottom w:val="0"/>
      <w:divBdr>
        <w:top w:val="none" w:sz="0" w:space="0" w:color="auto"/>
        <w:left w:val="none" w:sz="0" w:space="0" w:color="auto"/>
        <w:bottom w:val="none" w:sz="0" w:space="0" w:color="auto"/>
        <w:right w:val="none" w:sz="0" w:space="0" w:color="auto"/>
      </w:divBdr>
    </w:div>
    <w:div w:id="1350910025">
      <w:bodyDiv w:val="1"/>
      <w:marLeft w:val="0"/>
      <w:marRight w:val="0"/>
      <w:marTop w:val="0"/>
      <w:marBottom w:val="0"/>
      <w:divBdr>
        <w:top w:val="none" w:sz="0" w:space="0" w:color="auto"/>
        <w:left w:val="none" w:sz="0" w:space="0" w:color="auto"/>
        <w:bottom w:val="none" w:sz="0" w:space="0" w:color="auto"/>
        <w:right w:val="none" w:sz="0" w:space="0" w:color="auto"/>
      </w:divBdr>
      <w:divsChild>
        <w:div w:id="2065638008">
          <w:marLeft w:val="547"/>
          <w:marRight w:val="0"/>
          <w:marTop w:val="0"/>
          <w:marBottom w:val="0"/>
          <w:divBdr>
            <w:top w:val="none" w:sz="0" w:space="0" w:color="auto"/>
            <w:left w:val="none" w:sz="0" w:space="0" w:color="auto"/>
            <w:bottom w:val="none" w:sz="0" w:space="0" w:color="auto"/>
            <w:right w:val="none" w:sz="0" w:space="0" w:color="auto"/>
          </w:divBdr>
        </w:div>
        <w:div w:id="42215189">
          <w:marLeft w:val="547"/>
          <w:marRight w:val="0"/>
          <w:marTop w:val="0"/>
          <w:marBottom w:val="0"/>
          <w:divBdr>
            <w:top w:val="none" w:sz="0" w:space="0" w:color="auto"/>
            <w:left w:val="none" w:sz="0" w:space="0" w:color="auto"/>
            <w:bottom w:val="none" w:sz="0" w:space="0" w:color="auto"/>
            <w:right w:val="none" w:sz="0" w:space="0" w:color="auto"/>
          </w:divBdr>
        </w:div>
        <w:div w:id="991518165">
          <w:marLeft w:val="547"/>
          <w:marRight w:val="0"/>
          <w:marTop w:val="0"/>
          <w:marBottom w:val="0"/>
          <w:divBdr>
            <w:top w:val="none" w:sz="0" w:space="0" w:color="auto"/>
            <w:left w:val="none" w:sz="0" w:space="0" w:color="auto"/>
            <w:bottom w:val="none" w:sz="0" w:space="0" w:color="auto"/>
            <w:right w:val="none" w:sz="0" w:space="0" w:color="auto"/>
          </w:divBdr>
        </w:div>
      </w:divsChild>
    </w:div>
    <w:div w:id="1357736531">
      <w:bodyDiv w:val="1"/>
      <w:marLeft w:val="0"/>
      <w:marRight w:val="0"/>
      <w:marTop w:val="0"/>
      <w:marBottom w:val="0"/>
      <w:divBdr>
        <w:top w:val="none" w:sz="0" w:space="0" w:color="auto"/>
        <w:left w:val="none" w:sz="0" w:space="0" w:color="auto"/>
        <w:bottom w:val="none" w:sz="0" w:space="0" w:color="auto"/>
        <w:right w:val="none" w:sz="0" w:space="0" w:color="auto"/>
      </w:divBdr>
    </w:div>
    <w:div w:id="1385835257">
      <w:bodyDiv w:val="1"/>
      <w:marLeft w:val="0"/>
      <w:marRight w:val="0"/>
      <w:marTop w:val="0"/>
      <w:marBottom w:val="0"/>
      <w:divBdr>
        <w:top w:val="none" w:sz="0" w:space="0" w:color="auto"/>
        <w:left w:val="none" w:sz="0" w:space="0" w:color="auto"/>
        <w:bottom w:val="none" w:sz="0" w:space="0" w:color="auto"/>
        <w:right w:val="none" w:sz="0" w:space="0" w:color="auto"/>
      </w:divBdr>
      <w:divsChild>
        <w:div w:id="1442727245">
          <w:marLeft w:val="720"/>
          <w:marRight w:val="0"/>
          <w:marTop w:val="0"/>
          <w:marBottom w:val="0"/>
          <w:divBdr>
            <w:top w:val="none" w:sz="0" w:space="0" w:color="auto"/>
            <w:left w:val="none" w:sz="0" w:space="0" w:color="auto"/>
            <w:bottom w:val="none" w:sz="0" w:space="0" w:color="auto"/>
            <w:right w:val="none" w:sz="0" w:space="0" w:color="auto"/>
          </w:divBdr>
        </w:div>
        <w:div w:id="1785727430">
          <w:marLeft w:val="720"/>
          <w:marRight w:val="0"/>
          <w:marTop w:val="0"/>
          <w:marBottom w:val="0"/>
          <w:divBdr>
            <w:top w:val="none" w:sz="0" w:space="0" w:color="auto"/>
            <w:left w:val="none" w:sz="0" w:space="0" w:color="auto"/>
            <w:bottom w:val="none" w:sz="0" w:space="0" w:color="auto"/>
            <w:right w:val="none" w:sz="0" w:space="0" w:color="auto"/>
          </w:divBdr>
        </w:div>
        <w:div w:id="790511551">
          <w:marLeft w:val="720"/>
          <w:marRight w:val="0"/>
          <w:marTop w:val="0"/>
          <w:marBottom w:val="0"/>
          <w:divBdr>
            <w:top w:val="none" w:sz="0" w:space="0" w:color="auto"/>
            <w:left w:val="none" w:sz="0" w:space="0" w:color="auto"/>
            <w:bottom w:val="none" w:sz="0" w:space="0" w:color="auto"/>
            <w:right w:val="none" w:sz="0" w:space="0" w:color="auto"/>
          </w:divBdr>
        </w:div>
        <w:div w:id="1841113412">
          <w:marLeft w:val="720"/>
          <w:marRight w:val="0"/>
          <w:marTop w:val="0"/>
          <w:marBottom w:val="0"/>
          <w:divBdr>
            <w:top w:val="none" w:sz="0" w:space="0" w:color="auto"/>
            <w:left w:val="none" w:sz="0" w:space="0" w:color="auto"/>
            <w:bottom w:val="none" w:sz="0" w:space="0" w:color="auto"/>
            <w:right w:val="none" w:sz="0" w:space="0" w:color="auto"/>
          </w:divBdr>
        </w:div>
        <w:div w:id="611009755">
          <w:marLeft w:val="720"/>
          <w:marRight w:val="0"/>
          <w:marTop w:val="0"/>
          <w:marBottom w:val="0"/>
          <w:divBdr>
            <w:top w:val="none" w:sz="0" w:space="0" w:color="auto"/>
            <w:left w:val="none" w:sz="0" w:space="0" w:color="auto"/>
            <w:bottom w:val="none" w:sz="0" w:space="0" w:color="auto"/>
            <w:right w:val="none" w:sz="0" w:space="0" w:color="auto"/>
          </w:divBdr>
        </w:div>
        <w:div w:id="595092315">
          <w:marLeft w:val="720"/>
          <w:marRight w:val="0"/>
          <w:marTop w:val="0"/>
          <w:marBottom w:val="0"/>
          <w:divBdr>
            <w:top w:val="none" w:sz="0" w:space="0" w:color="auto"/>
            <w:left w:val="none" w:sz="0" w:space="0" w:color="auto"/>
            <w:bottom w:val="none" w:sz="0" w:space="0" w:color="auto"/>
            <w:right w:val="none" w:sz="0" w:space="0" w:color="auto"/>
          </w:divBdr>
        </w:div>
        <w:div w:id="1831484015">
          <w:marLeft w:val="720"/>
          <w:marRight w:val="0"/>
          <w:marTop w:val="0"/>
          <w:marBottom w:val="0"/>
          <w:divBdr>
            <w:top w:val="none" w:sz="0" w:space="0" w:color="auto"/>
            <w:left w:val="none" w:sz="0" w:space="0" w:color="auto"/>
            <w:bottom w:val="none" w:sz="0" w:space="0" w:color="auto"/>
            <w:right w:val="none" w:sz="0" w:space="0" w:color="auto"/>
          </w:divBdr>
        </w:div>
      </w:divsChild>
    </w:div>
    <w:div w:id="1409646184">
      <w:bodyDiv w:val="1"/>
      <w:marLeft w:val="0"/>
      <w:marRight w:val="0"/>
      <w:marTop w:val="0"/>
      <w:marBottom w:val="0"/>
      <w:divBdr>
        <w:top w:val="none" w:sz="0" w:space="0" w:color="auto"/>
        <w:left w:val="none" w:sz="0" w:space="0" w:color="auto"/>
        <w:bottom w:val="none" w:sz="0" w:space="0" w:color="auto"/>
        <w:right w:val="none" w:sz="0" w:space="0" w:color="auto"/>
      </w:divBdr>
      <w:divsChild>
        <w:div w:id="1526601362">
          <w:marLeft w:val="547"/>
          <w:marRight w:val="0"/>
          <w:marTop w:val="0"/>
          <w:marBottom w:val="0"/>
          <w:divBdr>
            <w:top w:val="none" w:sz="0" w:space="0" w:color="auto"/>
            <w:left w:val="none" w:sz="0" w:space="0" w:color="auto"/>
            <w:bottom w:val="none" w:sz="0" w:space="0" w:color="auto"/>
            <w:right w:val="none" w:sz="0" w:space="0" w:color="auto"/>
          </w:divBdr>
        </w:div>
        <w:div w:id="1735855577">
          <w:marLeft w:val="547"/>
          <w:marRight w:val="0"/>
          <w:marTop w:val="0"/>
          <w:marBottom w:val="0"/>
          <w:divBdr>
            <w:top w:val="none" w:sz="0" w:space="0" w:color="auto"/>
            <w:left w:val="none" w:sz="0" w:space="0" w:color="auto"/>
            <w:bottom w:val="none" w:sz="0" w:space="0" w:color="auto"/>
            <w:right w:val="none" w:sz="0" w:space="0" w:color="auto"/>
          </w:divBdr>
        </w:div>
      </w:divsChild>
    </w:div>
    <w:div w:id="1429350405">
      <w:bodyDiv w:val="1"/>
      <w:marLeft w:val="0"/>
      <w:marRight w:val="0"/>
      <w:marTop w:val="0"/>
      <w:marBottom w:val="0"/>
      <w:divBdr>
        <w:top w:val="none" w:sz="0" w:space="0" w:color="auto"/>
        <w:left w:val="none" w:sz="0" w:space="0" w:color="auto"/>
        <w:bottom w:val="none" w:sz="0" w:space="0" w:color="auto"/>
        <w:right w:val="none" w:sz="0" w:space="0" w:color="auto"/>
      </w:divBdr>
    </w:div>
    <w:div w:id="1539968205">
      <w:bodyDiv w:val="1"/>
      <w:marLeft w:val="0"/>
      <w:marRight w:val="0"/>
      <w:marTop w:val="0"/>
      <w:marBottom w:val="0"/>
      <w:divBdr>
        <w:top w:val="none" w:sz="0" w:space="0" w:color="auto"/>
        <w:left w:val="none" w:sz="0" w:space="0" w:color="auto"/>
        <w:bottom w:val="none" w:sz="0" w:space="0" w:color="auto"/>
        <w:right w:val="none" w:sz="0" w:space="0" w:color="auto"/>
      </w:divBdr>
    </w:div>
    <w:div w:id="1583178205">
      <w:bodyDiv w:val="1"/>
      <w:marLeft w:val="0"/>
      <w:marRight w:val="0"/>
      <w:marTop w:val="0"/>
      <w:marBottom w:val="0"/>
      <w:divBdr>
        <w:top w:val="none" w:sz="0" w:space="0" w:color="auto"/>
        <w:left w:val="none" w:sz="0" w:space="0" w:color="auto"/>
        <w:bottom w:val="none" w:sz="0" w:space="0" w:color="auto"/>
        <w:right w:val="none" w:sz="0" w:space="0" w:color="auto"/>
      </w:divBdr>
    </w:div>
    <w:div w:id="1598630813">
      <w:bodyDiv w:val="1"/>
      <w:marLeft w:val="0"/>
      <w:marRight w:val="0"/>
      <w:marTop w:val="0"/>
      <w:marBottom w:val="0"/>
      <w:divBdr>
        <w:top w:val="none" w:sz="0" w:space="0" w:color="auto"/>
        <w:left w:val="none" w:sz="0" w:space="0" w:color="auto"/>
        <w:bottom w:val="none" w:sz="0" w:space="0" w:color="auto"/>
        <w:right w:val="none" w:sz="0" w:space="0" w:color="auto"/>
      </w:divBdr>
    </w:div>
    <w:div w:id="1614633279">
      <w:bodyDiv w:val="1"/>
      <w:marLeft w:val="0"/>
      <w:marRight w:val="0"/>
      <w:marTop w:val="0"/>
      <w:marBottom w:val="0"/>
      <w:divBdr>
        <w:top w:val="none" w:sz="0" w:space="0" w:color="auto"/>
        <w:left w:val="none" w:sz="0" w:space="0" w:color="auto"/>
        <w:bottom w:val="none" w:sz="0" w:space="0" w:color="auto"/>
        <w:right w:val="none" w:sz="0" w:space="0" w:color="auto"/>
      </w:divBdr>
      <w:divsChild>
        <w:div w:id="1601335264">
          <w:marLeft w:val="720"/>
          <w:marRight w:val="0"/>
          <w:marTop w:val="0"/>
          <w:marBottom w:val="0"/>
          <w:divBdr>
            <w:top w:val="none" w:sz="0" w:space="0" w:color="auto"/>
            <w:left w:val="none" w:sz="0" w:space="0" w:color="auto"/>
            <w:bottom w:val="none" w:sz="0" w:space="0" w:color="auto"/>
            <w:right w:val="none" w:sz="0" w:space="0" w:color="auto"/>
          </w:divBdr>
        </w:div>
        <w:div w:id="1581253050">
          <w:marLeft w:val="720"/>
          <w:marRight w:val="0"/>
          <w:marTop w:val="0"/>
          <w:marBottom w:val="0"/>
          <w:divBdr>
            <w:top w:val="none" w:sz="0" w:space="0" w:color="auto"/>
            <w:left w:val="none" w:sz="0" w:space="0" w:color="auto"/>
            <w:bottom w:val="none" w:sz="0" w:space="0" w:color="auto"/>
            <w:right w:val="none" w:sz="0" w:space="0" w:color="auto"/>
          </w:divBdr>
        </w:div>
        <w:div w:id="1125852542">
          <w:marLeft w:val="720"/>
          <w:marRight w:val="0"/>
          <w:marTop w:val="0"/>
          <w:marBottom w:val="0"/>
          <w:divBdr>
            <w:top w:val="none" w:sz="0" w:space="0" w:color="auto"/>
            <w:left w:val="none" w:sz="0" w:space="0" w:color="auto"/>
            <w:bottom w:val="none" w:sz="0" w:space="0" w:color="auto"/>
            <w:right w:val="none" w:sz="0" w:space="0" w:color="auto"/>
          </w:divBdr>
        </w:div>
        <w:div w:id="1702583414">
          <w:marLeft w:val="3586"/>
          <w:marRight w:val="0"/>
          <w:marTop w:val="100"/>
          <w:marBottom w:val="0"/>
          <w:divBdr>
            <w:top w:val="none" w:sz="0" w:space="0" w:color="auto"/>
            <w:left w:val="none" w:sz="0" w:space="0" w:color="auto"/>
            <w:bottom w:val="none" w:sz="0" w:space="0" w:color="auto"/>
            <w:right w:val="none" w:sz="0" w:space="0" w:color="auto"/>
          </w:divBdr>
        </w:div>
        <w:div w:id="2126536406">
          <w:marLeft w:val="3586"/>
          <w:marRight w:val="0"/>
          <w:marTop w:val="100"/>
          <w:marBottom w:val="0"/>
          <w:divBdr>
            <w:top w:val="none" w:sz="0" w:space="0" w:color="auto"/>
            <w:left w:val="none" w:sz="0" w:space="0" w:color="auto"/>
            <w:bottom w:val="none" w:sz="0" w:space="0" w:color="auto"/>
            <w:right w:val="none" w:sz="0" w:space="0" w:color="auto"/>
          </w:divBdr>
        </w:div>
        <w:div w:id="1547638341">
          <w:marLeft w:val="3586"/>
          <w:marRight w:val="0"/>
          <w:marTop w:val="100"/>
          <w:marBottom w:val="0"/>
          <w:divBdr>
            <w:top w:val="none" w:sz="0" w:space="0" w:color="auto"/>
            <w:left w:val="none" w:sz="0" w:space="0" w:color="auto"/>
            <w:bottom w:val="none" w:sz="0" w:space="0" w:color="auto"/>
            <w:right w:val="none" w:sz="0" w:space="0" w:color="auto"/>
          </w:divBdr>
        </w:div>
        <w:div w:id="1607422550">
          <w:marLeft w:val="3586"/>
          <w:marRight w:val="0"/>
          <w:marTop w:val="100"/>
          <w:marBottom w:val="0"/>
          <w:divBdr>
            <w:top w:val="none" w:sz="0" w:space="0" w:color="auto"/>
            <w:left w:val="none" w:sz="0" w:space="0" w:color="auto"/>
            <w:bottom w:val="none" w:sz="0" w:space="0" w:color="auto"/>
            <w:right w:val="none" w:sz="0" w:space="0" w:color="auto"/>
          </w:divBdr>
        </w:div>
      </w:divsChild>
    </w:div>
    <w:div w:id="1655908971">
      <w:bodyDiv w:val="1"/>
      <w:marLeft w:val="0"/>
      <w:marRight w:val="0"/>
      <w:marTop w:val="0"/>
      <w:marBottom w:val="0"/>
      <w:divBdr>
        <w:top w:val="none" w:sz="0" w:space="0" w:color="auto"/>
        <w:left w:val="none" w:sz="0" w:space="0" w:color="auto"/>
        <w:bottom w:val="none" w:sz="0" w:space="0" w:color="auto"/>
        <w:right w:val="none" w:sz="0" w:space="0" w:color="auto"/>
      </w:divBdr>
    </w:div>
    <w:div w:id="1693073878">
      <w:bodyDiv w:val="1"/>
      <w:marLeft w:val="0"/>
      <w:marRight w:val="0"/>
      <w:marTop w:val="0"/>
      <w:marBottom w:val="0"/>
      <w:divBdr>
        <w:top w:val="none" w:sz="0" w:space="0" w:color="auto"/>
        <w:left w:val="none" w:sz="0" w:space="0" w:color="auto"/>
        <w:bottom w:val="none" w:sz="0" w:space="0" w:color="auto"/>
        <w:right w:val="none" w:sz="0" w:space="0" w:color="auto"/>
      </w:divBdr>
      <w:divsChild>
        <w:div w:id="1644966377">
          <w:marLeft w:val="547"/>
          <w:marRight w:val="0"/>
          <w:marTop w:val="0"/>
          <w:marBottom w:val="0"/>
          <w:divBdr>
            <w:top w:val="none" w:sz="0" w:space="0" w:color="auto"/>
            <w:left w:val="none" w:sz="0" w:space="0" w:color="auto"/>
            <w:bottom w:val="none" w:sz="0" w:space="0" w:color="auto"/>
            <w:right w:val="none" w:sz="0" w:space="0" w:color="auto"/>
          </w:divBdr>
        </w:div>
        <w:div w:id="1963999156">
          <w:marLeft w:val="547"/>
          <w:marRight w:val="0"/>
          <w:marTop w:val="0"/>
          <w:marBottom w:val="0"/>
          <w:divBdr>
            <w:top w:val="none" w:sz="0" w:space="0" w:color="auto"/>
            <w:left w:val="none" w:sz="0" w:space="0" w:color="auto"/>
            <w:bottom w:val="none" w:sz="0" w:space="0" w:color="auto"/>
            <w:right w:val="none" w:sz="0" w:space="0" w:color="auto"/>
          </w:divBdr>
        </w:div>
      </w:divsChild>
    </w:div>
    <w:div w:id="1714692233">
      <w:bodyDiv w:val="1"/>
      <w:marLeft w:val="0"/>
      <w:marRight w:val="0"/>
      <w:marTop w:val="0"/>
      <w:marBottom w:val="0"/>
      <w:divBdr>
        <w:top w:val="none" w:sz="0" w:space="0" w:color="auto"/>
        <w:left w:val="none" w:sz="0" w:space="0" w:color="auto"/>
        <w:bottom w:val="none" w:sz="0" w:space="0" w:color="auto"/>
        <w:right w:val="none" w:sz="0" w:space="0" w:color="auto"/>
      </w:divBdr>
      <w:divsChild>
        <w:div w:id="151411762">
          <w:marLeft w:val="547"/>
          <w:marRight w:val="0"/>
          <w:marTop w:val="0"/>
          <w:marBottom w:val="0"/>
          <w:divBdr>
            <w:top w:val="none" w:sz="0" w:space="0" w:color="auto"/>
            <w:left w:val="none" w:sz="0" w:space="0" w:color="auto"/>
            <w:bottom w:val="none" w:sz="0" w:space="0" w:color="auto"/>
            <w:right w:val="none" w:sz="0" w:space="0" w:color="auto"/>
          </w:divBdr>
        </w:div>
        <w:div w:id="1371033496">
          <w:marLeft w:val="547"/>
          <w:marRight w:val="0"/>
          <w:marTop w:val="0"/>
          <w:marBottom w:val="0"/>
          <w:divBdr>
            <w:top w:val="none" w:sz="0" w:space="0" w:color="auto"/>
            <w:left w:val="none" w:sz="0" w:space="0" w:color="auto"/>
            <w:bottom w:val="none" w:sz="0" w:space="0" w:color="auto"/>
            <w:right w:val="none" w:sz="0" w:space="0" w:color="auto"/>
          </w:divBdr>
        </w:div>
        <w:div w:id="824857288">
          <w:marLeft w:val="547"/>
          <w:marRight w:val="0"/>
          <w:marTop w:val="0"/>
          <w:marBottom w:val="0"/>
          <w:divBdr>
            <w:top w:val="none" w:sz="0" w:space="0" w:color="auto"/>
            <w:left w:val="none" w:sz="0" w:space="0" w:color="auto"/>
            <w:bottom w:val="none" w:sz="0" w:space="0" w:color="auto"/>
            <w:right w:val="none" w:sz="0" w:space="0" w:color="auto"/>
          </w:divBdr>
        </w:div>
        <w:div w:id="595015070">
          <w:marLeft w:val="547"/>
          <w:marRight w:val="0"/>
          <w:marTop w:val="0"/>
          <w:marBottom w:val="0"/>
          <w:divBdr>
            <w:top w:val="none" w:sz="0" w:space="0" w:color="auto"/>
            <w:left w:val="none" w:sz="0" w:space="0" w:color="auto"/>
            <w:bottom w:val="none" w:sz="0" w:space="0" w:color="auto"/>
            <w:right w:val="none" w:sz="0" w:space="0" w:color="auto"/>
          </w:divBdr>
        </w:div>
        <w:div w:id="190388241">
          <w:marLeft w:val="547"/>
          <w:marRight w:val="0"/>
          <w:marTop w:val="0"/>
          <w:marBottom w:val="0"/>
          <w:divBdr>
            <w:top w:val="none" w:sz="0" w:space="0" w:color="auto"/>
            <w:left w:val="none" w:sz="0" w:space="0" w:color="auto"/>
            <w:bottom w:val="none" w:sz="0" w:space="0" w:color="auto"/>
            <w:right w:val="none" w:sz="0" w:space="0" w:color="auto"/>
          </w:divBdr>
        </w:div>
      </w:divsChild>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35810003">
      <w:bodyDiv w:val="1"/>
      <w:marLeft w:val="0"/>
      <w:marRight w:val="0"/>
      <w:marTop w:val="0"/>
      <w:marBottom w:val="0"/>
      <w:divBdr>
        <w:top w:val="none" w:sz="0" w:space="0" w:color="auto"/>
        <w:left w:val="none" w:sz="0" w:space="0" w:color="auto"/>
        <w:bottom w:val="none" w:sz="0" w:space="0" w:color="auto"/>
        <w:right w:val="none" w:sz="0" w:space="0" w:color="auto"/>
      </w:divBdr>
    </w:div>
    <w:div w:id="1793597003">
      <w:bodyDiv w:val="1"/>
      <w:marLeft w:val="0"/>
      <w:marRight w:val="0"/>
      <w:marTop w:val="0"/>
      <w:marBottom w:val="0"/>
      <w:divBdr>
        <w:top w:val="none" w:sz="0" w:space="0" w:color="auto"/>
        <w:left w:val="none" w:sz="0" w:space="0" w:color="auto"/>
        <w:bottom w:val="none" w:sz="0" w:space="0" w:color="auto"/>
        <w:right w:val="none" w:sz="0" w:space="0" w:color="auto"/>
      </w:divBdr>
    </w:div>
    <w:div w:id="1822303815">
      <w:bodyDiv w:val="1"/>
      <w:marLeft w:val="0"/>
      <w:marRight w:val="0"/>
      <w:marTop w:val="0"/>
      <w:marBottom w:val="0"/>
      <w:divBdr>
        <w:top w:val="none" w:sz="0" w:space="0" w:color="auto"/>
        <w:left w:val="none" w:sz="0" w:space="0" w:color="auto"/>
        <w:bottom w:val="none" w:sz="0" w:space="0" w:color="auto"/>
        <w:right w:val="none" w:sz="0" w:space="0" w:color="auto"/>
      </w:divBdr>
    </w:div>
    <w:div w:id="1845969794">
      <w:bodyDiv w:val="1"/>
      <w:marLeft w:val="0"/>
      <w:marRight w:val="0"/>
      <w:marTop w:val="0"/>
      <w:marBottom w:val="0"/>
      <w:divBdr>
        <w:top w:val="none" w:sz="0" w:space="0" w:color="auto"/>
        <w:left w:val="none" w:sz="0" w:space="0" w:color="auto"/>
        <w:bottom w:val="none" w:sz="0" w:space="0" w:color="auto"/>
        <w:right w:val="none" w:sz="0" w:space="0" w:color="auto"/>
      </w:divBdr>
    </w:div>
    <w:div w:id="1858078383">
      <w:bodyDiv w:val="1"/>
      <w:marLeft w:val="0"/>
      <w:marRight w:val="0"/>
      <w:marTop w:val="0"/>
      <w:marBottom w:val="0"/>
      <w:divBdr>
        <w:top w:val="none" w:sz="0" w:space="0" w:color="auto"/>
        <w:left w:val="none" w:sz="0" w:space="0" w:color="auto"/>
        <w:bottom w:val="none" w:sz="0" w:space="0" w:color="auto"/>
        <w:right w:val="none" w:sz="0" w:space="0" w:color="auto"/>
      </w:divBdr>
    </w:div>
    <w:div w:id="1969815647">
      <w:bodyDiv w:val="1"/>
      <w:marLeft w:val="0"/>
      <w:marRight w:val="0"/>
      <w:marTop w:val="0"/>
      <w:marBottom w:val="0"/>
      <w:divBdr>
        <w:top w:val="none" w:sz="0" w:space="0" w:color="auto"/>
        <w:left w:val="none" w:sz="0" w:space="0" w:color="auto"/>
        <w:bottom w:val="none" w:sz="0" w:space="0" w:color="auto"/>
        <w:right w:val="none" w:sz="0" w:space="0" w:color="auto"/>
      </w:divBdr>
      <w:divsChild>
        <w:div w:id="800926821">
          <w:marLeft w:val="720"/>
          <w:marRight w:val="0"/>
          <w:marTop w:val="0"/>
          <w:marBottom w:val="0"/>
          <w:divBdr>
            <w:top w:val="none" w:sz="0" w:space="0" w:color="auto"/>
            <w:left w:val="none" w:sz="0" w:space="0" w:color="auto"/>
            <w:bottom w:val="none" w:sz="0" w:space="0" w:color="auto"/>
            <w:right w:val="none" w:sz="0" w:space="0" w:color="auto"/>
          </w:divBdr>
        </w:div>
        <w:div w:id="55662456">
          <w:marLeft w:val="720"/>
          <w:marRight w:val="0"/>
          <w:marTop w:val="0"/>
          <w:marBottom w:val="0"/>
          <w:divBdr>
            <w:top w:val="none" w:sz="0" w:space="0" w:color="auto"/>
            <w:left w:val="none" w:sz="0" w:space="0" w:color="auto"/>
            <w:bottom w:val="none" w:sz="0" w:space="0" w:color="auto"/>
            <w:right w:val="none" w:sz="0" w:space="0" w:color="auto"/>
          </w:divBdr>
        </w:div>
        <w:div w:id="1651985453">
          <w:marLeft w:val="720"/>
          <w:marRight w:val="0"/>
          <w:marTop w:val="0"/>
          <w:marBottom w:val="0"/>
          <w:divBdr>
            <w:top w:val="none" w:sz="0" w:space="0" w:color="auto"/>
            <w:left w:val="none" w:sz="0" w:space="0" w:color="auto"/>
            <w:bottom w:val="none" w:sz="0" w:space="0" w:color="auto"/>
            <w:right w:val="none" w:sz="0" w:space="0" w:color="auto"/>
          </w:divBdr>
        </w:div>
      </w:divsChild>
    </w:div>
    <w:div w:id="1985310828">
      <w:bodyDiv w:val="1"/>
      <w:marLeft w:val="0"/>
      <w:marRight w:val="0"/>
      <w:marTop w:val="0"/>
      <w:marBottom w:val="0"/>
      <w:divBdr>
        <w:top w:val="none" w:sz="0" w:space="0" w:color="auto"/>
        <w:left w:val="none" w:sz="0" w:space="0" w:color="auto"/>
        <w:bottom w:val="none" w:sz="0" w:space="0" w:color="auto"/>
        <w:right w:val="none" w:sz="0" w:space="0" w:color="auto"/>
      </w:divBdr>
    </w:div>
    <w:div w:id="2000035495">
      <w:bodyDiv w:val="1"/>
      <w:marLeft w:val="0"/>
      <w:marRight w:val="0"/>
      <w:marTop w:val="0"/>
      <w:marBottom w:val="0"/>
      <w:divBdr>
        <w:top w:val="none" w:sz="0" w:space="0" w:color="auto"/>
        <w:left w:val="none" w:sz="0" w:space="0" w:color="auto"/>
        <w:bottom w:val="none" w:sz="0" w:space="0" w:color="auto"/>
        <w:right w:val="none" w:sz="0" w:space="0" w:color="auto"/>
      </w:divBdr>
      <w:divsChild>
        <w:div w:id="1096556983">
          <w:marLeft w:val="547"/>
          <w:marRight w:val="0"/>
          <w:marTop w:val="0"/>
          <w:marBottom w:val="0"/>
          <w:divBdr>
            <w:top w:val="none" w:sz="0" w:space="0" w:color="auto"/>
            <w:left w:val="none" w:sz="0" w:space="0" w:color="auto"/>
            <w:bottom w:val="none" w:sz="0" w:space="0" w:color="auto"/>
            <w:right w:val="none" w:sz="0" w:space="0" w:color="auto"/>
          </w:divBdr>
        </w:div>
        <w:div w:id="34892490">
          <w:marLeft w:val="547"/>
          <w:marRight w:val="0"/>
          <w:marTop w:val="0"/>
          <w:marBottom w:val="0"/>
          <w:divBdr>
            <w:top w:val="none" w:sz="0" w:space="0" w:color="auto"/>
            <w:left w:val="none" w:sz="0" w:space="0" w:color="auto"/>
            <w:bottom w:val="none" w:sz="0" w:space="0" w:color="auto"/>
            <w:right w:val="none" w:sz="0" w:space="0" w:color="auto"/>
          </w:divBdr>
        </w:div>
      </w:divsChild>
    </w:div>
    <w:div w:id="2051032156">
      <w:bodyDiv w:val="1"/>
      <w:marLeft w:val="0"/>
      <w:marRight w:val="0"/>
      <w:marTop w:val="0"/>
      <w:marBottom w:val="0"/>
      <w:divBdr>
        <w:top w:val="none" w:sz="0" w:space="0" w:color="auto"/>
        <w:left w:val="none" w:sz="0" w:space="0" w:color="auto"/>
        <w:bottom w:val="none" w:sz="0" w:space="0" w:color="auto"/>
        <w:right w:val="none" w:sz="0" w:space="0" w:color="auto"/>
      </w:divBdr>
      <w:divsChild>
        <w:div w:id="2095588765">
          <w:marLeft w:val="720"/>
          <w:marRight w:val="0"/>
          <w:marTop w:val="0"/>
          <w:marBottom w:val="0"/>
          <w:divBdr>
            <w:top w:val="none" w:sz="0" w:space="0" w:color="auto"/>
            <w:left w:val="none" w:sz="0" w:space="0" w:color="auto"/>
            <w:bottom w:val="none" w:sz="0" w:space="0" w:color="auto"/>
            <w:right w:val="none" w:sz="0" w:space="0" w:color="auto"/>
          </w:divBdr>
        </w:div>
        <w:div w:id="309674243">
          <w:marLeft w:val="720"/>
          <w:marRight w:val="0"/>
          <w:marTop w:val="0"/>
          <w:marBottom w:val="0"/>
          <w:divBdr>
            <w:top w:val="none" w:sz="0" w:space="0" w:color="auto"/>
            <w:left w:val="none" w:sz="0" w:space="0" w:color="auto"/>
            <w:bottom w:val="none" w:sz="0" w:space="0" w:color="auto"/>
            <w:right w:val="none" w:sz="0" w:space="0" w:color="auto"/>
          </w:divBdr>
        </w:div>
        <w:div w:id="1360279589">
          <w:marLeft w:val="720"/>
          <w:marRight w:val="0"/>
          <w:marTop w:val="0"/>
          <w:marBottom w:val="0"/>
          <w:divBdr>
            <w:top w:val="none" w:sz="0" w:space="0" w:color="auto"/>
            <w:left w:val="none" w:sz="0" w:space="0" w:color="auto"/>
            <w:bottom w:val="none" w:sz="0" w:space="0" w:color="auto"/>
            <w:right w:val="none" w:sz="0" w:space="0" w:color="auto"/>
          </w:divBdr>
        </w:div>
        <w:div w:id="645667498">
          <w:marLeft w:val="720"/>
          <w:marRight w:val="0"/>
          <w:marTop w:val="0"/>
          <w:marBottom w:val="0"/>
          <w:divBdr>
            <w:top w:val="none" w:sz="0" w:space="0" w:color="auto"/>
            <w:left w:val="none" w:sz="0" w:space="0" w:color="auto"/>
            <w:bottom w:val="none" w:sz="0" w:space="0" w:color="auto"/>
            <w:right w:val="none" w:sz="0" w:space="0" w:color="auto"/>
          </w:divBdr>
        </w:div>
        <w:div w:id="1380057713">
          <w:marLeft w:val="720"/>
          <w:marRight w:val="0"/>
          <w:marTop w:val="0"/>
          <w:marBottom w:val="0"/>
          <w:divBdr>
            <w:top w:val="none" w:sz="0" w:space="0" w:color="auto"/>
            <w:left w:val="none" w:sz="0" w:space="0" w:color="auto"/>
            <w:bottom w:val="none" w:sz="0" w:space="0" w:color="auto"/>
            <w:right w:val="none" w:sz="0" w:space="0" w:color="auto"/>
          </w:divBdr>
        </w:div>
        <w:div w:id="1854804102">
          <w:marLeft w:val="720"/>
          <w:marRight w:val="0"/>
          <w:marTop w:val="0"/>
          <w:marBottom w:val="0"/>
          <w:divBdr>
            <w:top w:val="none" w:sz="0" w:space="0" w:color="auto"/>
            <w:left w:val="none" w:sz="0" w:space="0" w:color="auto"/>
            <w:bottom w:val="none" w:sz="0" w:space="0" w:color="auto"/>
            <w:right w:val="none" w:sz="0" w:space="0" w:color="auto"/>
          </w:divBdr>
        </w:div>
      </w:divsChild>
    </w:div>
    <w:div w:id="2066296394">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 w:id="21289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legislation.gov.uk/ukpga/2015/9/section/76/enacted" TargetMode="Externa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assets.publishing.service.gov.uk/government/uploads/system/uploads/attachment_data/file/482528/Controlling_or_coercive_behaviour_-_statutory_guidance.pdf"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29" Type="http://schemas.openxmlformats.org/officeDocument/2006/relationships/hyperlink" Target="https://www.legislation.gov.uk/ukpga/2015/9/section/76/enact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gov.uk/government/publications/review-of-the-controlling-or-coercive-behaviour-offence"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justice.nt.gov.au/__data/assets/pdf_file/0010/718147/Charter-of-Victims-Rights-August-2019.pdf" TargetMode="External"/><Relationship Id="rId28" Type="http://schemas.openxmlformats.org/officeDocument/2006/relationships/hyperlink" Target="https://www.legislation.gov.uk/ukpga/2015/9/section/76/enacted"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Policy.AGD@nt.gov.au"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licy.AGD@nt.gov.au" TargetMode="External"/><Relationship Id="rId22" Type="http://schemas.openxmlformats.org/officeDocument/2006/relationships/hyperlink" Target="https://doi.org/10.52922/sb78108" TargetMode="External"/><Relationship Id="rId27" Type="http://schemas.openxmlformats.org/officeDocument/2006/relationships/hyperlink" Target="https://www.legislation.gov.uk/ukpga/2015/9/section/76/enacted" TargetMode="External"/><Relationship Id="rId30" Type="http://schemas.openxmlformats.org/officeDocument/2006/relationships/hyperlink" Target="https://www.legislation.gov.uk/ukpga/2015/9/section/76/enacted" TargetMode="Externa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ourwatch.org.au/resource/change-the-story-summary/" TargetMode="External"/><Relationship Id="rId13" Type="http://schemas.openxmlformats.org/officeDocument/2006/relationships/hyperlink" Target="https://www.coroners.nsw.gov.au/content/dam/dcj/ctsd/coronerscourt/documents/reports/2017-2019_DVDRT_Report.pdf" TargetMode="External"/><Relationship Id="rId18" Type="http://schemas.openxmlformats.org/officeDocument/2006/relationships/hyperlink" Target="https://justice.nt.gov.au/attorney-general-and-justice/northern-territory-aboriginal-justice-agreement" TargetMode="External"/><Relationship Id="rId3" Type="http://schemas.openxmlformats.org/officeDocument/2006/relationships/hyperlink" Target="https://www.ag.gov.au/families-and-marriage/publications/development-national-principles-addressing-coercive-control" TargetMode="External"/><Relationship Id="rId21" Type="http://schemas.openxmlformats.org/officeDocument/2006/relationships/hyperlink" Target="https://safesteps.org.au/" TargetMode="External"/><Relationship Id="rId7" Type="http://schemas.openxmlformats.org/officeDocument/2006/relationships/hyperlink" Target="https://www.ourwatch.org.au/resource/change-the-story-summary/" TargetMode="External"/><Relationship Id="rId12" Type="http://schemas.openxmlformats.org/officeDocument/2006/relationships/hyperlink" Target="https://www.coroners.nsw.gov.au/content/dam/dcj/ctsd/coronerscourt/documents/reports/2017-2019_DVDRT_Report.pdf" TargetMode="External"/><Relationship Id="rId17" Type="http://schemas.openxmlformats.org/officeDocument/2006/relationships/hyperlink" Target="https://justice.nt.gov.au/__data/assets/pdf_file/0010/718147/Charter-of-Victims-Rights-August-2019.pdf" TargetMode="External"/><Relationship Id="rId2" Type="http://schemas.openxmlformats.org/officeDocument/2006/relationships/hyperlink" Target="http://www.fvrim.vic.gov.au" TargetMode="External"/><Relationship Id="rId16" Type="http://schemas.openxmlformats.org/officeDocument/2006/relationships/hyperlink" Target="https://www.ojp.gov/ncjrs/virtual-library/abstracts/rape-marriage-legislation-south-australia-anatomy-reform" TargetMode="External"/><Relationship Id="rId20" Type="http://schemas.openxmlformats.org/officeDocument/2006/relationships/hyperlink" Target="https://www.dcj.nsw.gov.au/justice/safer-pathway/what-is-safer-pathway.html" TargetMode="External"/><Relationship Id="rId1" Type="http://schemas.openxmlformats.org/officeDocument/2006/relationships/hyperlink" Target="https://tfhc.nt.gov.au/domestic,-family-and-sexual-violence-reduction/domestic-and-family-violence-reduction-strategy" TargetMode="External"/><Relationship Id="rId6" Type="http://schemas.openxmlformats.org/officeDocument/2006/relationships/hyperlink" Target="https://www.anrows.org.au/project/accurately-identifying-the-person-most-in-need-of-protection-in-domestic-and-family-violence-law/" TargetMode="External"/><Relationship Id="rId11" Type="http://schemas.openxmlformats.org/officeDocument/2006/relationships/hyperlink" Target="https://doi.org/10.52922/sb78108" TargetMode="External"/><Relationship Id="rId5" Type="http://schemas.openxmlformats.org/officeDocument/2006/relationships/hyperlink" Target="https://www.abs.gov.au/statistics/people/crime-and-justice/recorded-crime-victims/2020" TargetMode="External"/><Relationship Id="rId15" Type="http://schemas.openxmlformats.org/officeDocument/2006/relationships/hyperlink" Target="https://www.gov.uk/government/publications/review-of-the-controlling-or-coercive-behaviour-offence" TargetMode="External"/><Relationship Id="rId10" Type="http://schemas.openxmlformats.org/officeDocument/2006/relationships/hyperlink" Target="https://justice.nt.gov.au/attorney-general-and-justice/northern-territory-aboriginal-justice-agreement/the-agreement" TargetMode="External"/><Relationship Id="rId19" Type="http://schemas.openxmlformats.org/officeDocument/2006/relationships/hyperlink" Target="https://statements.qld.gov.au/statements/95126" TargetMode="External"/><Relationship Id="rId4" Type="http://schemas.openxmlformats.org/officeDocument/2006/relationships/hyperlink" Target="https://www.gov.uk/government/publications/review-of-the-controlling-or-coercive-behaviour-offence" TargetMode="External"/><Relationship Id="rId9" Type="http://schemas.openxmlformats.org/officeDocument/2006/relationships/hyperlink" Target="https://tfhc.nt.gov.au/social-inclusion-and-interpreting-services/office-of-gender-equity-and-diversity/gender-equality" TargetMode="External"/><Relationship Id="rId14" Type="http://schemas.openxmlformats.org/officeDocument/2006/relationships/hyperlink" Target="https://www.ag.gov.au/families-andmarriage/publications/development-national-principles-addressing-coercive-control" TargetMode="External"/><Relationship Id="rId22" Type="http://schemas.openxmlformats.org/officeDocument/2006/relationships/hyperlink" Target="https://www.orangedoor.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Victims</a:t>
            </a:r>
            <a:r>
              <a:rPr lang="en-AU" baseline="0"/>
              <a:t> of A</a:t>
            </a:r>
            <a:r>
              <a:rPr lang="en-AU"/>
              <a:t>ssault in the NT</a:t>
            </a:r>
            <a:r>
              <a:rPr lang="en-AU" baseline="0"/>
              <a:t> 2020 (ABS Data)</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Non-Indigenous men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Assault victims - Actual numbers</c:v>
                </c:pt>
                <c:pt idx="1">
                  <c:v>Assault victims - Per 100,000</c:v>
                </c:pt>
              </c:strCache>
            </c:strRef>
          </c:cat>
          <c:val>
            <c:numRef>
              <c:f>Sheet1!$B$2:$B$3</c:f>
              <c:numCache>
                <c:formatCode>General</c:formatCode>
                <c:ptCount val="2"/>
                <c:pt idx="0">
                  <c:v>1366</c:v>
                </c:pt>
                <c:pt idx="1">
                  <c:v>1513</c:v>
                </c:pt>
              </c:numCache>
            </c:numRef>
          </c:val>
          <c:extLst>
            <c:ext xmlns:c16="http://schemas.microsoft.com/office/drawing/2014/chart" uri="{C3380CC4-5D6E-409C-BE32-E72D297353CC}">
              <c16:uniqueId val="{00000000-1A33-409C-80E0-AF725EDEE6FF}"/>
            </c:ext>
          </c:extLst>
        </c:ser>
        <c:ser>
          <c:idx val="1"/>
          <c:order val="1"/>
          <c:tx>
            <c:strRef>
              <c:f>Sheet1!$C$1</c:f>
              <c:strCache>
                <c:ptCount val="1"/>
                <c:pt idx="0">
                  <c:v>Indigenous men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Assault victims - Actual numbers</c:v>
                </c:pt>
                <c:pt idx="1">
                  <c:v>Assault victims - Per 100,000</c:v>
                </c:pt>
              </c:strCache>
            </c:strRef>
          </c:cat>
          <c:val>
            <c:numRef>
              <c:f>Sheet1!$C$2:$C$3</c:f>
              <c:numCache>
                <c:formatCode>General</c:formatCode>
                <c:ptCount val="2"/>
                <c:pt idx="0">
                  <c:v>1471</c:v>
                </c:pt>
                <c:pt idx="1">
                  <c:v>3666</c:v>
                </c:pt>
              </c:numCache>
            </c:numRef>
          </c:val>
          <c:extLst>
            <c:ext xmlns:c16="http://schemas.microsoft.com/office/drawing/2014/chart" uri="{C3380CC4-5D6E-409C-BE32-E72D297353CC}">
              <c16:uniqueId val="{00000001-1A33-409C-80E0-AF725EDEE6FF}"/>
            </c:ext>
          </c:extLst>
        </c:ser>
        <c:ser>
          <c:idx val="2"/>
          <c:order val="2"/>
          <c:tx>
            <c:strRef>
              <c:f>Sheet1!$D$1</c:f>
              <c:strCache>
                <c:ptCount val="1"/>
                <c:pt idx="0">
                  <c:v>Non-Indigneous women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Assault victims - Actual numbers</c:v>
                </c:pt>
                <c:pt idx="1">
                  <c:v>Assault victims - Per 100,000</c:v>
                </c:pt>
              </c:strCache>
            </c:strRef>
          </c:cat>
          <c:val>
            <c:numRef>
              <c:f>Sheet1!$D$2:$D$3</c:f>
              <c:numCache>
                <c:formatCode>General</c:formatCode>
                <c:ptCount val="2"/>
                <c:pt idx="0">
                  <c:v>887</c:v>
                </c:pt>
                <c:pt idx="1">
                  <c:v>1534</c:v>
                </c:pt>
              </c:numCache>
            </c:numRef>
          </c:val>
          <c:extLst>
            <c:ext xmlns:c16="http://schemas.microsoft.com/office/drawing/2014/chart" uri="{C3380CC4-5D6E-409C-BE32-E72D297353CC}">
              <c16:uniqueId val="{00000002-1A33-409C-80E0-AF725EDEE6FF}"/>
            </c:ext>
          </c:extLst>
        </c:ser>
        <c:ser>
          <c:idx val="3"/>
          <c:order val="3"/>
          <c:tx>
            <c:strRef>
              <c:f>Sheet1!$E$1</c:f>
              <c:strCache>
                <c:ptCount val="1"/>
                <c:pt idx="0">
                  <c:v>Indigenous women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Assault victims - Actual numbers</c:v>
                </c:pt>
                <c:pt idx="1">
                  <c:v>Assault victims - Per 100,000</c:v>
                </c:pt>
              </c:strCache>
            </c:strRef>
          </c:cat>
          <c:val>
            <c:numRef>
              <c:f>Sheet1!$E$2:$E$3</c:f>
              <c:numCache>
                <c:formatCode>General</c:formatCode>
                <c:ptCount val="2"/>
                <c:pt idx="0">
                  <c:v>4407</c:v>
                </c:pt>
                <c:pt idx="1">
                  <c:v>11454</c:v>
                </c:pt>
              </c:numCache>
            </c:numRef>
          </c:val>
          <c:extLst>
            <c:ext xmlns:c16="http://schemas.microsoft.com/office/drawing/2014/chart" uri="{C3380CC4-5D6E-409C-BE32-E72D297353CC}">
              <c16:uniqueId val="{00000003-1A33-409C-80E0-AF725EDEE6FF}"/>
            </c:ext>
          </c:extLst>
        </c:ser>
        <c:dLbls>
          <c:dLblPos val="outEnd"/>
          <c:showLegendKey val="0"/>
          <c:showVal val="1"/>
          <c:showCatName val="0"/>
          <c:showSerName val="0"/>
          <c:showPercent val="0"/>
          <c:showBubbleSize val="0"/>
        </c:dLbls>
        <c:gapWidth val="219"/>
        <c:overlap val="-27"/>
        <c:axId val="335273128"/>
        <c:axId val="335275096"/>
      </c:barChart>
      <c:catAx>
        <c:axId val="335273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275096"/>
        <c:crosses val="autoZero"/>
        <c:auto val="1"/>
        <c:lblAlgn val="ctr"/>
        <c:lblOffset val="100"/>
        <c:noMultiLvlLbl val="0"/>
      </c:catAx>
      <c:valAx>
        <c:axId val="335275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273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aseline="0"/>
              <a:t>Victims of DFV Offences in the NT per 100,000</a:t>
            </a:r>
          </a:p>
          <a:p>
            <a:pPr>
              <a:defRPr/>
            </a:pPr>
            <a:r>
              <a:rPr lang="en-AU" baseline="0"/>
              <a:t>2019 (ABS Data)</a:t>
            </a:r>
            <a:endParaRPr lang="en-AU"/>
          </a:p>
        </c:rich>
      </c:tx>
      <c:layout>
        <c:manualLayout>
          <c:xMode val="edge"/>
          <c:yMode val="edge"/>
          <c:x val="0.15428805774278215"/>
          <c:y val="1.19047619047619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Victims of DFV Offences in the NT per 100,000</c:v>
                </c:pt>
              </c:strCache>
            </c:strRef>
          </c:tx>
          <c:spPr>
            <a:solidFill>
              <a:schemeClr val="accent1"/>
            </a:solidFill>
            <a:ln>
              <a:noFill/>
            </a:ln>
            <a:effectLst/>
          </c:spPr>
          <c:invertIfNegative val="0"/>
          <c:dPt>
            <c:idx val="0"/>
            <c:invertIfNegative val="0"/>
            <c:bubble3D val="0"/>
            <c:spPr>
              <a:solidFill>
                <a:schemeClr val="accent1"/>
              </a:solidFill>
              <a:ln>
                <a:solidFill>
                  <a:srgbClr val="1F1F5F">
                    <a:lumMod val="25000"/>
                    <a:lumOff val="75000"/>
                  </a:srgbClr>
                </a:solidFill>
              </a:ln>
              <a:effectLst/>
            </c:spPr>
            <c:extLst>
              <c:ext xmlns:c16="http://schemas.microsoft.com/office/drawing/2014/chart" uri="{C3380CC4-5D6E-409C-BE32-E72D297353CC}">
                <c16:uniqueId val="{00000001-6F65-4B9B-9CBF-C3A57378E2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Non-Indigenous men</c:v>
                </c:pt>
                <c:pt idx="1">
                  <c:v>Indigenous men</c:v>
                </c:pt>
                <c:pt idx="2">
                  <c:v>Non-Indigenous women</c:v>
                </c:pt>
                <c:pt idx="3">
                  <c:v>Indigenous women</c:v>
                </c:pt>
              </c:strCache>
            </c:strRef>
          </c:cat>
          <c:val>
            <c:numRef>
              <c:f>Sheet1!$B$2:$B$6</c:f>
              <c:numCache>
                <c:formatCode>General</c:formatCode>
                <c:ptCount val="5"/>
                <c:pt idx="0">
                  <c:v>122</c:v>
                </c:pt>
                <c:pt idx="1">
                  <c:v>1655</c:v>
                </c:pt>
                <c:pt idx="2">
                  <c:v>277</c:v>
                </c:pt>
                <c:pt idx="3">
                  <c:v>7740</c:v>
                </c:pt>
              </c:numCache>
            </c:numRef>
          </c:val>
          <c:extLst>
            <c:ext xmlns:c16="http://schemas.microsoft.com/office/drawing/2014/chart" uri="{C3380CC4-5D6E-409C-BE32-E72D297353CC}">
              <c16:uniqueId val="{00000002-6F65-4B9B-9CBF-C3A57378E2B3}"/>
            </c:ext>
          </c:extLst>
        </c:ser>
        <c:dLbls>
          <c:showLegendKey val="0"/>
          <c:showVal val="0"/>
          <c:showCatName val="0"/>
          <c:showSerName val="0"/>
          <c:showPercent val="0"/>
          <c:showBubbleSize val="0"/>
        </c:dLbls>
        <c:gapWidth val="219"/>
        <c:overlap val="-27"/>
        <c:axId val="317206568"/>
        <c:axId val="317203288"/>
      </c:barChart>
      <c:catAx>
        <c:axId val="31720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203288"/>
        <c:crosses val="autoZero"/>
        <c:auto val="1"/>
        <c:lblAlgn val="ctr"/>
        <c:lblOffset val="100"/>
        <c:noMultiLvlLbl val="0"/>
      </c:catAx>
      <c:valAx>
        <c:axId val="317203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206568"/>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4B372705B3409AAF02CC4BEC7098C0"/>
        <w:category>
          <w:name w:val="General"/>
          <w:gallery w:val="placeholder"/>
        </w:category>
        <w:types>
          <w:type w:val="bbPlcHdr"/>
        </w:types>
        <w:behaviors>
          <w:behavior w:val="content"/>
        </w:behaviors>
        <w:guid w:val="{4DF5AB37-822A-4D80-A16B-FF350B425BEF}"/>
      </w:docPartPr>
      <w:docPartBody>
        <w:p w:rsidR="00F8247E" w:rsidRDefault="00F8247E">
          <w:pPr>
            <w:pStyle w:val="9A4B372705B3409AAF02CC4BEC7098C0"/>
          </w:pPr>
          <w:r>
            <w:t>&lt;Document title&gt;</w:t>
          </w:r>
        </w:p>
      </w:docPartBody>
    </w:docPart>
    <w:docPart>
      <w:docPartPr>
        <w:name w:val="41A997405A894F4FB80E34DBCD23FB0F"/>
        <w:category>
          <w:name w:val="General"/>
          <w:gallery w:val="placeholder"/>
        </w:category>
        <w:types>
          <w:type w:val="bbPlcHdr"/>
        </w:types>
        <w:behaviors>
          <w:behavior w:val="content"/>
        </w:behaviors>
        <w:guid w:val="{83C082EB-3169-413F-B236-4827D6EEBE01}"/>
      </w:docPartPr>
      <w:docPartBody>
        <w:p w:rsidR="00F8247E" w:rsidRDefault="00F8247E">
          <w:pPr>
            <w:pStyle w:val="41A997405A894F4FB80E34DBCD23FB0F"/>
          </w:pPr>
          <w:r w:rsidRPr="004E7885">
            <w:rPr>
              <w:rStyle w:val="PlaceholderText"/>
            </w:rPr>
            <w:t>&lt;Document title&gt;</w:t>
          </w:r>
        </w:p>
      </w:docPartBody>
    </w:docPart>
    <w:docPart>
      <w:docPartPr>
        <w:name w:val="9A05542D3E3846CEAA6DBEE9D3CD7EF0"/>
        <w:category>
          <w:name w:val="General"/>
          <w:gallery w:val="placeholder"/>
        </w:category>
        <w:types>
          <w:type w:val="bbPlcHdr"/>
        </w:types>
        <w:behaviors>
          <w:behavior w:val="content"/>
        </w:behaviors>
        <w:guid w:val="{5C873C5D-DD70-49E0-8B98-7A07591D05F2}"/>
      </w:docPartPr>
      <w:docPartBody>
        <w:p w:rsidR="00F8247E" w:rsidRDefault="00F8247E">
          <w:pPr>
            <w:pStyle w:val="9A05542D3E3846CEAA6DBEE9D3CD7EF0"/>
          </w:pPr>
          <w:r>
            <w:t xml:space="preserve">     </w:t>
          </w:r>
        </w:p>
      </w:docPartBody>
    </w:docPart>
    <w:docPart>
      <w:docPartPr>
        <w:name w:val="C5225C5FB39046CEBEA0B9E11B171B68"/>
        <w:category>
          <w:name w:val="General"/>
          <w:gallery w:val="placeholder"/>
        </w:category>
        <w:types>
          <w:type w:val="bbPlcHdr"/>
        </w:types>
        <w:behaviors>
          <w:behavior w:val="content"/>
        </w:behaviors>
        <w:guid w:val="{9F6E3E28-480D-4EA0-B52D-51E2B17DD359}"/>
      </w:docPartPr>
      <w:docPartBody>
        <w:p w:rsidR="00001011" w:rsidRDefault="00001011" w:rsidP="00001011">
          <w:pPr>
            <w:pStyle w:val="C5225C5FB39046CEBEA0B9E11B171B68"/>
          </w:pPr>
          <w:r w:rsidRPr="005076E2">
            <w:t>&lt;Date Month Year&gt;</w:t>
          </w:r>
        </w:p>
      </w:docPartBody>
    </w:docPart>
    <w:docPart>
      <w:docPartPr>
        <w:name w:val="43B5F5E8A9074E4CBA13B6DA6C6CBD5D"/>
        <w:category>
          <w:name w:val="General"/>
          <w:gallery w:val="placeholder"/>
        </w:category>
        <w:types>
          <w:type w:val="bbPlcHdr"/>
        </w:types>
        <w:behaviors>
          <w:behavior w:val="content"/>
        </w:behaviors>
        <w:guid w:val="{FE1EA7B6-290D-451D-A013-1F3E1BC3B472}"/>
      </w:docPartPr>
      <w:docPartBody>
        <w:p w:rsidR="00001011" w:rsidRDefault="00001011" w:rsidP="00001011">
          <w:pPr>
            <w:pStyle w:val="43B5F5E8A9074E4CBA13B6DA6C6CBD5D"/>
          </w:pPr>
          <w:r w:rsidRPr="004E7885">
            <w:rPr>
              <w:rStyle w:val="PlaceholderText"/>
            </w:rPr>
            <w:t>&lt;Document title&gt;</w:t>
          </w:r>
        </w:p>
      </w:docPartBody>
    </w:docPart>
    <w:docPart>
      <w:docPartPr>
        <w:name w:val="B0769F38044D4350A5CF176AE3923DC8"/>
        <w:category>
          <w:name w:val="General"/>
          <w:gallery w:val="placeholder"/>
        </w:category>
        <w:types>
          <w:type w:val="bbPlcHdr"/>
        </w:types>
        <w:behaviors>
          <w:behavior w:val="content"/>
        </w:behaviors>
        <w:guid w:val="{7EEEA831-FB7A-44D8-A39D-1A74A216254B}"/>
      </w:docPartPr>
      <w:docPartBody>
        <w:p w:rsidR="003564EB" w:rsidRDefault="00A5578A" w:rsidP="00A5578A">
          <w:pPr>
            <w:pStyle w:val="B0769F38044D4350A5CF176AE3923DC8"/>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7E"/>
    <w:rsid w:val="00001011"/>
    <w:rsid w:val="000269FD"/>
    <w:rsid w:val="00027EDB"/>
    <w:rsid w:val="00045462"/>
    <w:rsid w:val="000807DC"/>
    <w:rsid w:val="000D684C"/>
    <w:rsid w:val="000E1FF9"/>
    <w:rsid w:val="000F7967"/>
    <w:rsid w:val="00100F08"/>
    <w:rsid w:val="00113303"/>
    <w:rsid w:val="00126BE1"/>
    <w:rsid w:val="001449BD"/>
    <w:rsid w:val="00167001"/>
    <w:rsid w:val="001929E6"/>
    <w:rsid w:val="001A33FD"/>
    <w:rsid w:val="001F0B63"/>
    <w:rsid w:val="00224658"/>
    <w:rsid w:val="002513A1"/>
    <w:rsid w:val="00252B5E"/>
    <w:rsid w:val="00266627"/>
    <w:rsid w:val="00283905"/>
    <w:rsid w:val="002A255C"/>
    <w:rsid w:val="002B4812"/>
    <w:rsid w:val="002D279C"/>
    <w:rsid w:val="002E0626"/>
    <w:rsid w:val="0030326A"/>
    <w:rsid w:val="0033670C"/>
    <w:rsid w:val="003564EB"/>
    <w:rsid w:val="0037122A"/>
    <w:rsid w:val="00372AA5"/>
    <w:rsid w:val="00375631"/>
    <w:rsid w:val="00386CBE"/>
    <w:rsid w:val="00391F06"/>
    <w:rsid w:val="003E1AE0"/>
    <w:rsid w:val="003E76AF"/>
    <w:rsid w:val="00417D5C"/>
    <w:rsid w:val="00431D23"/>
    <w:rsid w:val="0045563B"/>
    <w:rsid w:val="004A6FAB"/>
    <w:rsid w:val="004B3F0D"/>
    <w:rsid w:val="004C39AE"/>
    <w:rsid w:val="004D73EE"/>
    <w:rsid w:val="004E4681"/>
    <w:rsid w:val="004E4A24"/>
    <w:rsid w:val="004E63E3"/>
    <w:rsid w:val="004F126C"/>
    <w:rsid w:val="0050255A"/>
    <w:rsid w:val="00533BB5"/>
    <w:rsid w:val="00546CA6"/>
    <w:rsid w:val="00586FCB"/>
    <w:rsid w:val="005A4515"/>
    <w:rsid w:val="005C6A17"/>
    <w:rsid w:val="005E7FE7"/>
    <w:rsid w:val="00607841"/>
    <w:rsid w:val="0061129E"/>
    <w:rsid w:val="006414BC"/>
    <w:rsid w:val="00651AB5"/>
    <w:rsid w:val="00663C92"/>
    <w:rsid w:val="00683EBD"/>
    <w:rsid w:val="00767FFB"/>
    <w:rsid w:val="0078248B"/>
    <w:rsid w:val="00782F52"/>
    <w:rsid w:val="007871E5"/>
    <w:rsid w:val="007916EB"/>
    <w:rsid w:val="007A5917"/>
    <w:rsid w:val="007C28D7"/>
    <w:rsid w:val="007D3049"/>
    <w:rsid w:val="007E785C"/>
    <w:rsid w:val="00830422"/>
    <w:rsid w:val="00845E38"/>
    <w:rsid w:val="0085185E"/>
    <w:rsid w:val="00885611"/>
    <w:rsid w:val="00893EED"/>
    <w:rsid w:val="008A4299"/>
    <w:rsid w:val="008B04F9"/>
    <w:rsid w:val="008D356C"/>
    <w:rsid w:val="009371FD"/>
    <w:rsid w:val="00951C88"/>
    <w:rsid w:val="00974453"/>
    <w:rsid w:val="009863CA"/>
    <w:rsid w:val="009B0152"/>
    <w:rsid w:val="009B6F53"/>
    <w:rsid w:val="009D4149"/>
    <w:rsid w:val="00A05892"/>
    <w:rsid w:val="00A30DD7"/>
    <w:rsid w:val="00A31596"/>
    <w:rsid w:val="00A52300"/>
    <w:rsid w:val="00A5578A"/>
    <w:rsid w:val="00A63F34"/>
    <w:rsid w:val="00A662AF"/>
    <w:rsid w:val="00AB6F3A"/>
    <w:rsid w:val="00AC39CC"/>
    <w:rsid w:val="00AF09FA"/>
    <w:rsid w:val="00B15E5C"/>
    <w:rsid w:val="00B208AD"/>
    <w:rsid w:val="00B21853"/>
    <w:rsid w:val="00B21BEF"/>
    <w:rsid w:val="00B92CF3"/>
    <w:rsid w:val="00BA4009"/>
    <w:rsid w:val="00BB2356"/>
    <w:rsid w:val="00BB3B6A"/>
    <w:rsid w:val="00BB3D9F"/>
    <w:rsid w:val="00BE066B"/>
    <w:rsid w:val="00C26CCE"/>
    <w:rsid w:val="00C330DE"/>
    <w:rsid w:val="00C4567A"/>
    <w:rsid w:val="00C51AFE"/>
    <w:rsid w:val="00C87FA7"/>
    <w:rsid w:val="00CB2CCF"/>
    <w:rsid w:val="00CD1888"/>
    <w:rsid w:val="00CF539D"/>
    <w:rsid w:val="00D04E75"/>
    <w:rsid w:val="00D15C6F"/>
    <w:rsid w:val="00D455D8"/>
    <w:rsid w:val="00D534FB"/>
    <w:rsid w:val="00D82B30"/>
    <w:rsid w:val="00DB25C6"/>
    <w:rsid w:val="00E016B0"/>
    <w:rsid w:val="00E21A58"/>
    <w:rsid w:val="00E2704D"/>
    <w:rsid w:val="00E33038"/>
    <w:rsid w:val="00E46DB6"/>
    <w:rsid w:val="00E5233A"/>
    <w:rsid w:val="00E6530C"/>
    <w:rsid w:val="00EA2619"/>
    <w:rsid w:val="00F060F8"/>
    <w:rsid w:val="00F5503E"/>
    <w:rsid w:val="00F73C99"/>
    <w:rsid w:val="00F8247E"/>
    <w:rsid w:val="00FB65DF"/>
    <w:rsid w:val="00FD6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4B372705B3409AAF02CC4BEC7098C0">
    <w:name w:val="9A4B372705B3409AAF02CC4BEC7098C0"/>
  </w:style>
  <w:style w:type="character" w:styleId="PlaceholderText">
    <w:name w:val="Placeholder Text"/>
    <w:basedOn w:val="DefaultParagraphFont"/>
    <w:uiPriority w:val="99"/>
    <w:semiHidden/>
    <w:rsid w:val="00001011"/>
    <w:rPr>
      <w:color w:val="808080"/>
    </w:rPr>
  </w:style>
  <w:style w:type="paragraph" w:customStyle="1" w:styleId="41A997405A894F4FB80E34DBCD23FB0F">
    <w:name w:val="41A997405A894F4FB80E34DBCD23FB0F"/>
  </w:style>
  <w:style w:type="paragraph" w:customStyle="1" w:styleId="2B5370BA45D64CEC8FD5FA048FB67B85">
    <w:name w:val="2B5370BA45D64CEC8FD5FA048FB67B85"/>
  </w:style>
  <w:style w:type="paragraph" w:customStyle="1" w:styleId="9A05542D3E3846CEAA6DBEE9D3CD7EF0">
    <w:name w:val="9A05542D3E3846CEAA6DBEE9D3CD7EF0"/>
  </w:style>
  <w:style w:type="paragraph" w:customStyle="1" w:styleId="C5225C5FB39046CEBEA0B9E11B171B68">
    <w:name w:val="C5225C5FB39046CEBEA0B9E11B171B68"/>
    <w:rsid w:val="00001011"/>
  </w:style>
  <w:style w:type="paragraph" w:customStyle="1" w:styleId="43B5F5E8A9074E4CBA13B6DA6C6CBD5D">
    <w:name w:val="43B5F5E8A9074E4CBA13B6DA6C6CBD5D"/>
    <w:rsid w:val="00001011"/>
  </w:style>
  <w:style w:type="paragraph" w:customStyle="1" w:styleId="B0769F38044D4350A5CF176AE3923DC8">
    <w:name w:val="B0769F38044D4350A5CF176AE3923DC8"/>
    <w:rsid w:val="00A55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2022-08-22T00:00:00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DCD1B3-6550-4387-84CD-66E838578DF7}">
  <ds:schemaRefs>
    <ds:schemaRef ds:uri="http://www.w3.org/2001/XMLSchema"/>
  </ds:schemaRefs>
</ds:datastoreItem>
</file>

<file path=customXml/itemProps3.xml><?xml version="1.0" encoding="utf-8"?>
<ds:datastoreItem xmlns:ds="http://schemas.openxmlformats.org/officeDocument/2006/customXml" ds:itemID="{6FD5F64B-9BAD-426D-8DE7-22CE1329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154</Pages>
  <Words>62301</Words>
  <Characters>334558</Characters>
  <Application>Microsoft Office Word</Application>
  <DocSecurity>0</DocSecurity>
  <Lines>5974</Lines>
  <Paragraphs>3124</Paragraphs>
  <ScaleCrop>false</ScaleCrop>
  <HeadingPairs>
    <vt:vector size="2" baseType="variant">
      <vt:variant>
        <vt:lpstr>Title</vt:lpstr>
      </vt:variant>
      <vt:variant>
        <vt:i4>1</vt:i4>
      </vt:variant>
    </vt:vector>
  </HeadingPairs>
  <TitlesOfParts>
    <vt:vector size="1" baseType="lpstr">
      <vt:lpstr>Review of Legislation and the Justice Response to Domestic and Family Violence in the Northern Territory</vt:lpstr>
    </vt:vector>
  </TitlesOfParts>
  <Company>&lt;NAME&gt;</Company>
  <LinksUpToDate>false</LinksUpToDate>
  <CharactersWithSpaces>393735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Legislation and the Justice Response to Domestic and Family Violence in the Northern Territory</dc:title>
  <dc:creator>Northern Territory Government</dc:creator>
  <cp:lastModifiedBy>Brian Kidd</cp:lastModifiedBy>
  <cp:revision>6</cp:revision>
  <cp:lastPrinted>2022-08-03T09:26:00Z</cp:lastPrinted>
  <dcterms:created xsi:type="dcterms:W3CDTF">2022-08-21T22:26:00Z</dcterms:created>
  <dcterms:modified xsi:type="dcterms:W3CDTF">2022-08-21T23:39:00Z</dcterms:modified>
</cp:coreProperties>
</file>