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61F8" w14:textId="7FA06325" w:rsidR="00D61FD1" w:rsidRDefault="007B2E87" w:rsidP="00E07AA5">
      <w:pPr>
        <w:pStyle w:val="Title"/>
      </w:pPr>
      <w:bookmarkStart w:id="0" w:name="_Toc15286907"/>
      <w:bookmarkStart w:id="1" w:name="_Toc15286861"/>
      <w:r>
        <w:t xml:space="preserve">New threshold of “Serious Harm” </w:t>
      </w:r>
      <w:bookmarkEnd w:id="0"/>
      <w:bookmarkEnd w:id="1"/>
      <w:r w:rsidR="00E02C17">
        <w:rPr>
          <w:lang w:eastAsia="en-AU"/>
        </w:rPr>
        <w:t xml:space="preserve"> </w:t>
      </w:r>
    </w:p>
    <w:p w14:paraId="3AA86C48" w14:textId="5615DEA7" w:rsidR="00D61FD1" w:rsidRDefault="007B2E87" w:rsidP="008F30DE">
      <w:pPr>
        <w:shd w:val="clear" w:color="auto" w:fill="FFFFFF" w:themeFill="background1"/>
        <w:rPr>
          <w:lang w:eastAsia="en-AU"/>
        </w:rPr>
      </w:pPr>
      <w:r>
        <w:rPr>
          <w:lang w:eastAsia="en-AU"/>
        </w:rPr>
        <w:t xml:space="preserve">With the commencement of the </w:t>
      </w:r>
      <w:r>
        <w:rPr>
          <w:i/>
          <w:iCs/>
          <w:lang w:eastAsia="en-AU"/>
        </w:rPr>
        <w:t xml:space="preserve">Defamation Legislation Amendment Act 2025 </w:t>
      </w:r>
      <w:r>
        <w:rPr>
          <w:lang w:eastAsia="en-AU"/>
        </w:rPr>
        <w:t xml:space="preserve">(NT) (the Act) on </w:t>
      </w:r>
      <w:r w:rsidR="003644BB" w:rsidRPr="003644BB">
        <w:rPr>
          <w:lang w:eastAsia="en-AU"/>
        </w:rPr>
        <w:t>11 August 2025</w:t>
      </w:r>
      <w:r>
        <w:rPr>
          <w:lang w:eastAsia="en-AU"/>
        </w:rPr>
        <w:t xml:space="preserve">, comes a new threshold of harm that the alleged defamatory material must cause for it to be considered defamatory. </w:t>
      </w:r>
    </w:p>
    <w:p w14:paraId="2230F68E" w14:textId="3687ECC4" w:rsidR="007B2E87" w:rsidRDefault="007B2E87" w:rsidP="008F30DE">
      <w:pPr>
        <w:shd w:val="clear" w:color="auto" w:fill="FFFFFF" w:themeFill="background1"/>
        <w:rPr>
          <w:lang w:eastAsia="en-AU"/>
        </w:rPr>
      </w:pPr>
      <w:r>
        <w:rPr>
          <w:lang w:eastAsia="en-AU"/>
        </w:rPr>
        <w:t>Prior to the commencement of the Act,</w:t>
      </w:r>
      <w:r w:rsidR="00B200CC">
        <w:rPr>
          <w:lang w:eastAsia="en-AU"/>
        </w:rPr>
        <w:t xml:space="preserve"> the aggrieved person had to prove they had suffered material loss </w:t>
      </w:r>
      <w:proofErr w:type="gramStart"/>
      <w:r w:rsidR="00B200CC">
        <w:rPr>
          <w:lang w:eastAsia="en-AU"/>
        </w:rPr>
        <w:t>as a res</w:t>
      </w:r>
      <w:r w:rsidR="00482799">
        <w:rPr>
          <w:lang w:eastAsia="en-AU"/>
        </w:rPr>
        <w:t>ult of</w:t>
      </w:r>
      <w:proofErr w:type="gramEnd"/>
      <w:r w:rsidR="00482799">
        <w:rPr>
          <w:lang w:eastAsia="en-AU"/>
        </w:rPr>
        <w:t xml:space="preserve"> the defamatory material. This threshold is low, meaning so long as the aggrieved could display some loss was suffered, the threshold would be met. </w:t>
      </w:r>
      <w:r>
        <w:rPr>
          <w:lang w:eastAsia="en-AU"/>
        </w:rPr>
        <w:t xml:space="preserve"> </w:t>
      </w:r>
    </w:p>
    <w:p w14:paraId="17F739F4" w14:textId="18EF40F4" w:rsidR="005A5432" w:rsidRPr="00E77D7E" w:rsidRDefault="00482799" w:rsidP="005A5432">
      <w:r>
        <w:t>As a result, a</w:t>
      </w:r>
      <w:r w:rsidR="00E77D7E">
        <w:t>cross Australia</w:t>
      </w:r>
      <w:r w:rsidR="005A5432" w:rsidRPr="00E77D7E">
        <w:t xml:space="preserve"> there </w:t>
      </w:r>
      <w:r w:rsidR="00E77D7E">
        <w:t>have</w:t>
      </w:r>
      <w:r w:rsidR="005A5432" w:rsidRPr="00E77D7E">
        <w:t xml:space="preserve"> been lots of trivial defamation claims that have been taking up the court’s time and limited resources. These claims generally take a long time to resolve and often cost more in court and legal fees than the amount of damages that are ultimately awarded</w:t>
      </w:r>
      <w:r w:rsidR="00B200CC">
        <w:t xml:space="preserve"> if an aggrieved person’s claim is successful.</w:t>
      </w:r>
      <w:r w:rsidR="005A5432" w:rsidRPr="00E77D7E">
        <w:t xml:space="preserve"> </w:t>
      </w:r>
    </w:p>
    <w:p w14:paraId="24A98F9D" w14:textId="76915E55" w:rsidR="005A5432" w:rsidRDefault="005A5432" w:rsidP="005A5432">
      <w:r w:rsidRPr="00E77D7E">
        <w:t xml:space="preserve">To address this issue the new </w:t>
      </w:r>
      <w:r w:rsidR="00482799">
        <w:t>“</w:t>
      </w:r>
      <w:r w:rsidRPr="00E77D7E">
        <w:t>serious harm</w:t>
      </w:r>
      <w:r w:rsidR="00482799">
        <w:t>”</w:t>
      </w:r>
      <w:r w:rsidRPr="00E77D7E">
        <w:t xml:space="preserve"> test has been introduced so that only claims that involve serious harm to a person’s reputation will be heard by the court. </w:t>
      </w:r>
    </w:p>
    <w:p w14:paraId="6A4ECB03" w14:textId="3282AAA2" w:rsidR="00E152A3" w:rsidRPr="00E77D7E" w:rsidRDefault="007B2E87" w:rsidP="008F30DE">
      <w:pPr>
        <w:pStyle w:val="Heading1"/>
        <w:shd w:val="clear" w:color="auto" w:fill="FFFFFF" w:themeFill="background1"/>
        <w:rPr>
          <w:lang w:eastAsia="en-AU"/>
        </w:rPr>
      </w:pPr>
      <w:r w:rsidRPr="00E77D7E">
        <w:rPr>
          <w:lang w:eastAsia="en-AU"/>
        </w:rPr>
        <w:t>What is “serious harm”?</w:t>
      </w:r>
    </w:p>
    <w:p w14:paraId="495D7FFF" w14:textId="6420C973" w:rsidR="007B2E87" w:rsidRPr="00482799" w:rsidRDefault="007B2E87" w:rsidP="007B2E87">
      <w:r w:rsidRPr="00482799">
        <w:t>Serious harm is not defined by the Act. It is up to the judge to determine on the facts of each case whether serious harm to the</w:t>
      </w:r>
      <w:r w:rsidR="00482799">
        <w:t xml:space="preserve"> aggrieved person’s</w:t>
      </w:r>
      <w:r w:rsidRPr="00482799">
        <w:t xml:space="preserve"> reputation has occurred or is likely to occur.</w:t>
      </w:r>
    </w:p>
    <w:p w14:paraId="2304253E" w14:textId="30B1C593" w:rsidR="007B2E87" w:rsidRPr="00482799" w:rsidRDefault="007B2E87" w:rsidP="007B2E87">
      <w:r w:rsidRPr="00482799">
        <w:t xml:space="preserve">Hurt feelings or perceived harm will not be enough to establish serious harm. Tangible harm to the </w:t>
      </w:r>
      <w:r w:rsidR="00482799" w:rsidRPr="00482799">
        <w:t>aggrieved person’s</w:t>
      </w:r>
      <w:r w:rsidRPr="00482799">
        <w:t xml:space="preserve"> reputation (or the likely occurrence of such harm) must be proved for the serious harm threshold to be met.</w:t>
      </w:r>
    </w:p>
    <w:p w14:paraId="71157990" w14:textId="2ADDA94B" w:rsidR="007B2E87" w:rsidRPr="00482799" w:rsidRDefault="007B2E87" w:rsidP="007B2E87">
      <w:r w:rsidRPr="00482799">
        <w:t>In</w:t>
      </w:r>
      <w:r w:rsidR="00482799" w:rsidRPr="00482799">
        <w:t xml:space="preserve"> other States and Territories in Australia,</w:t>
      </w:r>
      <w:r w:rsidRPr="00482799">
        <w:t xml:space="preserve"> where the </w:t>
      </w:r>
      <w:r w:rsidR="00597614">
        <w:t xml:space="preserve">threshold of </w:t>
      </w:r>
      <w:r w:rsidRPr="00482799">
        <w:t xml:space="preserve">serious harm test is already </w:t>
      </w:r>
      <w:r w:rsidR="00597614">
        <w:t>applied</w:t>
      </w:r>
      <w:r w:rsidRPr="00482799">
        <w:t xml:space="preserve">, the </w:t>
      </w:r>
      <w:r w:rsidR="00597614">
        <w:t>C</w:t>
      </w:r>
      <w:r w:rsidRPr="00482799">
        <w:t xml:space="preserve">ourts have relied on </w:t>
      </w:r>
      <w:proofErr w:type="gramStart"/>
      <w:r w:rsidRPr="00482799">
        <w:t>a number of</w:t>
      </w:r>
      <w:proofErr w:type="gramEnd"/>
      <w:r w:rsidRPr="00482799">
        <w:t xml:space="preserve"> factors to determine whether serious harm has occurred. These include but are not limited to:</w:t>
      </w:r>
    </w:p>
    <w:p w14:paraId="5FE5726F" w14:textId="77777777" w:rsidR="007B2E87" w:rsidRPr="00482799" w:rsidRDefault="007B2E87" w:rsidP="007B2E87">
      <w:pPr>
        <w:numPr>
          <w:ilvl w:val="0"/>
          <w:numId w:val="52"/>
        </w:numPr>
        <w:spacing w:after="160" w:line="259" w:lineRule="auto"/>
      </w:pPr>
      <w:r w:rsidRPr="00482799">
        <w:t xml:space="preserve">The audience of the publication, the number of recipients and their geographical </w:t>
      </w:r>
      <w:proofErr w:type="gramStart"/>
      <w:r w:rsidRPr="00482799">
        <w:t>placement;</w:t>
      </w:r>
      <w:proofErr w:type="gramEnd"/>
    </w:p>
    <w:p w14:paraId="00640689" w14:textId="43BE0C59" w:rsidR="007B2E87" w:rsidRPr="00482799" w:rsidRDefault="007B2E87" w:rsidP="007B2E87">
      <w:pPr>
        <w:numPr>
          <w:ilvl w:val="0"/>
          <w:numId w:val="52"/>
        </w:numPr>
        <w:spacing w:after="160" w:line="259" w:lineRule="auto"/>
      </w:pPr>
      <w:r w:rsidRPr="00482799">
        <w:t xml:space="preserve">The recipients’ interpretation of the publication and whether the publication resulted in recipients having a diminished view of the </w:t>
      </w:r>
      <w:r w:rsidR="00482799">
        <w:t>aggrieved</w:t>
      </w:r>
      <w:r w:rsidRPr="00482799">
        <w:t>.</w:t>
      </w:r>
    </w:p>
    <w:p w14:paraId="185B7310" w14:textId="37B8DD1A" w:rsidR="007B2E87" w:rsidRPr="00482799" w:rsidRDefault="007B2E87" w:rsidP="007B2E87">
      <w:pPr>
        <w:numPr>
          <w:ilvl w:val="0"/>
          <w:numId w:val="52"/>
        </w:numPr>
        <w:spacing w:after="160" w:line="259" w:lineRule="auto"/>
      </w:pPr>
      <w:r w:rsidRPr="00482799">
        <w:t>Whether the recipients had prior knowledge or awareness of the</w:t>
      </w:r>
      <w:r w:rsidR="00482799">
        <w:t xml:space="preserve"> aggrieved person’s</w:t>
      </w:r>
      <w:r w:rsidRPr="00482799">
        <w:t xml:space="preserve"> reputation and what that was.</w:t>
      </w:r>
    </w:p>
    <w:p w14:paraId="0759F69F" w14:textId="77777777" w:rsidR="007B2E87" w:rsidRPr="00482799" w:rsidRDefault="007B2E87" w:rsidP="007B2E87">
      <w:pPr>
        <w:numPr>
          <w:ilvl w:val="0"/>
          <w:numId w:val="52"/>
        </w:numPr>
        <w:spacing w:after="160" w:line="259" w:lineRule="auto"/>
      </w:pPr>
      <w:r w:rsidRPr="00482799">
        <w:t xml:space="preserve">The extent of the publication’s distribution, including any instances of republication or </w:t>
      </w:r>
      <w:proofErr w:type="gramStart"/>
      <w:r w:rsidRPr="00482799">
        <w:t>repetition;</w:t>
      </w:r>
      <w:proofErr w:type="gramEnd"/>
    </w:p>
    <w:p w14:paraId="2156F063" w14:textId="77777777" w:rsidR="007B2E87" w:rsidRPr="00482799" w:rsidRDefault="007B2E87" w:rsidP="007B2E87">
      <w:pPr>
        <w:numPr>
          <w:ilvl w:val="0"/>
          <w:numId w:val="52"/>
        </w:numPr>
        <w:spacing w:after="160" w:line="259" w:lineRule="auto"/>
      </w:pPr>
      <w:r w:rsidRPr="00482799">
        <w:t>The format of the publication and how this affects the perceptions and interpretation of the publication’s content e.g. whether the publication occurred in a reputable newspaper or a social media post and what impact this had on the recipients’ views of its contents.</w:t>
      </w:r>
    </w:p>
    <w:p w14:paraId="1F50BB99" w14:textId="07DECC56" w:rsidR="007B2E87" w:rsidRPr="00482799" w:rsidRDefault="007B2E87" w:rsidP="007B2E87">
      <w:pPr>
        <w:numPr>
          <w:ilvl w:val="0"/>
          <w:numId w:val="52"/>
        </w:numPr>
        <w:spacing w:after="160" w:line="259" w:lineRule="auto"/>
      </w:pPr>
      <w:r w:rsidRPr="00482799">
        <w:t>Whether the harm suffered is transient or temporary</w:t>
      </w:r>
      <w:r w:rsidR="00482799">
        <w:t>.</w:t>
      </w:r>
    </w:p>
    <w:p w14:paraId="065EDDB5" w14:textId="6B0BA531" w:rsidR="00E152A3" w:rsidRPr="00482799" w:rsidRDefault="007B2E87" w:rsidP="007B2E87">
      <w:pPr>
        <w:numPr>
          <w:ilvl w:val="0"/>
          <w:numId w:val="52"/>
        </w:numPr>
        <w:spacing w:after="160" w:line="259" w:lineRule="auto"/>
      </w:pPr>
      <w:r w:rsidRPr="00482799">
        <w:t>The timing of the publication and its duration.</w:t>
      </w:r>
    </w:p>
    <w:p w14:paraId="017AC5D0" w14:textId="2FAFA5C1" w:rsidR="005C2DCC" w:rsidRDefault="007B2E87" w:rsidP="005C2DCC">
      <w:pPr>
        <w:pStyle w:val="Heading1"/>
        <w:rPr>
          <w:lang w:eastAsia="en-AU"/>
        </w:rPr>
      </w:pPr>
      <w:r>
        <w:rPr>
          <w:lang w:eastAsia="en-AU"/>
        </w:rPr>
        <w:lastRenderedPageBreak/>
        <w:t>Who must prove serious harm has occurred?</w:t>
      </w:r>
    </w:p>
    <w:p w14:paraId="6B670E01" w14:textId="0DDDA322" w:rsidR="001D7D00" w:rsidRDefault="007B2E87" w:rsidP="00961BE7">
      <w:pPr>
        <w:shd w:val="clear" w:color="auto" w:fill="FFFFFF" w:themeFill="background1"/>
        <w:rPr>
          <w:lang w:eastAsia="en-AU"/>
        </w:rPr>
      </w:pPr>
      <w:r>
        <w:rPr>
          <w:lang w:eastAsia="en-AU"/>
        </w:rPr>
        <w:t xml:space="preserve">The </w:t>
      </w:r>
      <w:r w:rsidR="00482799">
        <w:rPr>
          <w:lang w:eastAsia="en-AU"/>
        </w:rPr>
        <w:t xml:space="preserve">aggrieved </w:t>
      </w:r>
      <w:r>
        <w:rPr>
          <w:lang w:eastAsia="en-AU"/>
        </w:rPr>
        <w:t xml:space="preserve">person who claims they have been defamed must prove that serious harm to their reputation has occurred or is likely to occur due to the publication of the alleged defamatory material. </w:t>
      </w:r>
    </w:p>
    <w:p w14:paraId="006C1AE3" w14:textId="3C5484E7" w:rsidR="00D61FD1" w:rsidRDefault="007B2E87" w:rsidP="00D61FD1">
      <w:pPr>
        <w:pStyle w:val="Heading1"/>
        <w:rPr>
          <w:lang w:eastAsia="en-AU"/>
        </w:rPr>
      </w:pPr>
      <w:r>
        <w:rPr>
          <w:lang w:eastAsia="en-AU"/>
        </w:rPr>
        <w:t xml:space="preserve">What happens if serious harm has not been proven? </w:t>
      </w:r>
    </w:p>
    <w:p w14:paraId="16ED905B" w14:textId="22CCDE71" w:rsidR="009A7311" w:rsidRDefault="005C2DCC" w:rsidP="007B2E87">
      <w:pPr>
        <w:rPr>
          <w:lang w:eastAsia="en-AU"/>
        </w:rPr>
      </w:pPr>
      <w:r>
        <w:rPr>
          <w:lang w:eastAsia="en-AU"/>
        </w:rPr>
        <w:t xml:space="preserve"> </w:t>
      </w:r>
      <w:r w:rsidR="00482799">
        <w:rPr>
          <w:lang w:eastAsia="en-AU"/>
        </w:rPr>
        <w:t>Defamation</w:t>
      </w:r>
      <w:r w:rsidR="007B2E87">
        <w:rPr>
          <w:lang w:eastAsia="en-AU"/>
        </w:rPr>
        <w:t xml:space="preserve"> cannot be established unless the publication of the alleged defamatory material has caused serious harm. </w:t>
      </w:r>
    </w:p>
    <w:p w14:paraId="5464FD2F" w14:textId="6DDDD0EE" w:rsidR="007B2E87" w:rsidRDefault="007B2E87" w:rsidP="007B2E87">
      <w:pPr>
        <w:rPr>
          <w:lang w:eastAsia="en-AU"/>
        </w:rPr>
      </w:pPr>
      <w:r>
        <w:rPr>
          <w:lang w:eastAsia="en-AU"/>
        </w:rPr>
        <w:t xml:space="preserve">If the “serious harm” threshold is not satisfied, there can be no legal action in defamation and </w:t>
      </w:r>
      <w:r w:rsidR="00482799">
        <w:rPr>
          <w:lang w:eastAsia="en-AU"/>
        </w:rPr>
        <w:t xml:space="preserve">the </w:t>
      </w:r>
      <w:r>
        <w:rPr>
          <w:lang w:eastAsia="en-AU"/>
        </w:rPr>
        <w:t xml:space="preserve">proceeding before the Court </w:t>
      </w:r>
      <w:r w:rsidR="00482799">
        <w:rPr>
          <w:lang w:eastAsia="en-AU"/>
        </w:rPr>
        <w:t>will</w:t>
      </w:r>
      <w:r>
        <w:rPr>
          <w:lang w:eastAsia="en-AU"/>
        </w:rPr>
        <w:t xml:space="preserve"> be dismissed. </w:t>
      </w:r>
    </w:p>
    <w:p w14:paraId="6DC8153F" w14:textId="7B5760F6" w:rsidR="005A5432" w:rsidRDefault="005A5432" w:rsidP="005A5432">
      <w:pPr>
        <w:pStyle w:val="Heading1"/>
        <w:rPr>
          <w:lang w:eastAsia="en-AU"/>
        </w:rPr>
      </w:pPr>
      <w:r>
        <w:rPr>
          <w:lang w:eastAsia="en-AU"/>
        </w:rPr>
        <w:t xml:space="preserve">When can “Serious Harm” be determined? </w:t>
      </w:r>
    </w:p>
    <w:p w14:paraId="59E8A373" w14:textId="67E2BEDE" w:rsidR="005A5432" w:rsidRDefault="005A5432" w:rsidP="005A5432">
      <w:r>
        <w:t xml:space="preserve">The </w:t>
      </w:r>
      <w:r w:rsidR="00482799">
        <w:t>C</w:t>
      </w:r>
      <w:r>
        <w:t xml:space="preserve">ourt can make a ruling on if serious harm has occurred, or is likely to occur, before a trial for defamation commences. </w:t>
      </w:r>
    </w:p>
    <w:p w14:paraId="182A99EF" w14:textId="3D4D4F51" w:rsidR="005A5432" w:rsidRPr="005A5432" w:rsidRDefault="005A5432" w:rsidP="005A5432">
      <w:pPr>
        <w:rPr>
          <w:lang w:eastAsia="en-AU"/>
        </w:rPr>
      </w:pPr>
      <w:r>
        <w:t>This ensures that cases that do not meet the threshold are dismissed at an early stage without unnecessary costs to the parties and the court.</w:t>
      </w:r>
    </w:p>
    <w:p w14:paraId="33CEB565" w14:textId="200B8A2E" w:rsidR="005C2DCC" w:rsidRPr="00996655" w:rsidRDefault="005C2DCC" w:rsidP="005C2DCC">
      <w:pPr>
        <w:pStyle w:val="ListParagraph"/>
        <w:ind w:left="720"/>
        <w:rPr>
          <w:lang w:bidi="en-US"/>
        </w:rPr>
      </w:pPr>
      <w:r>
        <w:rPr>
          <w:lang w:bidi="en-US"/>
        </w:rPr>
        <w:t xml:space="preserve"> </w:t>
      </w:r>
    </w:p>
    <w:sectPr w:rsidR="005C2DCC" w:rsidRPr="00996655" w:rsidSect="00CC571B">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75F0" w14:textId="77777777" w:rsidR="00E11F79" w:rsidRDefault="00E11F79" w:rsidP="007332FF">
      <w:r>
        <w:separator/>
      </w:r>
    </w:p>
  </w:endnote>
  <w:endnote w:type="continuationSeparator" w:id="0">
    <w:p w14:paraId="0914A94F" w14:textId="77777777" w:rsidR="00E11F79" w:rsidRDefault="00E11F7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95BF"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1090E16C" w14:textId="77777777" w:rsidTr="001D258A">
      <w:trPr>
        <w:cantSplit/>
        <w:trHeight w:hRule="exact" w:val="567"/>
      </w:trPr>
      <w:tc>
        <w:tcPr>
          <w:tcW w:w="10318" w:type="dxa"/>
          <w:vAlign w:val="bottom"/>
        </w:tcPr>
        <w:p w14:paraId="6DD3E6BA" w14:textId="77777777" w:rsidR="005C2DCC" w:rsidRDefault="005C2DCC" w:rsidP="005C2DCC">
          <w:pPr>
            <w:spacing w:after="0"/>
            <w:rPr>
              <w:rStyle w:val="PageNumber"/>
            </w:rPr>
          </w:pPr>
          <w:r>
            <w:rPr>
              <w:rStyle w:val="PageNumber"/>
            </w:rPr>
            <w:t>Attorney-General’s Department</w:t>
          </w:r>
        </w:p>
        <w:p w14:paraId="4ED65BE9"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7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762">
            <w:rPr>
              <w:rStyle w:val="PageNumber"/>
              <w:noProof/>
            </w:rPr>
            <w:t>2</w:t>
          </w:r>
          <w:r w:rsidRPr="00AC4488">
            <w:rPr>
              <w:rStyle w:val="PageNumber"/>
            </w:rPr>
            <w:fldChar w:fldCharType="end"/>
          </w:r>
        </w:p>
      </w:tc>
    </w:tr>
  </w:tbl>
  <w:p w14:paraId="2124B5AB"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6B66" w14:textId="77777777" w:rsidR="00D15D88" w:rsidRDefault="00D15D88" w:rsidP="00C0326E">
    <w:pPr>
      <w:spacing w:after="0"/>
    </w:pPr>
  </w:p>
  <w:p w14:paraId="124C0C16"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51B767D6" w14:textId="77777777" w:rsidTr="008921B4">
      <w:trPr>
        <w:cantSplit/>
        <w:trHeight w:hRule="exact" w:val="1134"/>
      </w:trPr>
      <w:tc>
        <w:tcPr>
          <w:tcW w:w="7767" w:type="dxa"/>
          <w:vAlign w:val="bottom"/>
        </w:tcPr>
        <w:p w14:paraId="766388DA" w14:textId="77777777" w:rsidR="00E02C17" w:rsidRDefault="00E02C17" w:rsidP="00E02C17">
          <w:pPr>
            <w:spacing w:after="0"/>
            <w:rPr>
              <w:rStyle w:val="PageNumber"/>
            </w:rPr>
          </w:pPr>
          <w:r>
            <w:rPr>
              <w:rStyle w:val="PageNumber"/>
            </w:rPr>
            <w:t>Attorney-General’s Department</w:t>
          </w:r>
        </w:p>
        <w:p w14:paraId="492B5BCE" w14:textId="26DFE511" w:rsidR="00C0326E" w:rsidRPr="00CE30CF" w:rsidRDefault="00C0326E" w:rsidP="00E02C17">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C92C5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C92C5E">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1F6DC8A7" w14:textId="77777777" w:rsidR="00C0326E" w:rsidRPr="001E14EB" w:rsidRDefault="00C0326E" w:rsidP="00C0326E">
          <w:pPr>
            <w:spacing w:after="0"/>
            <w:jc w:val="right"/>
          </w:pPr>
          <w:r>
            <w:rPr>
              <w:noProof/>
              <w:lang w:eastAsia="en-AU"/>
            </w:rPr>
            <w:drawing>
              <wp:inline distT="0" distB="0" distL="0" distR="0" wp14:anchorId="666841F2" wp14:editId="48B6DA26">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4176D4A"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8EEA" w14:textId="77777777" w:rsidR="00E11F79" w:rsidRDefault="00E11F79" w:rsidP="007332FF">
      <w:r>
        <w:separator/>
      </w:r>
    </w:p>
  </w:footnote>
  <w:footnote w:type="continuationSeparator" w:id="0">
    <w:p w14:paraId="39FCA089" w14:textId="77777777" w:rsidR="00E11F79" w:rsidRDefault="00E11F7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C91F" w14:textId="3DB3C166" w:rsidR="00983000" w:rsidRPr="00162207" w:rsidRDefault="0000000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5621D0">
          <w:t>Changes to Defamation Law - Defamation Reform - Fact Sheet 3 (Serious Harm)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82BC" w14:textId="4D2D5E89" w:rsidR="00E908F1" w:rsidRPr="000E3ED2" w:rsidRDefault="00E25D1F" w:rsidP="00EB164C">
    <w:pPr>
      <w:pStyle w:val="Subtitle0"/>
    </w:pPr>
    <w:r>
      <w:t>Changes</w:t>
    </w:r>
    <w:r w:rsidR="007B2E87">
      <w:t xml:space="preserve"> to Defamation Laws - </w:t>
    </w:r>
    <w:r w:rsidR="00D61FD1">
      <w:t>Fact sheet</w:t>
    </w:r>
    <w:r w:rsidR="001D7D00">
      <w:t xml:space="preserve"> </w:t>
    </w:r>
    <w:r w:rsidR="007B2E87">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32E7221"/>
    <w:multiLevelType w:val="hybridMultilevel"/>
    <w:tmpl w:val="76365230"/>
    <w:lvl w:ilvl="0" w:tplc="78CEDB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4E3096"/>
    <w:multiLevelType w:val="hybridMultilevel"/>
    <w:tmpl w:val="C2B8C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9B30CA8"/>
    <w:multiLevelType w:val="hybridMultilevel"/>
    <w:tmpl w:val="9110A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26429D"/>
    <w:multiLevelType w:val="multilevel"/>
    <w:tmpl w:val="3E5E177A"/>
    <w:name w:val="NTG Table Bullet List33222222222"/>
    <w:numStyleLink w:val="Tablenumberlist"/>
  </w:abstractNum>
  <w:abstractNum w:abstractNumId="20"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86276C"/>
    <w:multiLevelType w:val="multilevel"/>
    <w:tmpl w:val="3928FD02"/>
    <w:name w:val="NTG Table Bullet List32223"/>
    <w:numStyleLink w:val="Bulletlist"/>
  </w:abstractNum>
  <w:abstractNum w:abstractNumId="22" w15:restartNumberingAfterBreak="0">
    <w:nsid w:val="1C495532"/>
    <w:multiLevelType w:val="hybridMultilevel"/>
    <w:tmpl w:val="BEEE3F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D0744AE"/>
    <w:multiLevelType w:val="multilevel"/>
    <w:tmpl w:val="3E5E177A"/>
    <w:name w:val="NTG Table Bullet List3222322"/>
    <w:numStyleLink w:val="Tablenumberlist"/>
  </w:abstractNum>
  <w:abstractNum w:abstractNumId="24"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6" w15:restartNumberingAfterBreak="0">
    <w:nsid w:val="272E3F76"/>
    <w:multiLevelType w:val="multilevel"/>
    <w:tmpl w:val="3E5E177A"/>
    <w:name w:val="NTG Table Bullet List3322"/>
    <w:numStyleLink w:val="Tablenumberlist"/>
  </w:abstractNum>
  <w:abstractNum w:abstractNumId="27" w15:restartNumberingAfterBreak="0">
    <w:nsid w:val="27CE4608"/>
    <w:multiLevelType w:val="multilevel"/>
    <w:tmpl w:val="3E5E177A"/>
    <w:name w:val="NTG Table Bullet List33222"/>
    <w:numStyleLink w:val="Tablenumberlist"/>
  </w:abstractNum>
  <w:abstractNum w:abstractNumId="28" w15:restartNumberingAfterBreak="0">
    <w:nsid w:val="27D83E4D"/>
    <w:multiLevelType w:val="multilevel"/>
    <w:tmpl w:val="3928FD02"/>
    <w:numStyleLink w:val="Bulletlist"/>
  </w:abstractNum>
  <w:abstractNum w:abstractNumId="29"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9AD0BA5"/>
    <w:multiLevelType w:val="multilevel"/>
    <w:tmpl w:val="12C090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1520E7"/>
    <w:multiLevelType w:val="multilevel"/>
    <w:tmpl w:val="4E6AC8F6"/>
    <w:numStyleLink w:val="Numberlist"/>
  </w:abstractNum>
  <w:abstractNum w:abstractNumId="3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3"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693641"/>
    <w:multiLevelType w:val="multilevel"/>
    <w:tmpl w:val="3E5E177A"/>
    <w:name w:val="NTG Table Bullet List33"/>
    <w:numStyleLink w:val="Tablenumberlist"/>
  </w:abstractNum>
  <w:abstractNum w:abstractNumId="35" w15:restartNumberingAfterBreak="0">
    <w:nsid w:val="2EF077BC"/>
    <w:multiLevelType w:val="multilevel"/>
    <w:tmpl w:val="0C78A7AC"/>
    <w:name w:val="NTG Table Bullet List33222222222222222222"/>
    <w:numStyleLink w:val="Tablebulletlist"/>
  </w:abstractNum>
  <w:abstractNum w:abstractNumId="36"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2DF44DA"/>
    <w:multiLevelType w:val="multilevel"/>
    <w:tmpl w:val="3E5E177A"/>
    <w:name w:val="NTG Table Bullet List3222323"/>
    <w:numStyleLink w:val="Tablenumberlist"/>
  </w:abstractNum>
  <w:abstractNum w:abstractNumId="3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1"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3BE61945"/>
    <w:multiLevelType w:val="multilevel"/>
    <w:tmpl w:val="3928FD02"/>
    <w:name w:val="NTG Table Bullet List332222222222222222"/>
    <w:numStyleLink w:val="Bulletlist"/>
  </w:abstractNum>
  <w:abstractNum w:abstractNumId="43"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FD3A20"/>
    <w:multiLevelType w:val="multilevel"/>
    <w:tmpl w:val="3E5E177A"/>
    <w:name w:val="NTG Table Bullet List3322222222222"/>
    <w:numStyleLink w:val="Tablenumberlist"/>
  </w:abstractNum>
  <w:abstractNum w:abstractNumId="4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3842BC6"/>
    <w:multiLevelType w:val="multilevel"/>
    <w:tmpl w:val="0C78A7AC"/>
    <w:numStyleLink w:val="Tablebulletlist"/>
  </w:abstractNum>
  <w:abstractNum w:abstractNumId="5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5"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6DA2CAE"/>
    <w:multiLevelType w:val="multilevel"/>
    <w:tmpl w:val="3E5E177A"/>
    <w:name w:val="NTG Table Bullet List332222222222222"/>
    <w:numStyleLink w:val="Tablenumberlist"/>
  </w:abstractNum>
  <w:abstractNum w:abstractNumId="57" w15:restartNumberingAfterBreak="0">
    <w:nsid w:val="583359D9"/>
    <w:multiLevelType w:val="multilevel"/>
    <w:tmpl w:val="3E5E177A"/>
    <w:name w:val="NTG Table Bullet List332222222"/>
    <w:numStyleLink w:val="Tablenumberlist"/>
  </w:abstractNum>
  <w:abstractNum w:abstractNumId="58"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E21323"/>
    <w:multiLevelType w:val="multilevel"/>
    <w:tmpl w:val="4E6AC8F6"/>
    <w:numStyleLink w:val="Numberlist"/>
  </w:abstractNum>
  <w:abstractNum w:abstractNumId="61" w15:restartNumberingAfterBreak="0">
    <w:nsid w:val="5B9A5FFE"/>
    <w:multiLevelType w:val="multilevel"/>
    <w:tmpl w:val="0C78A7AC"/>
    <w:name w:val="NTG Table Bullet List33222222222222"/>
    <w:numStyleLink w:val="Tablebulletlist"/>
  </w:abstractNum>
  <w:abstractNum w:abstractNumId="62" w15:restartNumberingAfterBreak="0">
    <w:nsid w:val="5D444259"/>
    <w:multiLevelType w:val="multilevel"/>
    <w:tmpl w:val="0C78A7AC"/>
    <w:name w:val="NTG Table Bullet List332222"/>
    <w:numStyleLink w:val="Tablebulletlist"/>
  </w:abstractNum>
  <w:abstractNum w:abstractNumId="63"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4"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6"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8"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9262556"/>
    <w:multiLevelType w:val="multilevel"/>
    <w:tmpl w:val="3E5E177A"/>
    <w:name w:val="NTG Table Bullet List3322222222222222"/>
    <w:numStyleLink w:val="Tablenumberlist"/>
  </w:abstractNum>
  <w:abstractNum w:abstractNumId="70"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453664D"/>
    <w:multiLevelType w:val="multilevel"/>
    <w:tmpl w:val="0C78A7AC"/>
    <w:name w:val="NTG Table Bullet List3322222222222222222"/>
    <w:numStyleLink w:val="Tablebulletlist"/>
  </w:abstractNum>
  <w:abstractNum w:abstractNumId="73" w15:restartNumberingAfterBreak="0">
    <w:nsid w:val="76141D1E"/>
    <w:multiLevelType w:val="multilevel"/>
    <w:tmpl w:val="0C78A7AC"/>
    <w:name w:val="NTG Table Bullet List332222222222"/>
    <w:numStyleLink w:val="Tablebulletlist"/>
  </w:abstractNum>
  <w:abstractNum w:abstractNumId="74" w15:restartNumberingAfterBreak="0">
    <w:nsid w:val="765A32D4"/>
    <w:multiLevelType w:val="multilevel"/>
    <w:tmpl w:val="4E6AC8F6"/>
    <w:numStyleLink w:val="Numberlist"/>
  </w:abstractNum>
  <w:abstractNum w:abstractNumId="75"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176463636">
    <w:abstractNumId w:val="38"/>
  </w:num>
  <w:num w:numId="2" w16cid:durableId="781729298">
    <w:abstractNumId w:val="25"/>
  </w:num>
  <w:num w:numId="3" w16cid:durableId="1876115533">
    <w:abstractNumId w:val="76"/>
  </w:num>
  <w:num w:numId="4" w16cid:durableId="833684541">
    <w:abstractNumId w:val="48"/>
  </w:num>
  <w:num w:numId="5" w16cid:durableId="1194229265">
    <w:abstractNumId w:val="32"/>
  </w:num>
  <w:num w:numId="6" w16cid:durableId="806977056">
    <w:abstractNumId w:val="17"/>
  </w:num>
  <w:num w:numId="7" w16cid:durableId="1077094067">
    <w:abstractNumId w:val="53"/>
  </w:num>
  <w:num w:numId="8" w16cid:durableId="559750411">
    <w:abstractNumId w:val="28"/>
  </w:num>
  <w:num w:numId="9" w16cid:durableId="1603803149">
    <w:abstractNumId w:val="60"/>
  </w:num>
  <w:num w:numId="10" w16cid:durableId="2115711409">
    <w:abstractNumId w:val="24"/>
  </w:num>
  <w:num w:numId="11" w16cid:durableId="109207881">
    <w:abstractNumId w:val="66"/>
  </w:num>
  <w:num w:numId="12" w16cid:durableId="770048535">
    <w:abstractNumId w:val="20"/>
  </w:num>
  <w:num w:numId="13" w16cid:durableId="869535735">
    <w:abstractNumId w:val="1"/>
  </w:num>
  <w:num w:numId="14" w16cid:durableId="1309704096">
    <w:abstractNumId w:val="64"/>
  </w:num>
  <w:num w:numId="15" w16cid:durableId="1171333547">
    <w:abstractNumId w:val="31"/>
  </w:num>
  <w:num w:numId="16" w16cid:durableId="1966740556">
    <w:abstractNumId w:val="65"/>
  </w:num>
  <w:num w:numId="17" w16cid:durableId="1268196365">
    <w:abstractNumId w:val="74"/>
  </w:num>
  <w:num w:numId="18" w16cid:durableId="1362903369">
    <w:abstractNumId w:val="59"/>
  </w:num>
  <w:num w:numId="19" w16cid:durableId="1064916176">
    <w:abstractNumId w:val="51"/>
  </w:num>
  <w:num w:numId="20" w16cid:durableId="2002584892">
    <w:abstractNumId w:val="55"/>
  </w:num>
  <w:num w:numId="21" w16cid:durableId="655498062">
    <w:abstractNumId w:val="43"/>
  </w:num>
  <w:num w:numId="22" w16cid:durableId="1138061870">
    <w:abstractNumId w:val="58"/>
  </w:num>
  <w:num w:numId="23" w16cid:durableId="523596001">
    <w:abstractNumId w:val="50"/>
  </w:num>
  <w:num w:numId="24" w16cid:durableId="1835300310">
    <w:abstractNumId w:val="45"/>
  </w:num>
  <w:num w:numId="25" w16cid:durableId="240067954">
    <w:abstractNumId w:val="41"/>
  </w:num>
  <w:num w:numId="26" w16cid:durableId="1665939066">
    <w:abstractNumId w:val="11"/>
  </w:num>
  <w:num w:numId="27" w16cid:durableId="828405291">
    <w:abstractNumId w:val="75"/>
  </w:num>
  <w:num w:numId="28" w16cid:durableId="1303538920">
    <w:abstractNumId w:val="40"/>
  </w:num>
  <w:num w:numId="29" w16cid:durableId="1505364490">
    <w:abstractNumId w:val="33"/>
  </w:num>
  <w:num w:numId="30" w16cid:durableId="1889994482">
    <w:abstractNumId w:val="0"/>
  </w:num>
  <w:num w:numId="31" w16cid:durableId="535434773">
    <w:abstractNumId w:val="44"/>
  </w:num>
  <w:num w:numId="32" w16cid:durableId="693305561">
    <w:abstractNumId w:val="10"/>
  </w:num>
  <w:num w:numId="33" w16cid:durableId="1594194658">
    <w:abstractNumId w:val="67"/>
  </w:num>
  <w:num w:numId="34" w16cid:durableId="1800371220">
    <w:abstractNumId w:val="36"/>
  </w:num>
  <w:num w:numId="35" w16cid:durableId="314798751">
    <w:abstractNumId w:val="52"/>
  </w:num>
  <w:num w:numId="36" w16cid:durableId="1320115944">
    <w:abstractNumId w:val="68"/>
  </w:num>
  <w:num w:numId="37" w16cid:durableId="579631879">
    <w:abstractNumId w:val="70"/>
  </w:num>
  <w:num w:numId="38" w16cid:durableId="639959708">
    <w:abstractNumId w:val="16"/>
  </w:num>
  <w:num w:numId="39" w16cid:durableId="735202735">
    <w:abstractNumId w:val="29"/>
  </w:num>
  <w:num w:numId="40" w16cid:durableId="56169197">
    <w:abstractNumId w:val="71"/>
  </w:num>
  <w:num w:numId="41" w16cid:durableId="1728186428">
    <w:abstractNumId w:val="2"/>
  </w:num>
  <w:num w:numId="42" w16cid:durableId="538594523">
    <w:abstractNumId w:val="63"/>
  </w:num>
  <w:num w:numId="43" w16cid:durableId="1332175823">
    <w:abstractNumId w:val="12"/>
  </w:num>
  <w:num w:numId="44" w16cid:durableId="635572317">
    <w:abstractNumId w:val="39"/>
  </w:num>
  <w:num w:numId="45" w16cid:durableId="2041317196">
    <w:abstractNumId w:val="46"/>
  </w:num>
  <w:num w:numId="46" w16cid:durableId="8336466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7006444">
    <w:abstractNumId w:val="7"/>
  </w:num>
  <w:num w:numId="48" w16cid:durableId="763189237">
    <w:abstractNumId w:val="22"/>
  </w:num>
  <w:num w:numId="49" w16cid:durableId="1910797907">
    <w:abstractNumId w:val="18"/>
  </w:num>
  <w:num w:numId="50" w16cid:durableId="969553400">
    <w:abstractNumId w:val="8"/>
  </w:num>
  <w:num w:numId="51" w16cid:durableId="1051617015">
    <w:abstractNumId w:val="13"/>
  </w:num>
  <w:num w:numId="52" w16cid:durableId="1899702831">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17"/>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87545"/>
    <w:rsid w:val="000911EF"/>
    <w:rsid w:val="000962C5"/>
    <w:rsid w:val="00096ECB"/>
    <w:rsid w:val="00097865"/>
    <w:rsid w:val="000A4317"/>
    <w:rsid w:val="000A559C"/>
    <w:rsid w:val="000B2CA1"/>
    <w:rsid w:val="000D1F29"/>
    <w:rsid w:val="000D633D"/>
    <w:rsid w:val="000E342B"/>
    <w:rsid w:val="000E3ED2"/>
    <w:rsid w:val="000E5DD2"/>
    <w:rsid w:val="000F2958"/>
    <w:rsid w:val="000F3850"/>
    <w:rsid w:val="000F604F"/>
    <w:rsid w:val="00104E7F"/>
    <w:rsid w:val="00110139"/>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1E79"/>
    <w:rsid w:val="001B28DA"/>
    <w:rsid w:val="001B2B6C"/>
    <w:rsid w:val="001B629B"/>
    <w:rsid w:val="001D01C4"/>
    <w:rsid w:val="001D4F99"/>
    <w:rsid w:val="001D52B0"/>
    <w:rsid w:val="001D5A18"/>
    <w:rsid w:val="001D7CA4"/>
    <w:rsid w:val="001D7D00"/>
    <w:rsid w:val="001E057F"/>
    <w:rsid w:val="001E14EB"/>
    <w:rsid w:val="001F59E6"/>
    <w:rsid w:val="00203F1C"/>
    <w:rsid w:val="00206936"/>
    <w:rsid w:val="00206C6F"/>
    <w:rsid w:val="00206FBD"/>
    <w:rsid w:val="00207746"/>
    <w:rsid w:val="00230031"/>
    <w:rsid w:val="00235C01"/>
    <w:rsid w:val="00247343"/>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26BE"/>
    <w:rsid w:val="00363513"/>
    <w:rsid w:val="003644BB"/>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3606"/>
    <w:rsid w:val="00414CB3"/>
    <w:rsid w:val="0041563D"/>
    <w:rsid w:val="00421C43"/>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799"/>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21D0"/>
    <w:rsid w:val="00564C12"/>
    <w:rsid w:val="005654B8"/>
    <w:rsid w:val="005762CC"/>
    <w:rsid w:val="00582D3D"/>
    <w:rsid w:val="00590040"/>
    <w:rsid w:val="00592E78"/>
    <w:rsid w:val="00595386"/>
    <w:rsid w:val="00597234"/>
    <w:rsid w:val="00597614"/>
    <w:rsid w:val="005A4AC0"/>
    <w:rsid w:val="005A5432"/>
    <w:rsid w:val="005A5FDF"/>
    <w:rsid w:val="005B0FB7"/>
    <w:rsid w:val="005B122A"/>
    <w:rsid w:val="005B1FCB"/>
    <w:rsid w:val="005B5AC2"/>
    <w:rsid w:val="005C2833"/>
    <w:rsid w:val="005C2DCC"/>
    <w:rsid w:val="005E144D"/>
    <w:rsid w:val="005E1500"/>
    <w:rsid w:val="005E3A43"/>
    <w:rsid w:val="005E3FC4"/>
    <w:rsid w:val="005F0B17"/>
    <w:rsid w:val="005F77C7"/>
    <w:rsid w:val="0060432C"/>
    <w:rsid w:val="00620675"/>
    <w:rsid w:val="00622910"/>
    <w:rsid w:val="006254B6"/>
    <w:rsid w:val="00627FC8"/>
    <w:rsid w:val="006433C3"/>
    <w:rsid w:val="00650F5B"/>
    <w:rsid w:val="006670D7"/>
    <w:rsid w:val="006719EA"/>
    <w:rsid w:val="00671F13"/>
    <w:rsid w:val="0067400A"/>
    <w:rsid w:val="006847AD"/>
    <w:rsid w:val="0069114B"/>
    <w:rsid w:val="006944C1"/>
    <w:rsid w:val="006A2F2D"/>
    <w:rsid w:val="006A756A"/>
    <w:rsid w:val="006B739E"/>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2E87"/>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3A"/>
    <w:rsid w:val="00815297"/>
    <w:rsid w:val="008170DB"/>
    <w:rsid w:val="00817BA1"/>
    <w:rsid w:val="00823022"/>
    <w:rsid w:val="0082634E"/>
    <w:rsid w:val="008313C4"/>
    <w:rsid w:val="00835434"/>
    <w:rsid w:val="008358C0"/>
    <w:rsid w:val="00837842"/>
    <w:rsid w:val="008420A4"/>
    <w:rsid w:val="00842838"/>
    <w:rsid w:val="00850B3D"/>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30DE"/>
    <w:rsid w:val="008F422B"/>
    <w:rsid w:val="0090136E"/>
    <w:rsid w:val="00901430"/>
    <w:rsid w:val="00902B13"/>
    <w:rsid w:val="00911941"/>
    <w:rsid w:val="0092024D"/>
    <w:rsid w:val="00925146"/>
    <w:rsid w:val="00925F0F"/>
    <w:rsid w:val="00932F6B"/>
    <w:rsid w:val="009468BC"/>
    <w:rsid w:val="00947FAE"/>
    <w:rsid w:val="00951A4D"/>
    <w:rsid w:val="00953762"/>
    <w:rsid w:val="009616DF"/>
    <w:rsid w:val="00961BE7"/>
    <w:rsid w:val="00963E4F"/>
    <w:rsid w:val="009650AC"/>
    <w:rsid w:val="0096542F"/>
    <w:rsid w:val="00967FA7"/>
    <w:rsid w:val="00971645"/>
    <w:rsid w:val="00977919"/>
    <w:rsid w:val="00983000"/>
    <w:rsid w:val="009870FA"/>
    <w:rsid w:val="009921C3"/>
    <w:rsid w:val="0099551D"/>
    <w:rsid w:val="00996655"/>
    <w:rsid w:val="009A5897"/>
    <w:rsid w:val="009A5F24"/>
    <w:rsid w:val="009A7311"/>
    <w:rsid w:val="009B0B3E"/>
    <w:rsid w:val="009B1913"/>
    <w:rsid w:val="009B6657"/>
    <w:rsid w:val="009B6966"/>
    <w:rsid w:val="009D0EB5"/>
    <w:rsid w:val="009D14F9"/>
    <w:rsid w:val="009D2B74"/>
    <w:rsid w:val="009D63FF"/>
    <w:rsid w:val="009E175D"/>
    <w:rsid w:val="009E3CC2"/>
    <w:rsid w:val="009F06BD"/>
    <w:rsid w:val="009F2A4D"/>
    <w:rsid w:val="00A00828"/>
    <w:rsid w:val="00A0197D"/>
    <w:rsid w:val="00A03290"/>
    <w:rsid w:val="00A0387E"/>
    <w:rsid w:val="00A058D3"/>
    <w:rsid w:val="00A05BFD"/>
    <w:rsid w:val="00A07490"/>
    <w:rsid w:val="00A10655"/>
    <w:rsid w:val="00A12B64"/>
    <w:rsid w:val="00A22C38"/>
    <w:rsid w:val="00A25193"/>
    <w:rsid w:val="00A26E80"/>
    <w:rsid w:val="00A31AE8"/>
    <w:rsid w:val="00A3739D"/>
    <w:rsid w:val="00A37DDA"/>
    <w:rsid w:val="00A45005"/>
    <w:rsid w:val="00A55A62"/>
    <w:rsid w:val="00A66857"/>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0CC"/>
    <w:rsid w:val="00B2046E"/>
    <w:rsid w:val="00B20E8B"/>
    <w:rsid w:val="00B257E1"/>
    <w:rsid w:val="00B2599A"/>
    <w:rsid w:val="00B27AC4"/>
    <w:rsid w:val="00B343CC"/>
    <w:rsid w:val="00B5084A"/>
    <w:rsid w:val="00B52ED6"/>
    <w:rsid w:val="00B60618"/>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C4A31"/>
    <w:rsid w:val="00BD7FE1"/>
    <w:rsid w:val="00BE0875"/>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4126"/>
    <w:rsid w:val="00C55B5A"/>
    <w:rsid w:val="00C61AFA"/>
    <w:rsid w:val="00C61D64"/>
    <w:rsid w:val="00C62099"/>
    <w:rsid w:val="00C64EA3"/>
    <w:rsid w:val="00C72867"/>
    <w:rsid w:val="00C75E81"/>
    <w:rsid w:val="00C86609"/>
    <w:rsid w:val="00C92B4C"/>
    <w:rsid w:val="00C92C5E"/>
    <w:rsid w:val="00C954F6"/>
    <w:rsid w:val="00CA36A0"/>
    <w:rsid w:val="00CA6BC5"/>
    <w:rsid w:val="00CC571B"/>
    <w:rsid w:val="00CC61CD"/>
    <w:rsid w:val="00CC6C02"/>
    <w:rsid w:val="00CC737B"/>
    <w:rsid w:val="00CD5011"/>
    <w:rsid w:val="00CD5F4A"/>
    <w:rsid w:val="00CE640F"/>
    <w:rsid w:val="00CE76BC"/>
    <w:rsid w:val="00CF540E"/>
    <w:rsid w:val="00D02F07"/>
    <w:rsid w:val="00D1242B"/>
    <w:rsid w:val="00D15D88"/>
    <w:rsid w:val="00D27EBE"/>
    <w:rsid w:val="00D36A49"/>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2C17"/>
    <w:rsid w:val="00E034D8"/>
    <w:rsid w:val="00E04CC0"/>
    <w:rsid w:val="00E07AA5"/>
    <w:rsid w:val="00E11F79"/>
    <w:rsid w:val="00E152A3"/>
    <w:rsid w:val="00E15816"/>
    <w:rsid w:val="00E160D5"/>
    <w:rsid w:val="00E239FF"/>
    <w:rsid w:val="00E25D1F"/>
    <w:rsid w:val="00E27D7B"/>
    <w:rsid w:val="00E30556"/>
    <w:rsid w:val="00E30981"/>
    <w:rsid w:val="00E33136"/>
    <w:rsid w:val="00E34D7C"/>
    <w:rsid w:val="00E36941"/>
    <w:rsid w:val="00E3723D"/>
    <w:rsid w:val="00E44B8A"/>
    <w:rsid w:val="00E44C89"/>
    <w:rsid w:val="00E457A6"/>
    <w:rsid w:val="00E52375"/>
    <w:rsid w:val="00E61BA2"/>
    <w:rsid w:val="00E63864"/>
    <w:rsid w:val="00E6403F"/>
    <w:rsid w:val="00E75451"/>
    <w:rsid w:val="00E770C4"/>
    <w:rsid w:val="00E77D7E"/>
    <w:rsid w:val="00E84C5A"/>
    <w:rsid w:val="00E861DB"/>
    <w:rsid w:val="00E908F1"/>
    <w:rsid w:val="00E93406"/>
    <w:rsid w:val="00E93B78"/>
    <w:rsid w:val="00E9402C"/>
    <w:rsid w:val="00E956C5"/>
    <w:rsid w:val="00E95C39"/>
    <w:rsid w:val="00EA2C39"/>
    <w:rsid w:val="00EA49ED"/>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7362"/>
    <w:rsid w:val="00EF7859"/>
    <w:rsid w:val="00F014DA"/>
    <w:rsid w:val="00F02591"/>
    <w:rsid w:val="00F5696E"/>
    <w:rsid w:val="00F60EFF"/>
    <w:rsid w:val="00F6377E"/>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CF759"/>
  <w15:docId w15:val="{54BFCA2B-FB4E-4C57-BC22-6E3C1789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E93B78"/>
    <w:pPr>
      <w:keepNext/>
      <w:keepLines/>
      <w:spacing w:before="240"/>
      <w:outlineLvl w:val="0"/>
    </w:pPr>
    <w:rPr>
      <w:rFonts w:ascii="Lato Semibold" w:eastAsia="Times New Roman" w:hAnsi="Lato Semibold"/>
      <w:color w:val="2E979C" w:themeColor="accent3"/>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3A3440"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E93B78"/>
    <w:rPr>
      <w:rFonts w:ascii="Lato Semibold" w:eastAsia="Times New Roman" w:hAnsi="Lato Semibold"/>
      <w:color w:val="2E979C" w:themeColor="accent3"/>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E93B78"/>
    <w:pPr>
      <w:spacing w:after="800"/>
    </w:pPr>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E93B78"/>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3A344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93B78"/>
    <w:pPr>
      <w:numPr>
        <w:ilvl w:val="1"/>
      </w:numPr>
      <w:spacing w:after="160"/>
      <w:jc w:val="right"/>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3A344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3A344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rPr>
      <w:tblPr/>
      <w:trPr>
        <w:tblHeader/>
      </w:trPr>
      <w:tcPr>
        <w:shd w:val="clear" w:color="auto" w:fill="3A3440" w:themeFill="text1"/>
      </w:tcPr>
    </w:tblStylePr>
    <w:tblStylePr w:type="firstCol">
      <w:rPr>
        <w:b/>
      </w:rPr>
      <w:tblPr/>
      <w:tcPr>
        <w:shd w:val="clear" w:color="auto" w:fill="3A3440"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CommentReference">
    <w:name w:val="annotation reference"/>
    <w:basedOn w:val="DefaultParagraphFont"/>
    <w:uiPriority w:val="99"/>
    <w:semiHidden/>
    <w:unhideWhenUsed/>
    <w:rsid w:val="0090136E"/>
    <w:rPr>
      <w:sz w:val="16"/>
      <w:szCs w:val="16"/>
    </w:rPr>
  </w:style>
  <w:style w:type="paragraph" w:styleId="CommentText">
    <w:name w:val="annotation text"/>
    <w:basedOn w:val="Normal"/>
    <w:link w:val="CommentTextChar"/>
    <w:uiPriority w:val="99"/>
    <w:unhideWhenUsed/>
    <w:rsid w:val="0090136E"/>
    <w:rPr>
      <w:sz w:val="20"/>
      <w:szCs w:val="20"/>
    </w:rPr>
  </w:style>
  <w:style w:type="character" w:customStyle="1" w:styleId="CommentTextChar">
    <w:name w:val="Comment Text Char"/>
    <w:basedOn w:val="DefaultParagraphFont"/>
    <w:link w:val="CommentText"/>
    <w:uiPriority w:val="99"/>
    <w:rsid w:val="0090136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90136E"/>
    <w:rPr>
      <w:b/>
      <w:bCs/>
    </w:rPr>
  </w:style>
  <w:style w:type="character" w:customStyle="1" w:styleId="CommentSubjectChar">
    <w:name w:val="Comment Subject Char"/>
    <w:basedOn w:val="CommentTextChar"/>
    <w:link w:val="CommentSubject"/>
    <w:uiPriority w:val="99"/>
    <w:semiHidden/>
    <w:rsid w:val="0090136E"/>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hr\Downloads\ntg-fact-sheet-2025.dotx" TargetMode="External"/></Relationship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B855B0-0AAF-47F2-BB08-C0FC8C55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ntg-fact-sheet-2025.dotx</Template>
  <TotalTime>0</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Changes to Defamation Law</vt:lpstr>
    </vt:vector>
  </TitlesOfParts>
  <Company>&lt;NAME&gt;</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Defamation Law - Defamation Reform - Fact Sheet 3 (Serious Harm)</dc:title>
  <dc:creator>NorthernTerritoryGovernment@ntgov.onmicrosoft.com</dc:creator>
  <cp:lastModifiedBy>Pablo Salgueiro</cp:lastModifiedBy>
  <cp:revision>2</cp:revision>
  <cp:lastPrinted>2019-08-28T22:41:00Z</cp:lastPrinted>
  <dcterms:created xsi:type="dcterms:W3CDTF">2025-09-04T02:46:00Z</dcterms:created>
  <dcterms:modified xsi:type="dcterms:W3CDTF">2025-09-04T02:46:00Z</dcterms:modified>
</cp:coreProperties>
</file>