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DF928" w14:textId="49E47299" w:rsidR="001B789F" w:rsidRPr="009F0B5F" w:rsidRDefault="002224C7" w:rsidP="001B789F">
      <w:pPr>
        <w:pStyle w:val="Title"/>
        <w:rPr>
          <w:rFonts w:ascii="Lato" w:hAnsi="Lato"/>
          <w:i/>
          <w:iCs/>
          <w:sz w:val="20"/>
        </w:rPr>
      </w:pPr>
      <w:r>
        <w:rPr>
          <w:rFonts w:ascii="Lato" w:hAnsi="Lato"/>
          <w:i/>
          <w:iCs/>
          <w:sz w:val="20"/>
        </w:rPr>
        <w:t>L</w:t>
      </w:r>
      <w:r w:rsidR="00D733B0">
        <w:rPr>
          <w:rFonts w:ascii="Lato" w:hAnsi="Lato"/>
          <w:i/>
          <w:iCs/>
          <w:sz w:val="20"/>
        </w:rPr>
        <w:t>I</w:t>
      </w:r>
      <w:r w:rsidR="001B789F" w:rsidRPr="009F0B5F">
        <w:rPr>
          <w:rFonts w:ascii="Lato" w:hAnsi="Lato"/>
          <w:i/>
          <w:iCs/>
          <w:sz w:val="20"/>
        </w:rPr>
        <w:t>QUOR ACT</w:t>
      </w:r>
      <w:r w:rsidR="00896FFC" w:rsidRPr="009F0B5F">
        <w:rPr>
          <w:rFonts w:ascii="Lato" w:hAnsi="Lato"/>
          <w:i/>
          <w:iCs/>
          <w:sz w:val="20"/>
        </w:rPr>
        <w:t xml:space="preserve"> </w:t>
      </w:r>
      <w:r w:rsidR="0031631E" w:rsidRPr="009F0B5F">
        <w:rPr>
          <w:rFonts w:ascii="Lato" w:hAnsi="Lato"/>
          <w:i/>
          <w:iCs/>
          <w:sz w:val="20"/>
        </w:rPr>
        <w:t>2019</w:t>
      </w:r>
    </w:p>
    <w:p w14:paraId="748C48CC" w14:textId="77777777" w:rsidR="001B789F" w:rsidRPr="00775A2F" w:rsidRDefault="001B789F" w:rsidP="001B789F">
      <w:pPr>
        <w:spacing w:line="240" w:lineRule="exact"/>
        <w:jc w:val="center"/>
        <w:rPr>
          <w:rFonts w:ascii="Lato" w:hAnsi="Lato"/>
          <w:b/>
          <w:sz w:val="20"/>
        </w:rPr>
      </w:pPr>
    </w:p>
    <w:p w14:paraId="44D1AF13" w14:textId="7B6237B4" w:rsidR="001B789F" w:rsidRPr="00775A2F" w:rsidRDefault="001B789F" w:rsidP="004653EE">
      <w:pPr>
        <w:spacing w:line="240" w:lineRule="exact"/>
        <w:ind w:left="-709"/>
        <w:jc w:val="center"/>
        <w:rPr>
          <w:rFonts w:ascii="Lato" w:hAnsi="Lato"/>
          <w:b/>
          <w:sz w:val="20"/>
        </w:rPr>
      </w:pPr>
      <w:r w:rsidRPr="00775A2F">
        <w:rPr>
          <w:rFonts w:ascii="Lato" w:hAnsi="Lato"/>
          <w:b/>
          <w:sz w:val="20"/>
        </w:rPr>
        <w:t xml:space="preserve"> NOTICE </w:t>
      </w:r>
      <w:r w:rsidR="0031631E">
        <w:rPr>
          <w:rFonts w:ascii="Lato" w:hAnsi="Lato"/>
          <w:b/>
          <w:sz w:val="20"/>
        </w:rPr>
        <w:t>OF RECONSIDERATION OF DECISION BY THE LIQUOR COMMISSION</w:t>
      </w:r>
    </w:p>
    <w:p w14:paraId="3B363435" w14:textId="77777777" w:rsidR="003A2358" w:rsidRPr="00775A2F" w:rsidRDefault="003A2358" w:rsidP="004653EE">
      <w:pPr>
        <w:spacing w:line="240" w:lineRule="exact"/>
        <w:ind w:left="-709" w:right="-425"/>
        <w:jc w:val="both"/>
        <w:rPr>
          <w:rFonts w:ascii="Lato" w:hAnsi="Lato"/>
          <w:sz w:val="20"/>
        </w:rPr>
      </w:pPr>
    </w:p>
    <w:p w14:paraId="4C8CE71D" w14:textId="02628014" w:rsidR="00BF58CA" w:rsidRDefault="00BF58CA" w:rsidP="004653EE">
      <w:pPr>
        <w:spacing w:line="240" w:lineRule="exact"/>
        <w:ind w:left="-709" w:right="-425"/>
        <w:jc w:val="both"/>
        <w:rPr>
          <w:rFonts w:ascii="Lato" w:hAnsi="Lato"/>
          <w:sz w:val="20"/>
        </w:rPr>
      </w:pPr>
      <w:r>
        <w:rPr>
          <w:rFonts w:ascii="Lato" w:hAnsi="Lato"/>
          <w:sz w:val="20"/>
        </w:rPr>
        <w:t xml:space="preserve">On 20 November 2025, the Northern Territory Liquor Commission (the Commission) issued a </w:t>
      </w:r>
      <w:r w:rsidRPr="00BF58CA">
        <w:rPr>
          <w:rFonts w:ascii="Lato" w:hAnsi="Lato"/>
          <w:i/>
          <w:iCs/>
          <w:sz w:val="20"/>
        </w:rPr>
        <w:t xml:space="preserve">Notice </w:t>
      </w:r>
      <w:proofErr w:type="gramStart"/>
      <w:r>
        <w:rPr>
          <w:rFonts w:ascii="Lato" w:hAnsi="Lato"/>
          <w:i/>
          <w:iCs/>
          <w:sz w:val="20"/>
        </w:rPr>
        <w:t>O</w:t>
      </w:r>
      <w:r w:rsidRPr="00BF58CA">
        <w:rPr>
          <w:rFonts w:ascii="Lato" w:hAnsi="Lato"/>
          <w:i/>
          <w:iCs/>
          <w:sz w:val="20"/>
        </w:rPr>
        <w:t>f</w:t>
      </w:r>
      <w:proofErr w:type="gramEnd"/>
      <w:r w:rsidRPr="00BF58CA">
        <w:rPr>
          <w:rFonts w:ascii="Lato" w:hAnsi="Lato"/>
          <w:i/>
          <w:iCs/>
          <w:sz w:val="20"/>
        </w:rPr>
        <w:t xml:space="preserve"> Proposed Variation </w:t>
      </w:r>
      <w:proofErr w:type="gramStart"/>
      <w:r>
        <w:rPr>
          <w:rFonts w:ascii="Lato" w:hAnsi="Lato"/>
          <w:i/>
          <w:iCs/>
          <w:sz w:val="20"/>
        </w:rPr>
        <w:t>O</w:t>
      </w:r>
      <w:r w:rsidRPr="00BF58CA">
        <w:rPr>
          <w:rFonts w:ascii="Lato" w:hAnsi="Lato"/>
          <w:i/>
          <w:iCs/>
          <w:sz w:val="20"/>
        </w:rPr>
        <w:t>f</w:t>
      </w:r>
      <w:proofErr w:type="gramEnd"/>
      <w:r w:rsidRPr="00BF58CA">
        <w:rPr>
          <w:rFonts w:ascii="Lato" w:hAnsi="Lato"/>
          <w:i/>
          <w:iCs/>
          <w:sz w:val="20"/>
        </w:rPr>
        <w:t xml:space="preserve"> Licence Conditions</w:t>
      </w:r>
      <w:r>
        <w:rPr>
          <w:rFonts w:ascii="Lato" w:hAnsi="Lato"/>
          <w:sz w:val="20"/>
        </w:rPr>
        <w:t xml:space="preserve"> pursuant to section 113 of the </w:t>
      </w:r>
      <w:r w:rsidRPr="00BF58CA">
        <w:rPr>
          <w:rFonts w:ascii="Lato" w:hAnsi="Lato"/>
          <w:i/>
          <w:iCs/>
          <w:sz w:val="20"/>
        </w:rPr>
        <w:t>Liquor Act 2019</w:t>
      </w:r>
      <w:r>
        <w:rPr>
          <w:rFonts w:ascii="Lato" w:hAnsi="Lato"/>
          <w:sz w:val="20"/>
        </w:rPr>
        <w:t xml:space="preserve"> (the Act), to 20 licensees who operate in and around the Alice Springs Central Business District.</w:t>
      </w:r>
    </w:p>
    <w:p w14:paraId="7C7829CE" w14:textId="77777777" w:rsidR="00BF58CA" w:rsidRDefault="00BF58CA" w:rsidP="004653EE">
      <w:pPr>
        <w:spacing w:line="240" w:lineRule="exact"/>
        <w:ind w:left="-709" w:right="-425"/>
        <w:jc w:val="both"/>
        <w:rPr>
          <w:rFonts w:ascii="Lato" w:hAnsi="Lato"/>
          <w:sz w:val="20"/>
        </w:rPr>
      </w:pPr>
    </w:p>
    <w:p w14:paraId="408AD81C" w14:textId="77777777" w:rsidR="00BF58CA" w:rsidRDefault="00BF58CA" w:rsidP="004653EE">
      <w:pPr>
        <w:spacing w:line="240" w:lineRule="exact"/>
        <w:ind w:left="-709" w:right="-425"/>
        <w:jc w:val="both"/>
        <w:rPr>
          <w:rFonts w:ascii="Lato" w:hAnsi="Lato"/>
          <w:sz w:val="20"/>
        </w:rPr>
      </w:pPr>
      <w:r>
        <w:rPr>
          <w:rFonts w:ascii="Lato" w:hAnsi="Lato"/>
          <w:sz w:val="20"/>
        </w:rPr>
        <w:t>The Commission proposed to vary the conditions of their licences to impose the below conditions:</w:t>
      </w:r>
    </w:p>
    <w:p w14:paraId="4DD5C085" w14:textId="77777777" w:rsidR="00BF58CA" w:rsidRDefault="00BF58CA" w:rsidP="004653EE">
      <w:pPr>
        <w:spacing w:line="240" w:lineRule="exact"/>
        <w:ind w:left="-709" w:right="-425"/>
        <w:jc w:val="both"/>
        <w:rPr>
          <w:rFonts w:ascii="Lato" w:hAnsi="Lato"/>
          <w:sz w:val="20"/>
        </w:rPr>
      </w:pPr>
    </w:p>
    <w:p w14:paraId="4CAB0F9A" w14:textId="7407A4F7" w:rsidR="000546C9" w:rsidRDefault="00BF58CA" w:rsidP="00AC61E1">
      <w:pPr>
        <w:pStyle w:val="ListParagraph"/>
        <w:numPr>
          <w:ilvl w:val="0"/>
          <w:numId w:val="15"/>
        </w:numPr>
        <w:spacing w:line="240" w:lineRule="exact"/>
        <w:ind w:right="-425"/>
        <w:jc w:val="both"/>
        <w:rPr>
          <w:rFonts w:ascii="Lato" w:hAnsi="Lato"/>
          <w:b/>
          <w:bCs/>
          <w:sz w:val="20"/>
        </w:rPr>
      </w:pPr>
      <w:r w:rsidRPr="00BF58CA">
        <w:rPr>
          <w:rFonts w:ascii="Lato" w:hAnsi="Lato"/>
          <w:b/>
          <w:bCs/>
          <w:sz w:val="20"/>
        </w:rPr>
        <w:t>Full-strength alcohol only with a full meal</w:t>
      </w:r>
    </w:p>
    <w:p w14:paraId="0CBCE33F" w14:textId="77777777" w:rsidR="00AC61E1" w:rsidRPr="00AC61E1" w:rsidRDefault="00AC61E1" w:rsidP="00AC61E1">
      <w:pPr>
        <w:pStyle w:val="ListParagraph"/>
        <w:spacing w:line="240" w:lineRule="exact"/>
        <w:ind w:left="-349" w:right="-425"/>
        <w:jc w:val="both"/>
        <w:rPr>
          <w:rFonts w:ascii="Lato" w:hAnsi="Lato"/>
          <w:b/>
          <w:bCs/>
          <w:sz w:val="20"/>
        </w:rPr>
      </w:pPr>
    </w:p>
    <w:p w14:paraId="1F956D76" w14:textId="0BC44A79" w:rsidR="0064360C" w:rsidRPr="0064360C" w:rsidRDefault="0064360C" w:rsidP="0064360C">
      <w:pPr>
        <w:pStyle w:val="ListParagraph"/>
        <w:jc w:val="both"/>
        <w:rPr>
          <w:rFonts w:ascii="Arial" w:hAnsi="Arial" w:cs="Arial"/>
          <w:b/>
          <w:bCs/>
          <w:sz w:val="20"/>
          <w:szCs w:val="20"/>
        </w:rPr>
      </w:pPr>
      <w:r w:rsidRPr="0064360C">
        <w:rPr>
          <w:rFonts w:ascii="Arial" w:hAnsi="Arial" w:cs="Arial"/>
          <w:b/>
          <w:bCs/>
          <w:sz w:val="20"/>
          <w:szCs w:val="20"/>
        </w:rPr>
        <w:t>Full-strength alcohol only with a full meal</w:t>
      </w:r>
    </w:p>
    <w:p w14:paraId="42951950" w14:textId="77777777" w:rsidR="0064360C" w:rsidRPr="0064360C" w:rsidRDefault="0064360C" w:rsidP="0064360C">
      <w:pPr>
        <w:pStyle w:val="ListParagraph"/>
        <w:ind w:left="360"/>
        <w:jc w:val="both"/>
        <w:rPr>
          <w:rFonts w:ascii="Arial" w:hAnsi="Arial" w:cs="Arial"/>
          <w:sz w:val="20"/>
          <w:szCs w:val="20"/>
        </w:rPr>
      </w:pPr>
    </w:p>
    <w:p w14:paraId="6CF8FCE8" w14:textId="77777777" w:rsidR="0064360C" w:rsidRPr="0064360C" w:rsidRDefault="0064360C" w:rsidP="0064360C">
      <w:pPr>
        <w:pStyle w:val="ListParagraph"/>
        <w:ind w:right="521"/>
        <w:jc w:val="both"/>
        <w:rPr>
          <w:rFonts w:ascii="Arial" w:hAnsi="Arial" w:cs="Arial"/>
          <w:sz w:val="20"/>
          <w:szCs w:val="20"/>
        </w:rPr>
      </w:pPr>
      <w:r w:rsidRPr="0064360C">
        <w:rPr>
          <w:rFonts w:ascii="Arial" w:hAnsi="Arial" w:cs="Arial"/>
          <w:sz w:val="20"/>
          <w:szCs w:val="20"/>
        </w:rPr>
        <w:t>From 1130 hours until 1500 hours on Wednesdays, Thursdays and Fridays, full-strength liquor must not be supplied, sold, served or consumed on the premises except when served with a full meal, as distinct from a light meal.</w:t>
      </w:r>
    </w:p>
    <w:p w14:paraId="270B513C" w14:textId="77777777" w:rsidR="0064360C" w:rsidRPr="0064360C" w:rsidRDefault="0064360C" w:rsidP="0064360C">
      <w:pPr>
        <w:pStyle w:val="ListParagraph"/>
        <w:ind w:right="521"/>
        <w:jc w:val="both"/>
        <w:rPr>
          <w:rFonts w:ascii="Arial" w:hAnsi="Arial" w:cs="Arial"/>
          <w:sz w:val="20"/>
          <w:szCs w:val="20"/>
        </w:rPr>
      </w:pPr>
    </w:p>
    <w:p w14:paraId="7838357F" w14:textId="77777777" w:rsidR="0064360C" w:rsidRPr="0064360C" w:rsidRDefault="0064360C" w:rsidP="0064360C">
      <w:pPr>
        <w:pStyle w:val="ListParagraph"/>
        <w:ind w:right="521"/>
        <w:jc w:val="both"/>
        <w:rPr>
          <w:rFonts w:ascii="Arial" w:hAnsi="Arial" w:cs="Arial"/>
          <w:sz w:val="20"/>
          <w:szCs w:val="20"/>
        </w:rPr>
      </w:pPr>
      <w:proofErr w:type="gramStart"/>
      <w:r w:rsidRPr="0064360C">
        <w:rPr>
          <w:rFonts w:ascii="Arial" w:hAnsi="Arial" w:cs="Arial"/>
          <w:sz w:val="20"/>
          <w:szCs w:val="20"/>
        </w:rPr>
        <w:t>For the purpose of</w:t>
      </w:r>
      <w:proofErr w:type="gramEnd"/>
      <w:r w:rsidRPr="0064360C">
        <w:rPr>
          <w:rFonts w:ascii="Arial" w:hAnsi="Arial" w:cs="Arial"/>
          <w:sz w:val="20"/>
          <w:szCs w:val="20"/>
        </w:rPr>
        <w:t xml:space="preserve"> this condition, the definitions of “full-strength”</w:t>
      </w:r>
      <w:r w:rsidRPr="0064360C">
        <w:rPr>
          <w:rStyle w:val="FootnoteReference"/>
          <w:rFonts w:ascii="Arial" w:eastAsia="Arial Unicode MS" w:hAnsi="Arial" w:cs="Arial"/>
          <w:sz w:val="20"/>
          <w:szCs w:val="20"/>
        </w:rPr>
        <w:footnoteReference w:id="1"/>
      </w:r>
      <w:r w:rsidRPr="0064360C">
        <w:rPr>
          <w:rFonts w:ascii="Arial" w:hAnsi="Arial" w:cs="Arial"/>
          <w:sz w:val="20"/>
          <w:szCs w:val="20"/>
        </w:rPr>
        <w:t>, “full meal”</w:t>
      </w:r>
      <w:r w:rsidRPr="0064360C">
        <w:rPr>
          <w:rStyle w:val="FootnoteReference"/>
          <w:rFonts w:ascii="Arial" w:eastAsia="Arial Unicode MS" w:hAnsi="Arial" w:cs="Arial"/>
          <w:sz w:val="20"/>
          <w:szCs w:val="20"/>
        </w:rPr>
        <w:footnoteReference w:id="2"/>
      </w:r>
      <w:r w:rsidRPr="0064360C">
        <w:rPr>
          <w:rFonts w:ascii="Arial" w:hAnsi="Arial" w:cs="Arial"/>
          <w:sz w:val="20"/>
          <w:szCs w:val="20"/>
        </w:rPr>
        <w:t xml:space="preserve"> and “light meal”</w:t>
      </w:r>
      <w:r w:rsidRPr="0064360C">
        <w:rPr>
          <w:rStyle w:val="FootnoteReference"/>
          <w:rFonts w:ascii="Arial" w:eastAsia="Arial Unicode MS" w:hAnsi="Arial" w:cs="Arial"/>
          <w:sz w:val="20"/>
          <w:szCs w:val="20"/>
        </w:rPr>
        <w:footnoteReference w:id="3"/>
      </w:r>
      <w:r w:rsidRPr="0064360C">
        <w:rPr>
          <w:rFonts w:ascii="Arial" w:hAnsi="Arial" w:cs="Arial"/>
          <w:sz w:val="20"/>
          <w:szCs w:val="20"/>
        </w:rPr>
        <w:t xml:space="preserve"> are as set out at reg 3 of the </w:t>
      </w:r>
      <w:r w:rsidRPr="0064360C">
        <w:rPr>
          <w:rFonts w:ascii="Arial" w:hAnsi="Arial" w:cs="Arial"/>
          <w:i/>
          <w:iCs/>
          <w:sz w:val="20"/>
          <w:szCs w:val="20"/>
        </w:rPr>
        <w:t>Liquor Regulations 2019</w:t>
      </w:r>
      <w:r w:rsidRPr="0064360C">
        <w:rPr>
          <w:rFonts w:ascii="Arial" w:hAnsi="Arial" w:cs="Arial"/>
          <w:sz w:val="20"/>
          <w:szCs w:val="20"/>
        </w:rPr>
        <w:t xml:space="preserve"> (NT) (</w:t>
      </w:r>
      <w:r w:rsidRPr="0064360C">
        <w:rPr>
          <w:rFonts w:ascii="Arial" w:hAnsi="Arial" w:cs="Arial"/>
          <w:b/>
          <w:bCs/>
          <w:sz w:val="20"/>
          <w:szCs w:val="20"/>
        </w:rPr>
        <w:t>the Regulations</w:t>
      </w:r>
      <w:r w:rsidRPr="0064360C">
        <w:rPr>
          <w:rFonts w:ascii="Arial" w:hAnsi="Arial" w:cs="Arial"/>
          <w:sz w:val="20"/>
          <w:szCs w:val="20"/>
        </w:rPr>
        <w:t>).</w:t>
      </w:r>
    </w:p>
    <w:p w14:paraId="1F694D03" w14:textId="77777777" w:rsidR="0064360C" w:rsidRPr="0064360C" w:rsidRDefault="0064360C" w:rsidP="0064360C">
      <w:pPr>
        <w:pStyle w:val="ListParagraph"/>
        <w:ind w:right="521"/>
        <w:jc w:val="both"/>
        <w:rPr>
          <w:rFonts w:ascii="Arial" w:hAnsi="Arial" w:cs="Arial"/>
          <w:sz w:val="20"/>
          <w:szCs w:val="20"/>
        </w:rPr>
      </w:pPr>
    </w:p>
    <w:p w14:paraId="25BC39F1" w14:textId="77777777" w:rsidR="0064360C" w:rsidRPr="0064360C" w:rsidRDefault="0064360C" w:rsidP="0064360C">
      <w:pPr>
        <w:pStyle w:val="ListParagraph"/>
        <w:ind w:right="521"/>
        <w:jc w:val="both"/>
        <w:rPr>
          <w:rFonts w:ascii="Arial" w:hAnsi="Arial" w:cs="Arial"/>
          <w:sz w:val="20"/>
          <w:szCs w:val="20"/>
        </w:rPr>
      </w:pPr>
      <w:r w:rsidRPr="0064360C">
        <w:rPr>
          <w:rFonts w:ascii="Arial" w:hAnsi="Arial" w:cs="Arial"/>
          <w:sz w:val="20"/>
          <w:szCs w:val="20"/>
        </w:rPr>
        <w:t xml:space="preserve">This condition does not apply to the sale, supply or service of full-strength liquor to: </w:t>
      </w:r>
    </w:p>
    <w:p w14:paraId="4107A1D3" w14:textId="77777777" w:rsidR="0064360C" w:rsidRPr="0064360C" w:rsidRDefault="0064360C" w:rsidP="0064360C">
      <w:pPr>
        <w:pStyle w:val="ListParagraph"/>
        <w:ind w:right="521"/>
        <w:jc w:val="both"/>
        <w:rPr>
          <w:rFonts w:ascii="Arial" w:hAnsi="Arial" w:cs="Arial"/>
          <w:sz w:val="20"/>
          <w:szCs w:val="20"/>
        </w:rPr>
      </w:pPr>
    </w:p>
    <w:p w14:paraId="5CD7FC3C" w14:textId="77777777" w:rsidR="0064360C" w:rsidRPr="0064360C" w:rsidRDefault="0064360C" w:rsidP="0064360C">
      <w:pPr>
        <w:pStyle w:val="ListParagraph"/>
        <w:numPr>
          <w:ilvl w:val="0"/>
          <w:numId w:val="23"/>
        </w:numPr>
        <w:pBdr>
          <w:top w:val="nil"/>
          <w:left w:val="nil"/>
          <w:bottom w:val="nil"/>
          <w:right w:val="nil"/>
          <w:between w:val="nil"/>
          <w:bar w:val="nil"/>
        </w:pBdr>
        <w:spacing w:after="0" w:line="240" w:lineRule="auto"/>
        <w:ind w:right="521"/>
        <w:jc w:val="both"/>
        <w:rPr>
          <w:rFonts w:ascii="Arial" w:hAnsi="Arial" w:cs="Arial"/>
          <w:sz w:val="20"/>
          <w:szCs w:val="20"/>
        </w:rPr>
      </w:pPr>
      <w:r w:rsidRPr="0064360C">
        <w:rPr>
          <w:rFonts w:ascii="Arial" w:hAnsi="Arial" w:cs="Arial"/>
          <w:sz w:val="20"/>
          <w:szCs w:val="20"/>
        </w:rPr>
        <w:t xml:space="preserve">a bona-fide lodger or paying guest staying at the licensee’s </w:t>
      </w:r>
      <w:proofErr w:type="gramStart"/>
      <w:r w:rsidRPr="0064360C">
        <w:rPr>
          <w:rFonts w:ascii="Arial" w:hAnsi="Arial" w:cs="Arial"/>
          <w:sz w:val="20"/>
          <w:szCs w:val="20"/>
        </w:rPr>
        <w:t>accommodations</w:t>
      </w:r>
      <w:proofErr w:type="gramEnd"/>
      <w:r w:rsidRPr="0064360C">
        <w:rPr>
          <w:rFonts w:ascii="Arial" w:hAnsi="Arial" w:cs="Arial"/>
          <w:sz w:val="20"/>
          <w:szCs w:val="20"/>
        </w:rPr>
        <w:t>, including by way of the following methods:</w:t>
      </w:r>
    </w:p>
    <w:p w14:paraId="64F468CE" w14:textId="77777777" w:rsidR="0064360C" w:rsidRPr="0064360C" w:rsidRDefault="0064360C" w:rsidP="0064360C">
      <w:pPr>
        <w:pStyle w:val="ListParagraph"/>
        <w:ind w:right="521"/>
        <w:jc w:val="both"/>
        <w:rPr>
          <w:rFonts w:ascii="Arial" w:hAnsi="Arial" w:cs="Arial"/>
          <w:sz w:val="20"/>
          <w:szCs w:val="20"/>
        </w:rPr>
      </w:pPr>
    </w:p>
    <w:p w14:paraId="0F658CF7" w14:textId="77777777" w:rsidR="0064360C" w:rsidRPr="0064360C" w:rsidRDefault="0064360C" w:rsidP="0064360C">
      <w:pPr>
        <w:pStyle w:val="ListParagraph"/>
        <w:numPr>
          <w:ilvl w:val="1"/>
          <w:numId w:val="23"/>
        </w:numPr>
        <w:pBdr>
          <w:top w:val="nil"/>
          <w:left w:val="nil"/>
          <w:bottom w:val="nil"/>
          <w:right w:val="nil"/>
          <w:between w:val="nil"/>
          <w:bar w:val="nil"/>
        </w:pBdr>
        <w:spacing w:after="0" w:line="240" w:lineRule="auto"/>
        <w:ind w:right="521"/>
        <w:jc w:val="both"/>
        <w:rPr>
          <w:rFonts w:ascii="Arial" w:hAnsi="Arial" w:cs="Arial"/>
          <w:sz w:val="20"/>
          <w:szCs w:val="20"/>
        </w:rPr>
      </w:pPr>
      <w:r w:rsidRPr="0064360C">
        <w:rPr>
          <w:rFonts w:ascii="Arial" w:hAnsi="Arial" w:cs="Arial"/>
          <w:sz w:val="20"/>
          <w:szCs w:val="20"/>
        </w:rPr>
        <w:t>a minibar stocked with liquor in the guest’s room or unit;</w:t>
      </w:r>
    </w:p>
    <w:p w14:paraId="45DDA94F" w14:textId="77777777" w:rsidR="0064360C" w:rsidRPr="0064360C" w:rsidRDefault="0064360C" w:rsidP="0064360C">
      <w:pPr>
        <w:pStyle w:val="ListParagraph"/>
        <w:ind w:left="1800" w:right="521"/>
        <w:jc w:val="both"/>
        <w:rPr>
          <w:rFonts w:ascii="Arial" w:hAnsi="Arial" w:cs="Arial"/>
          <w:sz w:val="20"/>
          <w:szCs w:val="20"/>
        </w:rPr>
      </w:pPr>
    </w:p>
    <w:p w14:paraId="63B523C6" w14:textId="77777777" w:rsidR="0064360C" w:rsidRPr="0064360C" w:rsidRDefault="0064360C" w:rsidP="0064360C">
      <w:pPr>
        <w:pStyle w:val="ListParagraph"/>
        <w:numPr>
          <w:ilvl w:val="1"/>
          <w:numId w:val="23"/>
        </w:numPr>
        <w:pBdr>
          <w:top w:val="nil"/>
          <w:left w:val="nil"/>
          <w:bottom w:val="nil"/>
          <w:right w:val="nil"/>
          <w:between w:val="nil"/>
          <w:bar w:val="nil"/>
        </w:pBdr>
        <w:spacing w:after="0" w:line="240" w:lineRule="auto"/>
        <w:ind w:right="521"/>
        <w:jc w:val="both"/>
        <w:rPr>
          <w:rFonts w:ascii="Arial" w:hAnsi="Arial" w:cs="Arial"/>
          <w:sz w:val="20"/>
          <w:szCs w:val="20"/>
        </w:rPr>
      </w:pPr>
      <w:r w:rsidRPr="0064360C">
        <w:rPr>
          <w:rFonts w:ascii="Arial" w:hAnsi="Arial" w:cs="Arial"/>
          <w:sz w:val="20"/>
          <w:szCs w:val="20"/>
        </w:rPr>
        <w:t>room service of liquor delivered to the guest’s room or unit;</w:t>
      </w:r>
    </w:p>
    <w:p w14:paraId="372A483C" w14:textId="77777777" w:rsidR="0064360C" w:rsidRPr="0064360C" w:rsidRDefault="0064360C" w:rsidP="0064360C">
      <w:pPr>
        <w:pStyle w:val="ListParagraph"/>
        <w:rPr>
          <w:rFonts w:ascii="Arial" w:hAnsi="Arial" w:cs="Arial"/>
          <w:sz w:val="20"/>
          <w:szCs w:val="20"/>
        </w:rPr>
      </w:pPr>
    </w:p>
    <w:p w14:paraId="6C21EF73" w14:textId="77777777" w:rsidR="0064360C" w:rsidRPr="0064360C" w:rsidRDefault="0064360C" w:rsidP="0064360C">
      <w:pPr>
        <w:pStyle w:val="ListParagraph"/>
        <w:numPr>
          <w:ilvl w:val="0"/>
          <w:numId w:val="23"/>
        </w:numPr>
        <w:pBdr>
          <w:top w:val="nil"/>
          <w:left w:val="nil"/>
          <w:bottom w:val="nil"/>
          <w:right w:val="nil"/>
          <w:between w:val="nil"/>
          <w:bar w:val="nil"/>
        </w:pBdr>
        <w:spacing w:after="0" w:line="240" w:lineRule="auto"/>
        <w:ind w:right="521"/>
        <w:jc w:val="both"/>
        <w:rPr>
          <w:rFonts w:ascii="Arial" w:hAnsi="Arial" w:cs="Arial"/>
          <w:sz w:val="20"/>
          <w:szCs w:val="20"/>
        </w:rPr>
      </w:pPr>
      <w:r w:rsidRPr="0064360C">
        <w:rPr>
          <w:rFonts w:ascii="Arial" w:hAnsi="Arial" w:cs="Arial"/>
          <w:sz w:val="20"/>
          <w:szCs w:val="20"/>
        </w:rPr>
        <w:t xml:space="preserve">members of a group of at least four </w:t>
      </w:r>
      <w:proofErr w:type="gramStart"/>
      <w:r w:rsidRPr="0064360C">
        <w:rPr>
          <w:rFonts w:ascii="Arial" w:hAnsi="Arial" w:cs="Arial"/>
          <w:sz w:val="20"/>
          <w:szCs w:val="20"/>
        </w:rPr>
        <w:t>persons</w:t>
      </w:r>
      <w:proofErr w:type="gramEnd"/>
      <w:r w:rsidRPr="0064360C">
        <w:rPr>
          <w:rFonts w:ascii="Arial" w:hAnsi="Arial" w:cs="Arial"/>
          <w:sz w:val="20"/>
          <w:szCs w:val="20"/>
        </w:rPr>
        <w:t xml:space="preserve"> who have ordered food to be shared between them, are consuming food on the premises at a table or </w:t>
      </w:r>
      <w:proofErr w:type="gramStart"/>
      <w:r w:rsidRPr="0064360C">
        <w:rPr>
          <w:rFonts w:ascii="Arial" w:hAnsi="Arial" w:cs="Arial"/>
          <w:sz w:val="20"/>
          <w:szCs w:val="20"/>
        </w:rPr>
        <w:t>counter, and</w:t>
      </w:r>
      <w:proofErr w:type="gramEnd"/>
      <w:r w:rsidRPr="0064360C">
        <w:rPr>
          <w:rFonts w:ascii="Arial" w:hAnsi="Arial" w:cs="Arial"/>
          <w:sz w:val="20"/>
          <w:szCs w:val="20"/>
        </w:rPr>
        <w:t xml:space="preserve"> are seated while consuming liquor. </w:t>
      </w:r>
    </w:p>
    <w:p w14:paraId="628899EA" w14:textId="6CEBFDD2" w:rsidR="00BF58CA" w:rsidRPr="0064360C" w:rsidRDefault="00BF58CA" w:rsidP="0064360C">
      <w:pPr>
        <w:pStyle w:val="ListParagraph"/>
        <w:jc w:val="both"/>
        <w:rPr>
          <w:rFonts w:ascii="Lato" w:hAnsi="Lato"/>
          <w:sz w:val="18"/>
          <w:szCs w:val="18"/>
        </w:rPr>
      </w:pPr>
    </w:p>
    <w:p w14:paraId="20FA0CE3" w14:textId="77777777" w:rsidR="00BF58CA" w:rsidRPr="00E50E0B" w:rsidRDefault="00BF58CA" w:rsidP="00BF58CA">
      <w:pPr>
        <w:pStyle w:val="ListParagraph"/>
        <w:numPr>
          <w:ilvl w:val="0"/>
          <w:numId w:val="15"/>
        </w:numPr>
        <w:spacing w:line="240" w:lineRule="exact"/>
        <w:ind w:right="-425"/>
        <w:jc w:val="both"/>
        <w:rPr>
          <w:rFonts w:ascii="Lato" w:hAnsi="Lato"/>
          <w:b/>
          <w:bCs/>
          <w:sz w:val="20"/>
          <w:szCs w:val="20"/>
        </w:rPr>
      </w:pPr>
      <w:r w:rsidRPr="00E50E0B">
        <w:rPr>
          <w:rFonts w:ascii="Lato" w:hAnsi="Lato"/>
          <w:b/>
          <w:bCs/>
          <w:sz w:val="20"/>
          <w:szCs w:val="20"/>
        </w:rPr>
        <w:t>On-premises identification system</w:t>
      </w:r>
    </w:p>
    <w:p w14:paraId="7311FCB2" w14:textId="77777777" w:rsidR="00941266" w:rsidRPr="00E50E0B" w:rsidRDefault="00941266" w:rsidP="00941266">
      <w:pPr>
        <w:pStyle w:val="ListParagraph"/>
        <w:spacing w:line="240" w:lineRule="exact"/>
        <w:ind w:left="-349" w:right="-425"/>
        <w:jc w:val="both"/>
        <w:rPr>
          <w:rFonts w:ascii="Lato" w:hAnsi="Lato"/>
          <w:b/>
          <w:bCs/>
          <w:sz w:val="20"/>
          <w:szCs w:val="20"/>
        </w:rPr>
      </w:pPr>
    </w:p>
    <w:p w14:paraId="282A5E0E" w14:textId="77777777" w:rsidR="00E50E0B" w:rsidRPr="00E50E0B" w:rsidRDefault="00E50E0B" w:rsidP="00AC61E1">
      <w:pPr>
        <w:pStyle w:val="ListParagraph"/>
        <w:pBdr>
          <w:top w:val="nil"/>
          <w:left w:val="nil"/>
          <w:bottom w:val="nil"/>
          <w:right w:val="nil"/>
          <w:between w:val="nil"/>
          <w:bar w:val="nil"/>
        </w:pBdr>
        <w:spacing w:after="0" w:line="240" w:lineRule="auto"/>
        <w:ind w:left="360"/>
        <w:jc w:val="both"/>
        <w:rPr>
          <w:rFonts w:ascii="Lato" w:hAnsi="Lato" w:cs="Arial"/>
          <w:sz w:val="20"/>
          <w:szCs w:val="20"/>
        </w:rPr>
      </w:pPr>
      <w:bookmarkStart w:id="0" w:name="_Ref213688223"/>
      <w:r w:rsidRPr="00E50E0B">
        <w:rPr>
          <w:rFonts w:ascii="Lato" w:hAnsi="Lato" w:cs="Arial"/>
          <w:sz w:val="20"/>
          <w:szCs w:val="20"/>
        </w:rPr>
        <w:t xml:space="preserve">The Commission proposes </w:t>
      </w:r>
      <w:proofErr w:type="gramStart"/>
      <w:r w:rsidRPr="00E50E0B">
        <w:rPr>
          <w:rFonts w:ascii="Lato" w:hAnsi="Lato" w:cs="Arial"/>
          <w:sz w:val="20"/>
          <w:szCs w:val="20"/>
        </w:rPr>
        <w:t>to vary</w:t>
      </w:r>
      <w:proofErr w:type="gramEnd"/>
      <w:r w:rsidRPr="00E50E0B">
        <w:rPr>
          <w:rFonts w:ascii="Lato" w:hAnsi="Lato" w:cs="Arial"/>
          <w:sz w:val="20"/>
          <w:szCs w:val="20"/>
        </w:rPr>
        <w:t xml:space="preserve"> the conditions of Todd Tavern, The NT Rock Bar, Bojangles Saloon and Dining Room, and Uncles Tavern (</w:t>
      </w:r>
      <w:r w:rsidRPr="00E50E0B">
        <w:rPr>
          <w:rFonts w:ascii="Lato" w:hAnsi="Lato" w:cs="Arial"/>
          <w:b/>
          <w:bCs/>
          <w:sz w:val="20"/>
          <w:szCs w:val="20"/>
        </w:rPr>
        <w:t xml:space="preserve">the nominated </w:t>
      </w:r>
      <w:proofErr w:type="spellStart"/>
      <w:r w:rsidRPr="00E50E0B">
        <w:rPr>
          <w:rFonts w:ascii="Lato" w:hAnsi="Lato" w:cs="Arial"/>
          <w:b/>
          <w:bCs/>
          <w:sz w:val="20"/>
          <w:szCs w:val="20"/>
        </w:rPr>
        <w:t>licences</w:t>
      </w:r>
      <w:proofErr w:type="spellEnd"/>
      <w:r w:rsidRPr="00E50E0B">
        <w:rPr>
          <w:rFonts w:ascii="Lato" w:hAnsi="Lato" w:cs="Arial"/>
          <w:sz w:val="20"/>
          <w:szCs w:val="20"/>
        </w:rPr>
        <w:t>) by inserting the following condition:</w:t>
      </w:r>
      <w:bookmarkEnd w:id="0"/>
    </w:p>
    <w:p w14:paraId="7C6704C4" w14:textId="77777777" w:rsidR="00E50E0B" w:rsidRPr="00E50E0B" w:rsidRDefault="00E50E0B" w:rsidP="00E50E0B">
      <w:pPr>
        <w:pStyle w:val="ListParagraph"/>
        <w:jc w:val="both"/>
        <w:rPr>
          <w:rFonts w:ascii="Lato" w:hAnsi="Lato" w:cs="Arial"/>
          <w:b/>
          <w:bCs/>
          <w:sz w:val="20"/>
          <w:szCs w:val="20"/>
        </w:rPr>
      </w:pPr>
    </w:p>
    <w:p w14:paraId="45E986F1" w14:textId="77777777" w:rsidR="0064360C" w:rsidRPr="0064360C" w:rsidRDefault="0064360C" w:rsidP="0064360C">
      <w:pPr>
        <w:pStyle w:val="ListParagraph"/>
        <w:jc w:val="both"/>
        <w:rPr>
          <w:rFonts w:ascii="Lato" w:hAnsi="Lato" w:cs="Arial"/>
          <w:b/>
          <w:bCs/>
          <w:sz w:val="20"/>
          <w:szCs w:val="20"/>
        </w:rPr>
      </w:pPr>
      <w:r w:rsidRPr="0064360C">
        <w:rPr>
          <w:rFonts w:ascii="Lato" w:hAnsi="Lato" w:cs="Arial"/>
          <w:b/>
          <w:bCs/>
          <w:sz w:val="20"/>
          <w:szCs w:val="20"/>
        </w:rPr>
        <w:t>On-premises identification system</w:t>
      </w:r>
    </w:p>
    <w:p w14:paraId="2AEAB893" w14:textId="77777777" w:rsidR="0064360C" w:rsidRPr="0064360C" w:rsidRDefault="0064360C" w:rsidP="0064360C">
      <w:pPr>
        <w:jc w:val="both"/>
        <w:rPr>
          <w:rFonts w:ascii="Lato" w:hAnsi="Lato" w:cs="Arial"/>
          <w:sz w:val="20"/>
        </w:rPr>
      </w:pPr>
    </w:p>
    <w:p w14:paraId="09B79DE5" w14:textId="77777777" w:rsidR="0064360C" w:rsidRPr="0064360C" w:rsidRDefault="0064360C" w:rsidP="0064360C">
      <w:pPr>
        <w:pStyle w:val="ListParagraph"/>
        <w:numPr>
          <w:ilvl w:val="0"/>
          <w:numId w:val="21"/>
        </w:numPr>
        <w:pBdr>
          <w:top w:val="nil"/>
          <w:left w:val="nil"/>
          <w:bottom w:val="nil"/>
          <w:right w:val="nil"/>
          <w:between w:val="nil"/>
          <w:bar w:val="nil"/>
        </w:pBdr>
        <w:spacing w:after="0" w:line="240" w:lineRule="auto"/>
        <w:ind w:right="521"/>
        <w:jc w:val="both"/>
        <w:rPr>
          <w:rFonts w:ascii="Lato" w:hAnsi="Lato" w:cs="Arial"/>
          <w:sz w:val="20"/>
          <w:szCs w:val="20"/>
        </w:rPr>
      </w:pPr>
      <w:r w:rsidRPr="0064360C">
        <w:rPr>
          <w:rFonts w:ascii="Lato" w:hAnsi="Lato" w:cs="Arial"/>
          <w:sz w:val="20"/>
          <w:szCs w:val="20"/>
        </w:rPr>
        <w:t>The licensee must establish an identification system (</w:t>
      </w:r>
      <w:r w:rsidRPr="0064360C">
        <w:rPr>
          <w:rFonts w:ascii="Lato" w:hAnsi="Lato" w:cs="Arial"/>
          <w:b/>
          <w:bCs/>
          <w:sz w:val="20"/>
          <w:szCs w:val="20"/>
        </w:rPr>
        <w:t>the on-premises identification system</w:t>
      </w:r>
      <w:r w:rsidRPr="0064360C">
        <w:rPr>
          <w:rFonts w:ascii="Lato" w:hAnsi="Lato" w:cs="Arial"/>
          <w:sz w:val="20"/>
          <w:szCs w:val="20"/>
        </w:rPr>
        <w:t>) to determine whether a person:</w:t>
      </w:r>
    </w:p>
    <w:p w14:paraId="64312066" w14:textId="77777777" w:rsidR="0064360C" w:rsidRPr="0064360C" w:rsidRDefault="0064360C" w:rsidP="0064360C">
      <w:pPr>
        <w:pStyle w:val="ListParagraph"/>
        <w:ind w:left="1080" w:right="521"/>
        <w:jc w:val="both"/>
        <w:rPr>
          <w:rFonts w:ascii="Lato" w:hAnsi="Lato" w:cs="Arial"/>
          <w:sz w:val="20"/>
          <w:szCs w:val="20"/>
        </w:rPr>
      </w:pPr>
    </w:p>
    <w:p w14:paraId="4BB4CA76" w14:textId="77777777" w:rsidR="0064360C" w:rsidRPr="0064360C" w:rsidRDefault="0064360C" w:rsidP="0064360C">
      <w:pPr>
        <w:pStyle w:val="ListParagraph"/>
        <w:numPr>
          <w:ilvl w:val="1"/>
          <w:numId w:val="19"/>
        </w:numPr>
        <w:pBdr>
          <w:top w:val="nil"/>
          <w:left w:val="nil"/>
          <w:bottom w:val="nil"/>
          <w:right w:val="nil"/>
          <w:between w:val="nil"/>
          <w:bar w:val="nil"/>
        </w:pBdr>
        <w:spacing w:after="0" w:line="240" w:lineRule="auto"/>
        <w:ind w:right="521"/>
        <w:jc w:val="both"/>
        <w:rPr>
          <w:rFonts w:ascii="Lato" w:hAnsi="Lato" w:cs="Arial"/>
          <w:sz w:val="20"/>
          <w:szCs w:val="20"/>
        </w:rPr>
      </w:pPr>
      <w:r w:rsidRPr="0064360C">
        <w:rPr>
          <w:rFonts w:ascii="Lato" w:hAnsi="Lato" w:cs="Arial"/>
          <w:sz w:val="20"/>
          <w:szCs w:val="20"/>
        </w:rPr>
        <w:t xml:space="preserve"> is prohibited from purchasing or consuming liquor by:</w:t>
      </w:r>
    </w:p>
    <w:p w14:paraId="71C7EFCC" w14:textId="77777777" w:rsidR="0064360C" w:rsidRPr="0064360C" w:rsidRDefault="0064360C" w:rsidP="0064360C">
      <w:pPr>
        <w:pStyle w:val="ListParagraph"/>
        <w:ind w:left="1080" w:right="521"/>
        <w:jc w:val="both"/>
        <w:rPr>
          <w:rFonts w:ascii="Lato" w:hAnsi="Lato" w:cs="Arial"/>
          <w:sz w:val="20"/>
          <w:szCs w:val="20"/>
        </w:rPr>
      </w:pPr>
    </w:p>
    <w:p w14:paraId="1E476AA2" w14:textId="77777777" w:rsidR="0064360C" w:rsidRPr="0064360C" w:rsidRDefault="0064360C" w:rsidP="0064360C">
      <w:pPr>
        <w:pStyle w:val="ListParagraph"/>
        <w:numPr>
          <w:ilvl w:val="0"/>
          <w:numId w:val="20"/>
        </w:numPr>
        <w:pBdr>
          <w:top w:val="nil"/>
          <w:left w:val="nil"/>
          <w:bottom w:val="nil"/>
          <w:right w:val="nil"/>
          <w:between w:val="nil"/>
          <w:bar w:val="nil"/>
        </w:pBdr>
        <w:spacing w:after="0" w:line="240" w:lineRule="auto"/>
        <w:ind w:left="2552" w:right="521" w:hanging="567"/>
        <w:jc w:val="both"/>
        <w:rPr>
          <w:rFonts w:ascii="Lato" w:hAnsi="Lato" w:cs="Arial"/>
          <w:sz w:val="20"/>
          <w:szCs w:val="20"/>
        </w:rPr>
      </w:pPr>
      <w:r w:rsidRPr="0064360C">
        <w:rPr>
          <w:rFonts w:ascii="Lato" w:hAnsi="Lato" w:cs="Arial"/>
          <w:sz w:val="20"/>
          <w:szCs w:val="20"/>
        </w:rPr>
        <w:t xml:space="preserve">a banned drinker order (BDO) or court order under the </w:t>
      </w:r>
      <w:r w:rsidRPr="0064360C">
        <w:rPr>
          <w:rFonts w:ascii="Lato" w:hAnsi="Lato" w:cs="Arial"/>
          <w:i/>
          <w:iCs/>
          <w:sz w:val="20"/>
          <w:szCs w:val="20"/>
        </w:rPr>
        <w:t>Alcohol Harm Reduction Act 2017</w:t>
      </w:r>
    </w:p>
    <w:p w14:paraId="34D296B4" w14:textId="77777777" w:rsidR="0064360C" w:rsidRPr="0064360C" w:rsidRDefault="0064360C" w:rsidP="0064360C">
      <w:pPr>
        <w:pStyle w:val="ListParagraph"/>
        <w:ind w:left="2552" w:right="521" w:hanging="567"/>
        <w:jc w:val="both"/>
        <w:rPr>
          <w:rFonts w:ascii="Lato" w:hAnsi="Lato" w:cs="Arial"/>
          <w:sz w:val="20"/>
          <w:szCs w:val="20"/>
        </w:rPr>
      </w:pPr>
    </w:p>
    <w:p w14:paraId="0DEC46AB" w14:textId="77777777" w:rsidR="0064360C" w:rsidRPr="0064360C" w:rsidRDefault="0064360C" w:rsidP="0064360C">
      <w:pPr>
        <w:pStyle w:val="ListParagraph"/>
        <w:numPr>
          <w:ilvl w:val="0"/>
          <w:numId w:val="20"/>
        </w:numPr>
        <w:pBdr>
          <w:top w:val="nil"/>
          <w:left w:val="nil"/>
          <w:bottom w:val="nil"/>
          <w:right w:val="nil"/>
          <w:between w:val="nil"/>
          <w:bar w:val="nil"/>
        </w:pBdr>
        <w:spacing w:after="0" w:line="240" w:lineRule="auto"/>
        <w:ind w:left="2552" w:right="521" w:hanging="567"/>
        <w:jc w:val="both"/>
        <w:rPr>
          <w:rFonts w:ascii="Lato" w:hAnsi="Lato" w:cs="Arial"/>
          <w:sz w:val="20"/>
          <w:szCs w:val="20"/>
        </w:rPr>
      </w:pPr>
      <w:r w:rsidRPr="0064360C">
        <w:rPr>
          <w:rFonts w:ascii="Lato" w:hAnsi="Lato" w:cs="Arial"/>
          <w:sz w:val="20"/>
          <w:szCs w:val="20"/>
        </w:rPr>
        <w:lastRenderedPageBreak/>
        <w:t xml:space="preserve">a bail condition imposed under the </w:t>
      </w:r>
      <w:r w:rsidRPr="0064360C">
        <w:rPr>
          <w:rFonts w:ascii="Lato" w:hAnsi="Lato" w:cs="Arial"/>
          <w:i/>
          <w:iCs/>
          <w:sz w:val="20"/>
          <w:szCs w:val="20"/>
        </w:rPr>
        <w:t>Bail Act 1982</w:t>
      </w:r>
      <w:r w:rsidRPr="0064360C">
        <w:rPr>
          <w:rFonts w:ascii="Lato" w:hAnsi="Lato" w:cs="Arial"/>
          <w:sz w:val="20"/>
          <w:szCs w:val="20"/>
        </w:rPr>
        <w:t>, other than Part 3 of that Act;</w:t>
      </w:r>
    </w:p>
    <w:p w14:paraId="3C5FC857" w14:textId="77777777" w:rsidR="0064360C" w:rsidRPr="0064360C" w:rsidRDefault="0064360C" w:rsidP="0064360C">
      <w:pPr>
        <w:ind w:left="2552" w:right="521" w:hanging="567"/>
        <w:jc w:val="both"/>
        <w:rPr>
          <w:rFonts w:ascii="Lato" w:hAnsi="Lato" w:cs="Arial"/>
          <w:sz w:val="20"/>
        </w:rPr>
      </w:pPr>
    </w:p>
    <w:p w14:paraId="4195909D" w14:textId="77777777" w:rsidR="0064360C" w:rsidRPr="0064360C" w:rsidRDefault="0064360C" w:rsidP="0064360C">
      <w:pPr>
        <w:pStyle w:val="ListParagraph"/>
        <w:numPr>
          <w:ilvl w:val="0"/>
          <w:numId w:val="20"/>
        </w:numPr>
        <w:pBdr>
          <w:top w:val="nil"/>
          <w:left w:val="nil"/>
          <w:bottom w:val="nil"/>
          <w:right w:val="nil"/>
          <w:between w:val="nil"/>
          <w:bar w:val="nil"/>
        </w:pBdr>
        <w:spacing w:after="0" w:line="240" w:lineRule="auto"/>
        <w:ind w:left="2552" w:right="521" w:hanging="567"/>
        <w:jc w:val="both"/>
        <w:rPr>
          <w:rFonts w:ascii="Lato" w:hAnsi="Lato" w:cs="Arial"/>
          <w:sz w:val="20"/>
          <w:szCs w:val="20"/>
        </w:rPr>
      </w:pPr>
      <w:r w:rsidRPr="0064360C">
        <w:rPr>
          <w:rFonts w:ascii="Lato" w:hAnsi="Lato" w:cs="Arial"/>
          <w:sz w:val="20"/>
          <w:szCs w:val="20"/>
        </w:rPr>
        <w:t xml:space="preserve">a court order under the </w:t>
      </w:r>
      <w:r w:rsidRPr="0064360C">
        <w:rPr>
          <w:rFonts w:ascii="Lato" w:hAnsi="Lato" w:cs="Arial"/>
          <w:i/>
          <w:iCs/>
          <w:sz w:val="20"/>
          <w:szCs w:val="20"/>
        </w:rPr>
        <w:t>Domestic and Family Violence Act 2007</w:t>
      </w:r>
      <w:r w:rsidRPr="0064360C">
        <w:rPr>
          <w:rFonts w:ascii="Lato" w:hAnsi="Lato" w:cs="Arial"/>
          <w:sz w:val="20"/>
          <w:szCs w:val="20"/>
        </w:rPr>
        <w:t>;</w:t>
      </w:r>
    </w:p>
    <w:p w14:paraId="21D9BD2A" w14:textId="77777777" w:rsidR="0064360C" w:rsidRPr="0064360C" w:rsidRDefault="0064360C" w:rsidP="0064360C">
      <w:pPr>
        <w:pStyle w:val="ListParagraph"/>
        <w:rPr>
          <w:rFonts w:ascii="Lato" w:hAnsi="Lato" w:cs="Arial"/>
          <w:sz w:val="20"/>
          <w:szCs w:val="20"/>
        </w:rPr>
      </w:pPr>
    </w:p>
    <w:p w14:paraId="393ABDD7" w14:textId="77777777" w:rsidR="0064360C" w:rsidRPr="0064360C" w:rsidRDefault="0064360C" w:rsidP="0064360C">
      <w:pPr>
        <w:pStyle w:val="ListParagraph"/>
        <w:numPr>
          <w:ilvl w:val="0"/>
          <w:numId w:val="20"/>
        </w:numPr>
        <w:pBdr>
          <w:top w:val="nil"/>
          <w:left w:val="nil"/>
          <w:bottom w:val="nil"/>
          <w:right w:val="nil"/>
          <w:between w:val="nil"/>
          <w:bar w:val="nil"/>
        </w:pBdr>
        <w:spacing w:after="0" w:line="240" w:lineRule="auto"/>
        <w:ind w:left="2552" w:right="521" w:hanging="567"/>
        <w:jc w:val="both"/>
        <w:rPr>
          <w:rFonts w:ascii="Lato" w:hAnsi="Lato" w:cs="Arial"/>
          <w:sz w:val="20"/>
          <w:szCs w:val="20"/>
        </w:rPr>
      </w:pPr>
      <w:r w:rsidRPr="0064360C">
        <w:rPr>
          <w:rFonts w:ascii="Lato" w:hAnsi="Lato" w:cs="Arial"/>
          <w:sz w:val="20"/>
          <w:szCs w:val="20"/>
        </w:rPr>
        <w:t xml:space="preserve">a banning notice imposed under s 212 of the </w:t>
      </w:r>
      <w:r w:rsidRPr="0064360C">
        <w:rPr>
          <w:rFonts w:ascii="Lato" w:hAnsi="Lato" w:cs="Arial"/>
          <w:i/>
          <w:iCs/>
          <w:sz w:val="20"/>
          <w:szCs w:val="20"/>
        </w:rPr>
        <w:t>Liquor Act 2019</w:t>
      </w:r>
      <w:r w:rsidRPr="0064360C">
        <w:rPr>
          <w:rFonts w:ascii="Lato" w:hAnsi="Lato" w:cs="Arial"/>
          <w:sz w:val="20"/>
          <w:szCs w:val="20"/>
        </w:rPr>
        <w:t>;</w:t>
      </w:r>
    </w:p>
    <w:p w14:paraId="1D91A2D2" w14:textId="77777777" w:rsidR="0064360C" w:rsidRPr="0064360C" w:rsidRDefault="0064360C" w:rsidP="0064360C">
      <w:pPr>
        <w:pStyle w:val="ListParagraph"/>
        <w:rPr>
          <w:rFonts w:ascii="Lato" w:hAnsi="Lato" w:cs="Arial"/>
          <w:sz w:val="20"/>
          <w:szCs w:val="20"/>
        </w:rPr>
      </w:pPr>
    </w:p>
    <w:p w14:paraId="7720113A" w14:textId="77777777" w:rsidR="0064360C" w:rsidRPr="0064360C" w:rsidRDefault="0064360C" w:rsidP="0064360C">
      <w:pPr>
        <w:pStyle w:val="ListParagraph"/>
        <w:numPr>
          <w:ilvl w:val="0"/>
          <w:numId w:val="20"/>
        </w:numPr>
        <w:pBdr>
          <w:top w:val="nil"/>
          <w:left w:val="nil"/>
          <w:bottom w:val="nil"/>
          <w:right w:val="nil"/>
          <w:between w:val="nil"/>
          <w:bar w:val="nil"/>
        </w:pBdr>
        <w:spacing w:after="0" w:line="240" w:lineRule="auto"/>
        <w:ind w:left="2552" w:right="521" w:hanging="567"/>
        <w:jc w:val="both"/>
        <w:rPr>
          <w:rFonts w:ascii="Lato" w:hAnsi="Lato" w:cs="Arial"/>
          <w:sz w:val="20"/>
          <w:szCs w:val="20"/>
        </w:rPr>
      </w:pPr>
      <w:r w:rsidRPr="0064360C">
        <w:rPr>
          <w:rFonts w:ascii="Lato" w:hAnsi="Lato" w:cs="Arial"/>
          <w:sz w:val="20"/>
          <w:szCs w:val="20"/>
        </w:rPr>
        <w:t xml:space="preserve">an exclusion order imposed under s 220 of the </w:t>
      </w:r>
      <w:r w:rsidRPr="0064360C">
        <w:rPr>
          <w:rFonts w:ascii="Lato" w:hAnsi="Lato" w:cs="Arial"/>
          <w:i/>
          <w:iCs/>
          <w:sz w:val="20"/>
          <w:szCs w:val="20"/>
        </w:rPr>
        <w:t>Liquor Act</w:t>
      </w:r>
      <w:r w:rsidRPr="0064360C">
        <w:rPr>
          <w:rFonts w:ascii="Lato" w:hAnsi="Lato" w:cs="Arial"/>
          <w:sz w:val="20"/>
          <w:szCs w:val="20"/>
        </w:rPr>
        <w:t>;</w:t>
      </w:r>
    </w:p>
    <w:p w14:paraId="2441CE17" w14:textId="77777777" w:rsidR="0064360C" w:rsidRPr="0064360C" w:rsidRDefault="0064360C" w:rsidP="0064360C">
      <w:pPr>
        <w:ind w:left="2552" w:right="521" w:hanging="567"/>
        <w:jc w:val="both"/>
        <w:rPr>
          <w:rFonts w:ascii="Lato" w:hAnsi="Lato" w:cs="Arial"/>
          <w:sz w:val="20"/>
        </w:rPr>
      </w:pPr>
    </w:p>
    <w:p w14:paraId="0B8C111D" w14:textId="77777777" w:rsidR="0064360C" w:rsidRPr="0064360C" w:rsidRDefault="0064360C" w:rsidP="0064360C">
      <w:pPr>
        <w:pStyle w:val="ListParagraph"/>
        <w:numPr>
          <w:ilvl w:val="0"/>
          <w:numId w:val="20"/>
        </w:numPr>
        <w:pBdr>
          <w:top w:val="nil"/>
          <w:left w:val="nil"/>
          <w:bottom w:val="nil"/>
          <w:right w:val="nil"/>
          <w:between w:val="nil"/>
          <w:bar w:val="nil"/>
        </w:pBdr>
        <w:spacing w:after="0" w:line="240" w:lineRule="auto"/>
        <w:ind w:left="2552" w:right="521" w:hanging="567"/>
        <w:jc w:val="both"/>
        <w:rPr>
          <w:rFonts w:ascii="Lato" w:hAnsi="Lato" w:cs="Arial"/>
          <w:sz w:val="20"/>
          <w:szCs w:val="20"/>
        </w:rPr>
      </w:pPr>
      <w:r w:rsidRPr="0064360C">
        <w:rPr>
          <w:rFonts w:ascii="Lato" w:hAnsi="Lato" w:cs="Arial"/>
          <w:sz w:val="20"/>
          <w:szCs w:val="20"/>
        </w:rPr>
        <w:t xml:space="preserve">a provision under a law of the Territory or prescribed by regulation; </w:t>
      </w:r>
    </w:p>
    <w:p w14:paraId="17794753" w14:textId="77777777" w:rsidR="0064360C" w:rsidRPr="0064360C" w:rsidRDefault="0064360C" w:rsidP="0064360C">
      <w:pPr>
        <w:ind w:right="521"/>
        <w:jc w:val="both"/>
        <w:rPr>
          <w:rFonts w:ascii="Lato" w:hAnsi="Lato" w:cs="Arial"/>
          <w:sz w:val="20"/>
        </w:rPr>
      </w:pPr>
    </w:p>
    <w:p w14:paraId="22B20110" w14:textId="77777777" w:rsidR="0064360C" w:rsidRPr="0064360C" w:rsidRDefault="0064360C" w:rsidP="0064360C">
      <w:pPr>
        <w:ind w:left="1080" w:right="521" w:firstLine="720"/>
        <w:jc w:val="both"/>
        <w:rPr>
          <w:rFonts w:ascii="Lato" w:hAnsi="Lato" w:cs="Arial"/>
          <w:sz w:val="20"/>
        </w:rPr>
      </w:pPr>
      <w:r w:rsidRPr="0064360C">
        <w:rPr>
          <w:rFonts w:ascii="Lato" w:hAnsi="Lato" w:cs="Arial"/>
          <w:sz w:val="20"/>
        </w:rPr>
        <w:t>or</w:t>
      </w:r>
    </w:p>
    <w:p w14:paraId="21DF8859" w14:textId="77777777" w:rsidR="0064360C" w:rsidRPr="0064360C" w:rsidRDefault="0064360C" w:rsidP="0064360C">
      <w:pPr>
        <w:pStyle w:val="ListParagraph"/>
        <w:ind w:left="2160" w:right="521"/>
        <w:jc w:val="both"/>
        <w:rPr>
          <w:rFonts w:ascii="Lato" w:hAnsi="Lato" w:cs="Arial"/>
          <w:sz w:val="20"/>
          <w:szCs w:val="20"/>
        </w:rPr>
      </w:pPr>
    </w:p>
    <w:p w14:paraId="177E8764" w14:textId="77777777" w:rsidR="0064360C" w:rsidRPr="0064360C" w:rsidRDefault="0064360C" w:rsidP="0064360C">
      <w:pPr>
        <w:pStyle w:val="ListParagraph"/>
        <w:numPr>
          <w:ilvl w:val="1"/>
          <w:numId w:val="19"/>
        </w:numPr>
        <w:pBdr>
          <w:top w:val="nil"/>
          <w:left w:val="nil"/>
          <w:bottom w:val="nil"/>
          <w:right w:val="nil"/>
          <w:between w:val="nil"/>
          <w:bar w:val="nil"/>
        </w:pBdr>
        <w:spacing w:after="0" w:line="240" w:lineRule="auto"/>
        <w:ind w:right="521"/>
        <w:jc w:val="both"/>
        <w:rPr>
          <w:rFonts w:ascii="Lato" w:hAnsi="Lato" w:cs="Arial"/>
          <w:sz w:val="20"/>
          <w:szCs w:val="20"/>
        </w:rPr>
      </w:pPr>
      <w:r w:rsidRPr="0064360C">
        <w:rPr>
          <w:rFonts w:ascii="Lato" w:hAnsi="Lato" w:cs="Arial"/>
          <w:sz w:val="20"/>
          <w:szCs w:val="20"/>
        </w:rPr>
        <w:t>is subject to a decision (</w:t>
      </w:r>
      <w:r w:rsidRPr="0064360C">
        <w:rPr>
          <w:rFonts w:ascii="Lato" w:hAnsi="Lato" w:cs="Arial"/>
          <w:b/>
          <w:bCs/>
          <w:sz w:val="20"/>
          <w:szCs w:val="20"/>
        </w:rPr>
        <w:t>a banning decision</w:t>
      </w:r>
      <w:r w:rsidRPr="0064360C">
        <w:rPr>
          <w:rFonts w:ascii="Lato" w:hAnsi="Lato" w:cs="Arial"/>
          <w:sz w:val="20"/>
          <w:szCs w:val="20"/>
        </w:rPr>
        <w:t>)  by the licensee of a nominated licence to prohibit entry to their licensed premises for a period that has not expired.</w:t>
      </w:r>
    </w:p>
    <w:p w14:paraId="6C1CBE9F" w14:textId="77777777" w:rsidR="0064360C" w:rsidRPr="0064360C" w:rsidRDefault="0064360C" w:rsidP="0064360C">
      <w:pPr>
        <w:pStyle w:val="ListParagraph"/>
        <w:ind w:left="1800" w:right="521"/>
        <w:jc w:val="both"/>
        <w:rPr>
          <w:rFonts w:ascii="Lato" w:hAnsi="Lato" w:cs="Arial"/>
          <w:sz w:val="20"/>
          <w:szCs w:val="20"/>
        </w:rPr>
      </w:pPr>
    </w:p>
    <w:p w14:paraId="25C9DBEA" w14:textId="77777777" w:rsidR="0064360C" w:rsidRPr="0064360C" w:rsidRDefault="0064360C" w:rsidP="0064360C">
      <w:pPr>
        <w:pStyle w:val="ListParagraph"/>
        <w:numPr>
          <w:ilvl w:val="0"/>
          <w:numId w:val="19"/>
        </w:numPr>
        <w:pBdr>
          <w:top w:val="nil"/>
          <w:left w:val="nil"/>
          <w:bottom w:val="nil"/>
          <w:right w:val="nil"/>
          <w:between w:val="nil"/>
          <w:bar w:val="nil"/>
        </w:pBdr>
        <w:spacing w:after="0" w:line="240" w:lineRule="auto"/>
        <w:ind w:right="521"/>
        <w:jc w:val="both"/>
        <w:rPr>
          <w:rFonts w:ascii="Lato" w:hAnsi="Lato" w:cs="Arial"/>
          <w:sz w:val="20"/>
          <w:szCs w:val="20"/>
        </w:rPr>
      </w:pPr>
      <w:r w:rsidRPr="0064360C">
        <w:rPr>
          <w:rFonts w:ascii="Lato" w:hAnsi="Lato" w:cs="Arial"/>
          <w:sz w:val="20"/>
          <w:szCs w:val="20"/>
        </w:rPr>
        <w:t>The licensee must make a banning decision for a period of not less than 48 hours for each person who the licensee has refused entry in accordance with sub-paragraph (e)(iii) or (e)(iv) of this condition, or who the licensee has removed from the premises in accordance with s 141 of the Act.</w:t>
      </w:r>
    </w:p>
    <w:p w14:paraId="4C06671D" w14:textId="77777777" w:rsidR="0064360C" w:rsidRPr="0064360C" w:rsidRDefault="0064360C" w:rsidP="0064360C">
      <w:pPr>
        <w:pStyle w:val="ListParagraph"/>
        <w:ind w:left="1080" w:right="521"/>
        <w:jc w:val="both"/>
        <w:rPr>
          <w:rFonts w:ascii="Lato" w:hAnsi="Lato" w:cs="Arial"/>
          <w:sz w:val="20"/>
          <w:szCs w:val="20"/>
        </w:rPr>
      </w:pPr>
    </w:p>
    <w:p w14:paraId="2CAEABD6" w14:textId="77777777" w:rsidR="0064360C" w:rsidRPr="0064360C" w:rsidRDefault="0064360C" w:rsidP="0064360C">
      <w:pPr>
        <w:pStyle w:val="ListParagraph"/>
        <w:numPr>
          <w:ilvl w:val="0"/>
          <w:numId w:val="19"/>
        </w:numPr>
        <w:pBdr>
          <w:top w:val="nil"/>
          <w:left w:val="nil"/>
          <w:bottom w:val="nil"/>
          <w:right w:val="nil"/>
          <w:between w:val="nil"/>
          <w:bar w:val="nil"/>
        </w:pBdr>
        <w:spacing w:after="0" w:line="240" w:lineRule="auto"/>
        <w:ind w:right="521"/>
        <w:jc w:val="both"/>
        <w:rPr>
          <w:rFonts w:ascii="Lato" w:hAnsi="Lato" w:cs="Arial"/>
          <w:sz w:val="20"/>
          <w:szCs w:val="20"/>
        </w:rPr>
      </w:pPr>
      <w:r w:rsidRPr="0064360C">
        <w:rPr>
          <w:rFonts w:ascii="Lato" w:hAnsi="Lato" w:cs="Arial"/>
          <w:sz w:val="20"/>
          <w:szCs w:val="20"/>
        </w:rPr>
        <w:t xml:space="preserve">The licensee must maintain and share with the licensees of the nominated </w:t>
      </w:r>
      <w:proofErr w:type="spellStart"/>
      <w:r w:rsidRPr="0064360C">
        <w:rPr>
          <w:rFonts w:ascii="Lato" w:hAnsi="Lato" w:cs="Arial"/>
          <w:sz w:val="20"/>
          <w:szCs w:val="20"/>
        </w:rPr>
        <w:t>licences</w:t>
      </w:r>
      <w:proofErr w:type="spellEnd"/>
      <w:r w:rsidRPr="0064360C">
        <w:rPr>
          <w:rFonts w:ascii="Lato" w:hAnsi="Lato" w:cs="Arial"/>
          <w:sz w:val="20"/>
          <w:szCs w:val="20"/>
        </w:rPr>
        <w:t xml:space="preserve"> a register  of persons who are subject to a banning decision made by the licensee, including the name, a photograph (if available to the licensee) and the banning period for each person on the register.</w:t>
      </w:r>
    </w:p>
    <w:p w14:paraId="44030496" w14:textId="77777777" w:rsidR="0064360C" w:rsidRPr="0064360C" w:rsidRDefault="0064360C" w:rsidP="0064360C">
      <w:pPr>
        <w:pStyle w:val="ListParagraph"/>
        <w:ind w:left="1080" w:right="521"/>
        <w:jc w:val="both"/>
        <w:rPr>
          <w:rFonts w:ascii="Lato" w:hAnsi="Lato" w:cs="Arial"/>
          <w:sz w:val="20"/>
          <w:szCs w:val="20"/>
        </w:rPr>
      </w:pPr>
    </w:p>
    <w:p w14:paraId="42D3D226" w14:textId="77777777" w:rsidR="0064360C" w:rsidRPr="0064360C" w:rsidRDefault="0064360C" w:rsidP="0064360C">
      <w:pPr>
        <w:pStyle w:val="ListParagraph"/>
        <w:numPr>
          <w:ilvl w:val="0"/>
          <w:numId w:val="19"/>
        </w:numPr>
        <w:pBdr>
          <w:top w:val="nil"/>
          <w:left w:val="nil"/>
          <w:bottom w:val="nil"/>
          <w:right w:val="nil"/>
          <w:between w:val="nil"/>
          <w:bar w:val="nil"/>
        </w:pBdr>
        <w:spacing w:after="0" w:line="240" w:lineRule="auto"/>
        <w:ind w:right="521"/>
        <w:jc w:val="both"/>
        <w:rPr>
          <w:rFonts w:ascii="Lato" w:hAnsi="Lato" w:cs="Arial"/>
          <w:sz w:val="20"/>
          <w:szCs w:val="20"/>
        </w:rPr>
      </w:pPr>
      <w:r w:rsidRPr="0064360C">
        <w:rPr>
          <w:rFonts w:ascii="Lato" w:hAnsi="Lato" w:cs="Arial"/>
          <w:sz w:val="20"/>
          <w:szCs w:val="20"/>
        </w:rPr>
        <w:t xml:space="preserve">The licensee must use the on-premises identification system to screen </w:t>
      </w:r>
      <w:proofErr w:type="gramStart"/>
      <w:r w:rsidRPr="0064360C">
        <w:rPr>
          <w:rFonts w:ascii="Lato" w:hAnsi="Lato" w:cs="Arial"/>
          <w:sz w:val="20"/>
          <w:szCs w:val="20"/>
        </w:rPr>
        <w:t>persons</w:t>
      </w:r>
      <w:proofErr w:type="gramEnd"/>
      <w:r w:rsidRPr="0064360C">
        <w:rPr>
          <w:rFonts w:ascii="Lato" w:hAnsi="Lato" w:cs="Arial"/>
          <w:sz w:val="20"/>
          <w:szCs w:val="20"/>
        </w:rPr>
        <w:t xml:space="preserve"> who seek entry to the licensed premises before 15:00 hours on Wednesdays, Thursdays and Fridays.</w:t>
      </w:r>
    </w:p>
    <w:p w14:paraId="5331C59C" w14:textId="77777777" w:rsidR="0064360C" w:rsidRPr="0064360C" w:rsidRDefault="0064360C" w:rsidP="0064360C">
      <w:pPr>
        <w:pStyle w:val="ListParagraph"/>
        <w:ind w:left="1080" w:right="521"/>
        <w:jc w:val="both"/>
        <w:rPr>
          <w:rFonts w:ascii="Lato" w:hAnsi="Lato" w:cs="Arial"/>
          <w:sz w:val="20"/>
          <w:szCs w:val="20"/>
        </w:rPr>
      </w:pPr>
    </w:p>
    <w:p w14:paraId="3776C84A" w14:textId="77777777" w:rsidR="0064360C" w:rsidRPr="0064360C" w:rsidRDefault="0064360C" w:rsidP="0064360C">
      <w:pPr>
        <w:pStyle w:val="ListParagraph"/>
        <w:numPr>
          <w:ilvl w:val="0"/>
          <w:numId w:val="19"/>
        </w:numPr>
        <w:pBdr>
          <w:top w:val="nil"/>
          <w:left w:val="nil"/>
          <w:bottom w:val="nil"/>
          <w:right w:val="nil"/>
          <w:between w:val="nil"/>
          <w:bar w:val="nil"/>
        </w:pBdr>
        <w:spacing w:after="0" w:line="240" w:lineRule="auto"/>
        <w:ind w:right="521"/>
        <w:jc w:val="both"/>
        <w:rPr>
          <w:rFonts w:ascii="Lato" w:hAnsi="Lato" w:cs="Arial"/>
          <w:sz w:val="20"/>
          <w:szCs w:val="20"/>
        </w:rPr>
      </w:pPr>
      <w:r w:rsidRPr="0064360C">
        <w:rPr>
          <w:rFonts w:ascii="Lato" w:hAnsi="Lato" w:cs="Arial"/>
          <w:sz w:val="20"/>
          <w:szCs w:val="20"/>
        </w:rPr>
        <w:t>The licensee must refuse entry to the licensed premises to any person who:</w:t>
      </w:r>
    </w:p>
    <w:p w14:paraId="62EE97D2" w14:textId="77777777" w:rsidR="0064360C" w:rsidRPr="0064360C" w:rsidRDefault="0064360C" w:rsidP="0064360C">
      <w:pPr>
        <w:pStyle w:val="ListParagraph"/>
        <w:rPr>
          <w:rFonts w:ascii="Lato" w:hAnsi="Lato" w:cs="Arial"/>
          <w:sz w:val="20"/>
          <w:szCs w:val="20"/>
        </w:rPr>
      </w:pPr>
    </w:p>
    <w:p w14:paraId="7643446E" w14:textId="77777777" w:rsidR="0064360C" w:rsidRPr="0064360C" w:rsidRDefault="0064360C" w:rsidP="0064360C">
      <w:pPr>
        <w:pStyle w:val="ListParagraph"/>
        <w:numPr>
          <w:ilvl w:val="1"/>
          <w:numId w:val="19"/>
        </w:numPr>
        <w:pBdr>
          <w:top w:val="nil"/>
          <w:left w:val="nil"/>
          <w:bottom w:val="nil"/>
          <w:right w:val="nil"/>
          <w:between w:val="nil"/>
          <w:bar w:val="nil"/>
        </w:pBdr>
        <w:spacing w:after="0" w:line="240" w:lineRule="auto"/>
        <w:ind w:right="521"/>
        <w:jc w:val="both"/>
        <w:rPr>
          <w:rFonts w:ascii="Lato" w:hAnsi="Lato" w:cs="Arial"/>
          <w:sz w:val="20"/>
          <w:szCs w:val="20"/>
        </w:rPr>
      </w:pPr>
      <w:r w:rsidRPr="0064360C">
        <w:rPr>
          <w:rFonts w:ascii="Lato" w:hAnsi="Lato" w:cs="Arial"/>
          <w:sz w:val="20"/>
          <w:szCs w:val="20"/>
        </w:rPr>
        <w:t xml:space="preserve">does not present an apparently authentic form of identification that is </w:t>
      </w:r>
      <w:proofErr w:type="spellStart"/>
      <w:r w:rsidRPr="0064360C">
        <w:rPr>
          <w:rFonts w:ascii="Lato" w:hAnsi="Lato" w:cs="Arial"/>
          <w:sz w:val="20"/>
          <w:szCs w:val="20"/>
        </w:rPr>
        <w:t>recognised</w:t>
      </w:r>
      <w:proofErr w:type="spellEnd"/>
      <w:r w:rsidRPr="0064360C">
        <w:rPr>
          <w:rFonts w:ascii="Lato" w:hAnsi="Lato" w:cs="Arial"/>
          <w:sz w:val="20"/>
          <w:szCs w:val="20"/>
        </w:rPr>
        <w:t xml:space="preserve"> by the on-premises identification system;</w:t>
      </w:r>
    </w:p>
    <w:p w14:paraId="0DA51471" w14:textId="77777777" w:rsidR="0064360C" w:rsidRPr="0064360C" w:rsidRDefault="0064360C" w:rsidP="0064360C">
      <w:pPr>
        <w:pStyle w:val="ListParagraph"/>
        <w:ind w:left="1800" w:right="521"/>
        <w:jc w:val="both"/>
        <w:rPr>
          <w:rFonts w:ascii="Lato" w:hAnsi="Lato" w:cs="Arial"/>
          <w:sz w:val="20"/>
          <w:szCs w:val="20"/>
        </w:rPr>
      </w:pPr>
    </w:p>
    <w:p w14:paraId="110DFCDC" w14:textId="77777777" w:rsidR="0064360C" w:rsidRPr="0064360C" w:rsidRDefault="0064360C" w:rsidP="0064360C">
      <w:pPr>
        <w:pStyle w:val="ListParagraph"/>
        <w:numPr>
          <w:ilvl w:val="1"/>
          <w:numId w:val="19"/>
        </w:numPr>
        <w:pBdr>
          <w:top w:val="nil"/>
          <w:left w:val="nil"/>
          <w:bottom w:val="nil"/>
          <w:right w:val="nil"/>
          <w:between w:val="nil"/>
          <w:bar w:val="nil"/>
        </w:pBdr>
        <w:spacing w:after="0" w:line="240" w:lineRule="auto"/>
        <w:ind w:right="521"/>
        <w:jc w:val="both"/>
        <w:rPr>
          <w:rFonts w:ascii="Lato" w:hAnsi="Lato" w:cs="Arial"/>
          <w:sz w:val="20"/>
          <w:szCs w:val="20"/>
        </w:rPr>
      </w:pPr>
      <w:r w:rsidRPr="0064360C">
        <w:rPr>
          <w:rFonts w:ascii="Lato" w:hAnsi="Lato" w:cs="Arial"/>
          <w:sz w:val="20"/>
          <w:szCs w:val="20"/>
        </w:rPr>
        <w:t xml:space="preserve">is identified by the on-premises identification system to be a person subject to an order, condition, notice, provision or decision under paragraph (a) of this condition; </w:t>
      </w:r>
    </w:p>
    <w:p w14:paraId="60AA342D" w14:textId="77777777" w:rsidR="0064360C" w:rsidRPr="0064360C" w:rsidRDefault="0064360C" w:rsidP="0064360C">
      <w:pPr>
        <w:pStyle w:val="ListParagraph"/>
        <w:rPr>
          <w:rFonts w:ascii="Lato" w:hAnsi="Lato" w:cs="Arial"/>
          <w:sz w:val="20"/>
          <w:szCs w:val="20"/>
        </w:rPr>
      </w:pPr>
    </w:p>
    <w:p w14:paraId="7CA07B49" w14:textId="77777777" w:rsidR="0064360C" w:rsidRPr="0064360C" w:rsidRDefault="0064360C" w:rsidP="0064360C">
      <w:pPr>
        <w:pStyle w:val="ListParagraph"/>
        <w:numPr>
          <w:ilvl w:val="1"/>
          <w:numId w:val="19"/>
        </w:numPr>
        <w:pBdr>
          <w:top w:val="nil"/>
          <w:left w:val="nil"/>
          <w:bottom w:val="nil"/>
          <w:right w:val="nil"/>
          <w:between w:val="nil"/>
          <w:bar w:val="nil"/>
        </w:pBdr>
        <w:spacing w:after="0" w:line="240" w:lineRule="auto"/>
        <w:ind w:right="521"/>
        <w:jc w:val="both"/>
        <w:rPr>
          <w:rFonts w:ascii="Lato" w:hAnsi="Lato" w:cs="Arial"/>
          <w:sz w:val="20"/>
          <w:szCs w:val="20"/>
        </w:rPr>
      </w:pPr>
      <w:r w:rsidRPr="0064360C">
        <w:rPr>
          <w:rFonts w:ascii="Lato" w:hAnsi="Lato" w:cs="Arial"/>
          <w:sz w:val="20"/>
          <w:szCs w:val="20"/>
        </w:rPr>
        <w:t>fails or refuses to undergo screening by the licensee, licensee’s employee or licensee’s agent using the on-premises identification system; or</w:t>
      </w:r>
    </w:p>
    <w:p w14:paraId="33A690AA" w14:textId="77777777" w:rsidR="0064360C" w:rsidRPr="0064360C" w:rsidRDefault="0064360C" w:rsidP="0064360C">
      <w:pPr>
        <w:pStyle w:val="ListParagraph"/>
        <w:rPr>
          <w:rFonts w:ascii="Lato" w:hAnsi="Lato" w:cs="Arial"/>
          <w:sz w:val="20"/>
          <w:szCs w:val="20"/>
        </w:rPr>
      </w:pPr>
    </w:p>
    <w:p w14:paraId="18088807" w14:textId="77777777" w:rsidR="0064360C" w:rsidRPr="0064360C" w:rsidRDefault="0064360C" w:rsidP="0064360C">
      <w:pPr>
        <w:pStyle w:val="ListParagraph"/>
        <w:numPr>
          <w:ilvl w:val="1"/>
          <w:numId w:val="19"/>
        </w:numPr>
        <w:pBdr>
          <w:top w:val="nil"/>
          <w:left w:val="nil"/>
          <w:bottom w:val="nil"/>
          <w:right w:val="nil"/>
          <w:between w:val="nil"/>
          <w:bar w:val="nil"/>
        </w:pBdr>
        <w:spacing w:after="0" w:line="240" w:lineRule="auto"/>
        <w:ind w:right="521"/>
        <w:jc w:val="both"/>
        <w:rPr>
          <w:rFonts w:ascii="Lato" w:hAnsi="Lato" w:cs="Arial"/>
          <w:sz w:val="20"/>
          <w:szCs w:val="20"/>
        </w:rPr>
      </w:pPr>
      <w:r w:rsidRPr="0064360C">
        <w:rPr>
          <w:rFonts w:ascii="Lato" w:hAnsi="Lato" w:cs="Arial"/>
          <w:sz w:val="20"/>
          <w:szCs w:val="20"/>
        </w:rPr>
        <w:t xml:space="preserve">is intoxicated, violent, quarrelsome, disorderly or incapable of controlling their </w:t>
      </w:r>
      <w:proofErr w:type="spellStart"/>
      <w:r w:rsidRPr="0064360C">
        <w:rPr>
          <w:rFonts w:ascii="Lato" w:hAnsi="Lato" w:cs="Arial"/>
          <w:sz w:val="20"/>
          <w:szCs w:val="20"/>
        </w:rPr>
        <w:t>behaviour</w:t>
      </w:r>
      <w:proofErr w:type="spellEnd"/>
      <w:r w:rsidRPr="0064360C">
        <w:rPr>
          <w:rFonts w:ascii="Lato" w:hAnsi="Lato" w:cs="Arial"/>
          <w:sz w:val="20"/>
          <w:szCs w:val="20"/>
        </w:rPr>
        <w:t>.</w:t>
      </w:r>
    </w:p>
    <w:p w14:paraId="1A5725D9" w14:textId="77777777" w:rsidR="0064360C" w:rsidRPr="0064360C" w:rsidRDefault="0064360C" w:rsidP="0064360C">
      <w:pPr>
        <w:pStyle w:val="ListParagraph"/>
        <w:rPr>
          <w:rFonts w:ascii="Lato" w:hAnsi="Lato" w:cs="Arial"/>
          <w:sz w:val="20"/>
          <w:szCs w:val="20"/>
        </w:rPr>
      </w:pPr>
    </w:p>
    <w:p w14:paraId="1C53BD3E" w14:textId="77777777" w:rsidR="0064360C" w:rsidRPr="0064360C" w:rsidRDefault="0064360C" w:rsidP="0064360C">
      <w:pPr>
        <w:pStyle w:val="ListParagraph"/>
        <w:numPr>
          <w:ilvl w:val="0"/>
          <w:numId w:val="19"/>
        </w:numPr>
        <w:pBdr>
          <w:top w:val="nil"/>
          <w:left w:val="nil"/>
          <w:bottom w:val="nil"/>
          <w:right w:val="nil"/>
          <w:between w:val="nil"/>
          <w:bar w:val="nil"/>
        </w:pBdr>
        <w:spacing w:after="0" w:line="240" w:lineRule="auto"/>
        <w:ind w:right="521"/>
        <w:jc w:val="both"/>
        <w:rPr>
          <w:rFonts w:ascii="Lato" w:hAnsi="Lato" w:cs="Arial"/>
          <w:sz w:val="20"/>
          <w:szCs w:val="20"/>
        </w:rPr>
      </w:pPr>
      <w:r w:rsidRPr="0064360C">
        <w:rPr>
          <w:rFonts w:ascii="Lato" w:hAnsi="Lato" w:cs="Arial"/>
          <w:sz w:val="20"/>
          <w:szCs w:val="20"/>
        </w:rPr>
        <w:t xml:space="preserve">During any trading period when patrons are being screened for entry to the licensed premises, the licensee must clearly display at each entrance to the premises a notice that it is a condition of entry that patrons present identification and undergo screening. </w:t>
      </w:r>
    </w:p>
    <w:p w14:paraId="7A91C641" w14:textId="77777777" w:rsidR="00BF58CA" w:rsidRDefault="00BF58CA" w:rsidP="00BF58CA">
      <w:pPr>
        <w:spacing w:line="240" w:lineRule="exact"/>
        <w:ind w:right="-425"/>
        <w:jc w:val="both"/>
        <w:rPr>
          <w:rFonts w:ascii="Lato" w:hAnsi="Lato"/>
          <w:sz w:val="20"/>
        </w:rPr>
      </w:pPr>
    </w:p>
    <w:p w14:paraId="3B40E10C" w14:textId="77777777" w:rsidR="00BF58CA" w:rsidRDefault="00BF58CA" w:rsidP="00BF58CA">
      <w:pPr>
        <w:pStyle w:val="ListParagraph"/>
        <w:numPr>
          <w:ilvl w:val="0"/>
          <w:numId w:val="15"/>
        </w:numPr>
        <w:spacing w:line="240" w:lineRule="exact"/>
        <w:ind w:right="-425"/>
        <w:jc w:val="both"/>
        <w:rPr>
          <w:rFonts w:ascii="Lato" w:hAnsi="Lato"/>
          <w:b/>
          <w:bCs/>
          <w:sz w:val="20"/>
        </w:rPr>
      </w:pPr>
      <w:proofErr w:type="gramStart"/>
      <w:r w:rsidRPr="00BF58CA">
        <w:rPr>
          <w:rFonts w:ascii="Lato" w:hAnsi="Lato"/>
          <w:b/>
          <w:bCs/>
          <w:sz w:val="20"/>
        </w:rPr>
        <w:t>Practices</w:t>
      </w:r>
      <w:proofErr w:type="gramEnd"/>
      <w:r w:rsidRPr="00BF58CA">
        <w:rPr>
          <w:rFonts w:ascii="Lato" w:hAnsi="Lato"/>
          <w:b/>
          <w:bCs/>
          <w:sz w:val="20"/>
        </w:rPr>
        <w:t xml:space="preserve"> relating to disturbances</w:t>
      </w:r>
    </w:p>
    <w:p w14:paraId="30860A68" w14:textId="77777777" w:rsidR="00A613B0" w:rsidRPr="00BF58CA" w:rsidRDefault="00A613B0" w:rsidP="00A613B0">
      <w:pPr>
        <w:pStyle w:val="ListParagraph"/>
        <w:spacing w:line="240" w:lineRule="exact"/>
        <w:ind w:left="-349" w:right="-425"/>
        <w:jc w:val="both"/>
        <w:rPr>
          <w:rFonts w:ascii="Lato" w:hAnsi="Lato"/>
          <w:b/>
          <w:bCs/>
          <w:sz w:val="20"/>
        </w:rPr>
      </w:pPr>
    </w:p>
    <w:p w14:paraId="13D87453" w14:textId="77777777" w:rsidR="00E50E0B" w:rsidRPr="00E50E0B" w:rsidRDefault="00E50E0B" w:rsidP="00AC61E1">
      <w:pPr>
        <w:pStyle w:val="ListParagraph"/>
        <w:pBdr>
          <w:top w:val="nil"/>
          <w:left w:val="nil"/>
          <w:bottom w:val="nil"/>
          <w:right w:val="nil"/>
          <w:between w:val="nil"/>
          <w:bar w:val="nil"/>
        </w:pBdr>
        <w:spacing w:after="0" w:line="240" w:lineRule="auto"/>
        <w:ind w:left="360"/>
        <w:jc w:val="both"/>
        <w:rPr>
          <w:rFonts w:ascii="Lato" w:hAnsi="Lato" w:cs="Arial"/>
          <w:sz w:val="20"/>
          <w:szCs w:val="20"/>
        </w:rPr>
      </w:pPr>
      <w:bookmarkStart w:id="1" w:name="_Ref213688240"/>
      <w:r w:rsidRPr="00E50E0B">
        <w:rPr>
          <w:rFonts w:ascii="Lato" w:hAnsi="Lato" w:cs="Arial"/>
          <w:sz w:val="20"/>
          <w:szCs w:val="20"/>
        </w:rPr>
        <w:t xml:space="preserve">The Commission proposes to vary the conditions of the nominated </w:t>
      </w:r>
      <w:proofErr w:type="spellStart"/>
      <w:r w:rsidRPr="00E50E0B">
        <w:rPr>
          <w:rFonts w:ascii="Lato" w:hAnsi="Lato" w:cs="Arial"/>
          <w:sz w:val="20"/>
          <w:szCs w:val="20"/>
        </w:rPr>
        <w:t>licences</w:t>
      </w:r>
      <w:proofErr w:type="spellEnd"/>
      <w:r w:rsidRPr="00E50E0B">
        <w:rPr>
          <w:rFonts w:ascii="Lato" w:hAnsi="Lato" w:cs="Arial"/>
          <w:sz w:val="20"/>
          <w:szCs w:val="20"/>
        </w:rPr>
        <w:t xml:space="preserve"> and the </w:t>
      </w:r>
      <w:proofErr w:type="spellStart"/>
      <w:r w:rsidRPr="00E50E0B">
        <w:rPr>
          <w:rFonts w:ascii="Lato" w:hAnsi="Lato" w:cs="Arial"/>
          <w:sz w:val="20"/>
          <w:szCs w:val="20"/>
        </w:rPr>
        <w:t>Lasseters</w:t>
      </w:r>
      <w:proofErr w:type="spellEnd"/>
      <w:r w:rsidRPr="00E50E0B">
        <w:rPr>
          <w:rFonts w:ascii="Lato" w:hAnsi="Lato" w:cs="Arial"/>
          <w:sz w:val="20"/>
          <w:szCs w:val="20"/>
        </w:rPr>
        <w:t xml:space="preserve"> Hotel Casino licence by inserting the following </w:t>
      </w:r>
      <w:proofErr w:type="gramStart"/>
      <w:r w:rsidRPr="00E50E0B">
        <w:rPr>
          <w:rFonts w:ascii="Lato" w:hAnsi="Lato" w:cs="Arial"/>
          <w:sz w:val="20"/>
          <w:szCs w:val="20"/>
        </w:rPr>
        <w:t>condition</w:t>
      </w:r>
      <w:proofErr w:type="gramEnd"/>
      <w:r w:rsidRPr="00E50E0B">
        <w:rPr>
          <w:rFonts w:ascii="Lato" w:hAnsi="Lato" w:cs="Arial"/>
          <w:sz w:val="20"/>
          <w:szCs w:val="20"/>
        </w:rPr>
        <w:t>:</w:t>
      </w:r>
      <w:bookmarkEnd w:id="1"/>
    </w:p>
    <w:p w14:paraId="71F3539D" w14:textId="77777777" w:rsidR="00E50E0B" w:rsidRPr="00AC61E1" w:rsidRDefault="00E50E0B" w:rsidP="00AC61E1">
      <w:pPr>
        <w:jc w:val="both"/>
        <w:rPr>
          <w:rFonts w:ascii="Lato" w:hAnsi="Lato" w:cs="Arial"/>
          <w:sz w:val="20"/>
        </w:rPr>
      </w:pPr>
    </w:p>
    <w:p w14:paraId="21BD580A" w14:textId="77777777" w:rsidR="0064360C" w:rsidRPr="0064360C" w:rsidRDefault="0064360C" w:rsidP="0064360C">
      <w:pPr>
        <w:ind w:right="804" w:firstLine="720"/>
        <w:jc w:val="both"/>
        <w:rPr>
          <w:rFonts w:ascii="Lato" w:hAnsi="Lato" w:cs="Arial"/>
          <w:b/>
          <w:bCs/>
          <w:sz w:val="20"/>
        </w:rPr>
      </w:pPr>
      <w:r w:rsidRPr="0064360C">
        <w:rPr>
          <w:rFonts w:ascii="Lato" w:hAnsi="Lato" w:cs="Arial"/>
          <w:b/>
          <w:bCs/>
          <w:sz w:val="20"/>
        </w:rPr>
        <w:t xml:space="preserve">Practices relating to disturbances </w:t>
      </w:r>
    </w:p>
    <w:p w14:paraId="77E73DD6" w14:textId="77777777" w:rsidR="0064360C" w:rsidRPr="0064360C" w:rsidRDefault="0064360C" w:rsidP="0064360C">
      <w:pPr>
        <w:ind w:right="804"/>
        <w:jc w:val="both"/>
        <w:rPr>
          <w:rFonts w:ascii="Lato" w:hAnsi="Lato" w:cs="Arial"/>
          <w:sz w:val="20"/>
        </w:rPr>
      </w:pPr>
    </w:p>
    <w:p w14:paraId="7D3C4282" w14:textId="77777777" w:rsidR="0064360C" w:rsidRPr="0064360C" w:rsidRDefault="0064360C" w:rsidP="0064360C">
      <w:pPr>
        <w:ind w:left="720" w:right="804"/>
        <w:jc w:val="both"/>
        <w:rPr>
          <w:rFonts w:ascii="Lato" w:hAnsi="Lato" w:cs="Arial"/>
          <w:sz w:val="20"/>
        </w:rPr>
      </w:pPr>
      <w:r w:rsidRPr="0064360C">
        <w:rPr>
          <w:rFonts w:ascii="Lato" w:hAnsi="Lato" w:cs="Arial"/>
          <w:sz w:val="20"/>
        </w:rPr>
        <w:t xml:space="preserve">The licensee must take reasonable steps – </w:t>
      </w:r>
    </w:p>
    <w:p w14:paraId="0BD07A87" w14:textId="77777777" w:rsidR="0064360C" w:rsidRPr="0064360C" w:rsidRDefault="0064360C" w:rsidP="0064360C">
      <w:pPr>
        <w:ind w:left="720" w:right="804"/>
        <w:jc w:val="both"/>
        <w:rPr>
          <w:rFonts w:ascii="Lato" w:hAnsi="Lato" w:cs="Arial"/>
          <w:sz w:val="20"/>
        </w:rPr>
      </w:pPr>
    </w:p>
    <w:p w14:paraId="57F945EA" w14:textId="77777777" w:rsidR="0064360C" w:rsidRPr="0064360C" w:rsidRDefault="0064360C" w:rsidP="0064360C">
      <w:pPr>
        <w:ind w:left="1134" w:right="804" w:hanging="425"/>
        <w:jc w:val="both"/>
        <w:rPr>
          <w:rFonts w:ascii="Lato" w:hAnsi="Lato" w:cs="Arial"/>
          <w:sz w:val="20"/>
        </w:rPr>
      </w:pPr>
      <w:r w:rsidRPr="0064360C">
        <w:rPr>
          <w:rFonts w:ascii="Lato" w:hAnsi="Lato" w:cs="Arial"/>
          <w:sz w:val="20"/>
        </w:rPr>
        <w:t xml:space="preserve">(a) to prevent undue offence, annoyance, disturbance, noise or inconvenience to people who reside, work, study, worship or attend facilities that provide goods or services in the vicinity of the licensed premises, resulting from entertainment or activities on the licensed premises or the conduct of people making their way to or from the licensed premises; and </w:t>
      </w:r>
    </w:p>
    <w:p w14:paraId="10FBF6AE" w14:textId="77777777" w:rsidR="0064360C" w:rsidRPr="0064360C" w:rsidRDefault="0064360C" w:rsidP="0064360C">
      <w:pPr>
        <w:ind w:right="804" w:firstLine="720"/>
        <w:jc w:val="both"/>
        <w:rPr>
          <w:rFonts w:ascii="Lato" w:hAnsi="Lato" w:cs="Arial"/>
          <w:sz w:val="20"/>
        </w:rPr>
      </w:pPr>
    </w:p>
    <w:p w14:paraId="2D332E6E" w14:textId="77777777" w:rsidR="0064360C" w:rsidRPr="0064360C" w:rsidRDefault="0064360C" w:rsidP="0064360C">
      <w:pPr>
        <w:pStyle w:val="ListParagraph"/>
        <w:numPr>
          <w:ilvl w:val="0"/>
          <w:numId w:val="24"/>
        </w:numPr>
        <w:pBdr>
          <w:top w:val="nil"/>
          <w:left w:val="nil"/>
          <w:bottom w:val="nil"/>
          <w:right w:val="nil"/>
          <w:between w:val="nil"/>
          <w:bar w:val="nil"/>
        </w:pBdr>
        <w:spacing w:after="0" w:line="240" w:lineRule="auto"/>
        <w:ind w:right="804"/>
        <w:jc w:val="both"/>
        <w:rPr>
          <w:rFonts w:ascii="Lato" w:hAnsi="Lato" w:cs="Arial"/>
          <w:sz w:val="20"/>
          <w:szCs w:val="20"/>
        </w:rPr>
      </w:pPr>
      <w:r w:rsidRPr="0064360C">
        <w:rPr>
          <w:rFonts w:ascii="Lato" w:hAnsi="Lato" w:cs="Arial"/>
          <w:sz w:val="20"/>
          <w:szCs w:val="20"/>
        </w:rPr>
        <w:t>to ensure public order and safety.</w:t>
      </w:r>
    </w:p>
    <w:p w14:paraId="46EED3DD" w14:textId="77777777" w:rsidR="00BF58CA" w:rsidRDefault="00BF58CA" w:rsidP="004653EE">
      <w:pPr>
        <w:spacing w:line="240" w:lineRule="exact"/>
        <w:ind w:left="-709" w:right="-425"/>
        <w:jc w:val="both"/>
        <w:rPr>
          <w:rFonts w:ascii="Lato" w:hAnsi="Lato"/>
          <w:sz w:val="20"/>
        </w:rPr>
      </w:pPr>
    </w:p>
    <w:p w14:paraId="1C738E1E" w14:textId="4FD12C97" w:rsidR="00BF5138" w:rsidRPr="00257A3D" w:rsidRDefault="00257A3D" w:rsidP="004653EE">
      <w:pPr>
        <w:spacing w:line="240" w:lineRule="exact"/>
        <w:ind w:left="-709" w:right="-425"/>
        <w:jc w:val="both"/>
        <w:rPr>
          <w:rFonts w:ascii="Lato" w:hAnsi="Lato"/>
          <w:b/>
          <w:bCs/>
          <w:sz w:val="20"/>
        </w:rPr>
      </w:pPr>
      <w:r w:rsidRPr="00257A3D">
        <w:rPr>
          <w:rFonts w:ascii="Lato" w:hAnsi="Lato"/>
          <w:b/>
          <w:bCs/>
          <w:sz w:val="20"/>
        </w:rPr>
        <w:t>Current situation</w:t>
      </w:r>
    </w:p>
    <w:p w14:paraId="276881A4" w14:textId="77777777" w:rsidR="00257A3D" w:rsidRDefault="00257A3D" w:rsidP="004653EE">
      <w:pPr>
        <w:spacing w:line="240" w:lineRule="exact"/>
        <w:ind w:left="-709" w:right="-425"/>
        <w:jc w:val="both"/>
        <w:rPr>
          <w:rFonts w:ascii="Lato" w:hAnsi="Lato"/>
          <w:sz w:val="20"/>
        </w:rPr>
      </w:pPr>
    </w:p>
    <w:p w14:paraId="251AB881" w14:textId="32D3627E" w:rsidR="00257A3D" w:rsidRDefault="00257A3D" w:rsidP="004653EE">
      <w:pPr>
        <w:spacing w:line="240" w:lineRule="exact"/>
        <w:ind w:left="-709" w:right="-425"/>
        <w:jc w:val="both"/>
        <w:rPr>
          <w:rFonts w:ascii="Lato" w:hAnsi="Lato"/>
          <w:sz w:val="20"/>
        </w:rPr>
      </w:pPr>
      <w:r>
        <w:rPr>
          <w:rFonts w:ascii="Lato" w:hAnsi="Lato"/>
          <w:sz w:val="20"/>
        </w:rPr>
        <w:t>On 16 February 2026, the Commission determined to impose the above conditions on the licences as contained in the original notice.</w:t>
      </w:r>
    </w:p>
    <w:p w14:paraId="3DDF5AD1" w14:textId="77777777" w:rsidR="00257A3D" w:rsidRDefault="00257A3D" w:rsidP="004653EE">
      <w:pPr>
        <w:spacing w:line="240" w:lineRule="exact"/>
        <w:ind w:left="-709" w:right="-425"/>
        <w:jc w:val="both"/>
        <w:rPr>
          <w:rFonts w:ascii="Lato" w:hAnsi="Lato"/>
          <w:sz w:val="20"/>
        </w:rPr>
      </w:pPr>
    </w:p>
    <w:p w14:paraId="257C1B80" w14:textId="46446316" w:rsidR="00257A3D" w:rsidRDefault="00257A3D" w:rsidP="004653EE">
      <w:pPr>
        <w:spacing w:line="240" w:lineRule="exact"/>
        <w:ind w:left="-709" w:right="-425"/>
        <w:jc w:val="both"/>
        <w:rPr>
          <w:rFonts w:ascii="Lato" w:hAnsi="Lato"/>
          <w:sz w:val="20"/>
        </w:rPr>
      </w:pPr>
      <w:r>
        <w:rPr>
          <w:rFonts w:ascii="Lato" w:hAnsi="Lato"/>
          <w:sz w:val="20"/>
        </w:rPr>
        <w:t>On 15 March 2026, it was determined the matter was to be reconsidered by the Commission</w:t>
      </w:r>
      <w:r w:rsidR="005225F1">
        <w:rPr>
          <w:rFonts w:ascii="Lato" w:hAnsi="Lato"/>
          <w:sz w:val="20"/>
        </w:rPr>
        <w:t>.  This is to be undertaken during the week commencing 20 July 2026.</w:t>
      </w:r>
    </w:p>
    <w:p w14:paraId="59AFC4C3" w14:textId="77777777" w:rsidR="00257A3D" w:rsidRPr="00775A2F" w:rsidRDefault="00257A3D" w:rsidP="004653EE">
      <w:pPr>
        <w:spacing w:line="240" w:lineRule="exact"/>
        <w:ind w:left="-709" w:right="-425"/>
        <w:jc w:val="both"/>
        <w:rPr>
          <w:rFonts w:ascii="Lato" w:hAnsi="Lato"/>
          <w:sz w:val="20"/>
        </w:rPr>
      </w:pPr>
    </w:p>
    <w:p w14:paraId="181FD5B7" w14:textId="417503A0" w:rsidR="000C51F3" w:rsidRPr="00775A2F" w:rsidRDefault="0031631E" w:rsidP="000C51F3">
      <w:pPr>
        <w:spacing w:line="240" w:lineRule="exact"/>
        <w:ind w:left="-709" w:right="-425"/>
        <w:jc w:val="both"/>
        <w:rPr>
          <w:rFonts w:ascii="Lato" w:hAnsi="Lato"/>
          <w:b/>
          <w:sz w:val="20"/>
        </w:rPr>
      </w:pPr>
      <w:r>
        <w:rPr>
          <w:rFonts w:ascii="Lato" w:hAnsi="Lato"/>
          <w:b/>
          <w:sz w:val="20"/>
        </w:rPr>
        <w:t>Submissions</w:t>
      </w:r>
    </w:p>
    <w:p w14:paraId="18568588" w14:textId="77777777" w:rsidR="00775A2F" w:rsidRPr="00775A2F" w:rsidRDefault="00775A2F" w:rsidP="000C51F3">
      <w:pPr>
        <w:spacing w:line="240" w:lineRule="exact"/>
        <w:ind w:left="-709" w:right="-425"/>
        <w:jc w:val="both"/>
        <w:rPr>
          <w:rFonts w:ascii="Lato" w:hAnsi="Lato"/>
          <w:sz w:val="20"/>
        </w:rPr>
      </w:pPr>
    </w:p>
    <w:p w14:paraId="3AE8241F" w14:textId="3905E1A1" w:rsidR="009F0B5F" w:rsidRDefault="00257A3D" w:rsidP="009F0B5F">
      <w:pPr>
        <w:spacing w:line="240" w:lineRule="exact"/>
        <w:ind w:left="-709" w:right="-425"/>
        <w:jc w:val="both"/>
        <w:rPr>
          <w:rFonts w:ascii="Lato" w:hAnsi="Lato"/>
          <w:sz w:val="20"/>
        </w:rPr>
      </w:pPr>
      <w:r>
        <w:rPr>
          <w:rFonts w:ascii="Lato" w:hAnsi="Lato"/>
          <w:sz w:val="20"/>
        </w:rPr>
        <w:t>Please note</w:t>
      </w:r>
      <w:r w:rsidR="009F0B5F">
        <w:rPr>
          <w:rFonts w:ascii="Lato" w:hAnsi="Lato"/>
          <w:sz w:val="20"/>
        </w:rPr>
        <w:t>,</w:t>
      </w:r>
      <w:r>
        <w:rPr>
          <w:rFonts w:ascii="Lato" w:hAnsi="Lato"/>
          <w:sz w:val="20"/>
        </w:rPr>
        <w:t xml:space="preserve"> interested parties may make a written submission to the Commission in relation to this matter</w:t>
      </w:r>
      <w:r w:rsidR="009F0B5F">
        <w:rPr>
          <w:rFonts w:ascii="Lato" w:hAnsi="Lato"/>
          <w:sz w:val="20"/>
        </w:rPr>
        <w:t xml:space="preserve">.  If you wish to make a submission, it must be made by no later than </w:t>
      </w:r>
      <w:r w:rsidR="00941266">
        <w:rPr>
          <w:rFonts w:ascii="Lato" w:hAnsi="Lato"/>
          <w:sz w:val="20"/>
        </w:rPr>
        <w:t>Monday</w:t>
      </w:r>
      <w:r w:rsidR="009F0B5F">
        <w:rPr>
          <w:rFonts w:ascii="Lato" w:hAnsi="Lato"/>
          <w:sz w:val="20"/>
        </w:rPr>
        <w:t xml:space="preserve">, </w:t>
      </w:r>
      <w:r w:rsidR="00941266">
        <w:rPr>
          <w:rFonts w:ascii="Lato" w:hAnsi="Lato"/>
          <w:sz w:val="20"/>
        </w:rPr>
        <w:t>6 July</w:t>
      </w:r>
      <w:r w:rsidR="009F0B5F">
        <w:rPr>
          <w:rFonts w:ascii="Lato" w:hAnsi="Lato"/>
          <w:sz w:val="20"/>
        </w:rPr>
        <w:t xml:space="preserve"> 2026 and must be in writing, addressed to:</w:t>
      </w:r>
    </w:p>
    <w:p w14:paraId="1D154017" w14:textId="77777777" w:rsidR="009F0B5F" w:rsidRDefault="009F0B5F" w:rsidP="009F0B5F">
      <w:pPr>
        <w:spacing w:line="240" w:lineRule="exact"/>
        <w:ind w:left="-709" w:right="-425"/>
        <w:jc w:val="both"/>
        <w:rPr>
          <w:rFonts w:ascii="Lato" w:hAnsi="Lato"/>
          <w:sz w:val="20"/>
        </w:rPr>
      </w:pPr>
    </w:p>
    <w:p w14:paraId="1D74372A" w14:textId="5FEF4903" w:rsidR="009F0B5F" w:rsidRDefault="009F0B5F" w:rsidP="009F0B5F">
      <w:pPr>
        <w:spacing w:line="240" w:lineRule="exact"/>
        <w:ind w:left="-709" w:right="-425"/>
        <w:jc w:val="both"/>
        <w:rPr>
          <w:rFonts w:ascii="Lato" w:hAnsi="Lato"/>
          <w:sz w:val="20"/>
        </w:rPr>
      </w:pPr>
      <w:r>
        <w:rPr>
          <w:rFonts w:ascii="Lato" w:hAnsi="Lato"/>
          <w:sz w:val="20"/>
        </w:rPr>
        <w:tab/>
        <w:t>The Chairperson</w:t>
      </w:r>
    </w:p>
    <w:p w14:paraId="5C9677AC" w14:textId="63F819B0" w:rsidR="009F0B5F" w:rsidRDefault="009F0B5F" w:rsidP="009F0B5F">
      <w:pPr>
        <w:spacing w:line="240" w:lineRule="exact"/>
        <w:ind w:left="-709" w:right="-425"/>
        <w:jc w:val="both"/>
        <w:rPr>
          <w:rFonts w:ascii="Lato" w:hAnsi="Lato"/>
          <w:sz w:val="20"/>
        </w:rPr>
      </w:pPr>
      <w:r>
        <w:rPr>
          <w:rFonts w:ascii="Lato" w:hAnsi="Lato"/>
          <w:sz w:val="20"/>
        </w:rPr>
        <w:tab/>
        <w:t>Northern Territory Liquor Commission</w:t>
      </w:r>
    </w:p>
    <w:p w14:paraId="7C58B5A0" w14:textId="77777777" w:rsidR="009F0B5F" w:rsidRDefault="009F0B5F" w:rsidP="009F0B5F">
      <w:pPr>
        <w:spacing w:line="240" w:lineRule="exact"/>
        <w:ind w:left="-709" w:right="-425"/>
        <w:jc w:val="both"/>
        <w:rPr>
          <w:rFonts w:ascii="Lato" w:hAnsi="Lato"/>
          <w:sz w:val="20"/>
        </w:rPr>
      </w:pPr>
      <w:r>
        <w:rPr>
          <w:rFonts w:ascii="Lato" w:hAnsi="Lato"/>
          <w:sz w:val="20"/>
        </w:rPr>
        <w:tab/>
      </w:r>
    </w:p>
    <w:p w14:paraId="1B79EA73" w14:textId="65D92FDC" w:rsidR="009F0B5F" w:rsidRDefault="009F0B5F" w:rsidP="009F0B5F">
      <w:pPr>
        <w:spacing w:line="240" w:lineRule="exact"/>
        <w:ind w:left="-709" w:right="-425" w:firstLine="709"/>
        <w:jc w:val="both"/>
        <w:rPr>
          <w:rFonts w:ascii="Lato" w:hAnsi="Lato"/>
          <w:sz w:val="20"/>
        </w:rPr>
      </w:pPr>
      <w:hyperlink r:id="rId11" w:history="1">
        <w:r w:rsidRPr="000E235F">
          <w:rPr>
            <w:rStyle w:val="Hyperlink"/>
            <w:rFonts w:ascii="Lato" w:hAnsi="Lato"/>
            <w:sz w:val="20"/>
          </w:rPr>
          <w:t>Liquor.Commission@nt.gov.au</w:t>
        </w:r>
      </w:hyperlink>
      <w:r>
        <w:rPr>
          <w:rFonts w:ascii="Lato" w:hAnsi="Lato"/>
          <w:sz w:val="20"/>
        </w:rPr>
        <w:t xml:space="preserve"> </w:t>
      </w:r>
    </w:p>
    <w:p w14:paraId="35A3FCB9" w14:textId="6F231288" w:rsidR="009F0B5F" w:rsidRDefault="009F0B5F" w:rsidP="009F0B5F">
      <w:pPr>
        <w:spacing w:line="240" w:lineRule="exact"/>
        <w:ind w:left="-709" w:right="-425"/>
        <w:jc w:val="both"/>
        <w:rPr>
          <w:rFonts w:ascii="Lato" w:hAnsi="Lato"/>
          <w:sz w:val="20"/>
        </w:rPr>
      </w:pPr>
      <w:r>
        <w:rPr>
          <w:rFonts w:ascii="Lato" w:hAnsi="Lato"/>
          <w:sz w:val="20"/>
        </w:rPr>
        <w:tab/>
      </w:r>
    </w:p>
    <w:p w14:paraId="53ACB7A0" w14:textId="240D4B4B" w:rsidR="009F0B5F" w:rsidRDefault="009F0B5F" w:rsidP="009F0B5F">
      <w:pPr>
        <w:spacing w:line="240" w:lineRule="exact"/>
        <w:ind w:left="-709" w:right="-425"/>
        <w:jc w:val="both"/>
        <w:rPr>
          <w:rFonts w:ascii="Lato" w:hAnsi="Lato"/>
          <w:sz w:val="20"/>
        </w:rPr>
      </w:pPr>
      <w:r>
        <w:rPr>
          <w:rFonts w:ascii="Lato" w:hAnsi="Lato"/>
          <w:sz w:val="20"/>
        </w:rPr>
        <w:tab/>
      </w:r>
    </w:p>
    <w:p w14:paraId="000DA14B" w14:textId="1C3F4EA5" w:rsidR="001B789F" w:rsidRDefault="009F0B5F" w:rsidP="000C51F3">
      <w:pPr>
        <w:spacing w:line="240" w:lineRule="exact"/>
        <w:ind w:left="-709" w:right="-425"/>
        <w:jc w:val="both"/>
        <w:rPr>
          <w:rFonts w:ascii="Lato" w:hAnsi="Lato"/>
          <w:sz w:val="20"/>
        </w:rPr>
      </w:pPr>
      <w:r>
        <w:rPr>
          <w:rFonts w:ascii="Lato" w:hAnsi="Lato"/>
          <w:sz w:val="20"/>
        </w:rPr>
        <w:t xml:space="preserve">If you require any further information in relation to this </w:t>
      </w:r>
      <w:proofErr w:type="gramStart"/>
      <w:r>
        <w:rPr>
          <w:rFonts w:ascii="Lato" w:hAnsi="Lato"/>
          <w:sz w:val="20"/>
        </w:rPr>
        <w:t>matter</w:t>
      </w:r>
      <w:proofErr w:type="gramEnd"/>
      <w:r>
        <w:rPr>
          <w:rFonts w:ascii="Lato" w:hAnsi="Lato"/>
          <w:sz w:val="20"/>
        </w:rPr>
        <w:t xml:space="preserve"> please contact the Liquor Commission through the above email address.</w:t>
      </w:r>
    </w:p>
    <w:p w14:paraId="2663A10C" w14:textId="77777777" w:rsidR="009F0B5F" w:rsidRDefault="009F0B5F" w:rsidP="000C51F3">
      <w:pPr>
        <w:spacing w:line="240" w:lineRule="exact"/>
        <w:ind w:left="-709" w:right="-425"/>
        <w:jc w:val="both"/>
        <w:rPr>
          <w:rFonts w:ascii="Lato" w:hAnsi="Lato"/>
          <w:sz w:val="20"/>
        </w:rPr>
      </w:pPr>
    </w:p>
    <w:p w14:paraId="6B6F20BA" w14:textId="5726D3CB" w:rsidR="009F0B5F" w:rsidRPr="00775A2F" w:rsidRDefault="009F0B5F" w:rsidP="000C51F3">
      <w:pPr>
        <w:spacing w:line="240" w:lineRule="exact"/>
        <w:ind w:left="-709" w:right="-425"/>
        <w:jc w:val="both"/>
        <w:rPr>
          <w:rFonts w:ascii="Lato" w:hAnsi="Lato"/>
          <w:sz w:val="20"/>
        </w:rPr>
      </w:pPr>
      <w:r>
        <w:rPr>
          <w:rFonts w:ascii="Lato" w:hAnsi="Lato"/>
          <w:sz w:val="20"/>
        </w:rPr>
        <w:t>No further notices will be issued in relation to this matter.</w:t>
      </w:r>
    </w:p>
    <w:sectPr w:rsidR="009F0B5F" w:rsidRPr="00775A2F" w:rsidSect="001A3D4C">
      <w:pgSz w:w="11906" w:h="16838"/>
      <w:pgMar w:top="851" w:right="1558" w:bottom="1134" w:left="1701"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B9728" w14:textId="77777777" w:rsidR="00166DC7" w:rsidRDefault="00166DC7" w:rsidP="000546C9">
      <w:r>
        <w:separator/>
      </w:r>
    </w:p>
  </w:endnote>
  <w:endnote w:type="continuationSeparator" w:id="0">
    <w:p w14:paraId="07086C35" w14:textId="77777777" w:rsidR="00166DC7" w:rsidRDefault="00166DC7" w:rsidP="00054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ato">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46F01" w14:textId="77777777" w:rsidR="00166DC7" w:rsidRDefault="00166DC7" w:rsidP="000546C9">
      <w:r>
        <w:separator/>
      </w:r>
    </w:p>
  </w:footnote>
  <w:footnote w:type="continuationSeparator" w:id="0">
    <w:p w14:paraId="244C8669" w14:textId="77777777" w:rsidR="00166DC7" w:rsidRDefault="00166DC7" w:rsidP="000546C9">
      <w:r>
        <w:continuationSeparator/>
      </w:r>
    </w:p>
  </w:footnote>
  <w:footnote w:id="1">
    <w:p w14:paraId="3475429F" w14:textId="77777777" w:rsidR="0064360C" w:rsidRPr="005266C5" w:rsidRDefault="0064360C" w:rsidP="0064360C">
      <w:pPr>
        <w:pStyle w:val="Footnotes"/>
      </w:pPr>
      <w:r w:rsidRPr="005266C5">
        <w:rPr>
          <w:rStyle w:val="FootnoteReference"/>
        </w:rPr>
        <w:footnoteRef/>
      </w:r>
      <w:r w:rsidRPr="005266C5">
        <w:t xml:space="preserve"> “</w:t>
      </w:r>
      <w:proofErr w:type="gramStart"/>
      <w:r w:rsidRPr="005266C5">
        <w:t>liquor</w:t>
      </w:r>
      <w:proofErr w:type="gramEnd"/>
      <w:r w:rsidRPr="005266C5">
        <w:t xml:space="preserve"> that contains more than 3.99% ethyl alcohol by volume”</w:t>
      </w:r>
    </w:p>
    <w:p w14:paraId="1189A5CE" w14:textId="77777777" w:rsidR="0064360C" w:rsidRPr="005266C5" w:rsidRDefault="0064360C" w:rsidP="0064360C">
      <w:pPr>
        <w:pStyle w:val="Footnotes"/>
      </w:pPr>
    </w:p>
  </w:footnote>
  <w:footnote w:id="2">
    <w:p w14:paraId="68AA93B8" w14:textId="77777777" w:rsidR="0064360C" w:rsidRPr="005266C5" w:rsidRDefault="0064360C" w:rsidP="0064360C">
      <w:pPr>
        <w:pStyle w:val="Footnotes"/>
      </w:pPr>
      <w:r w:rsidRPr="005266C5">
        <w:rPr>
          <w:rStyle w:val="FootnoteReference"/>
        </w:rPr>
        <w:footnoteRef/>
      </w:r>
      <w:r w:rsidRPr="005266C5">
        <w:t xml:space="preserve"> “a meal expected to be served at a restaurant that is eaten when seated at a table or bar”</w:t>
      </w:r>
    </w:p>
    <w:p w14:paraId="72F1E969" w14:textId="77777777" w:rsidR="0064360C" w:rsidRPr="005266C5" w:rsidRDefault="0064360C" w:rsidP="0064360C">
      <w:pPr>
        <w:pStyle w:val="Footnotes"/>
      </w:pPr>
    </w:p>
  </w:footnote>
  <w:footnote w:id="3">
    <w:p w14:paraId="45944CBE" w14:textId="77777777" w:rsidR="0064360C" w:rsidRPr="005266C5" w:rsidRDefault="0064360C" w:rsidP="0064360C">
      <w:pPr>
        <w:pStyle w:val="Footnotes"/>
      </w:pPr>
      <w:r w:rsidRPr="005266C5">
        <w:rPr>
          <w:rStyle w:val="FootnoteReference"/>
        </w:rPr>
        <w:footnoteRef/>
      </w:r>
      <w:r w:rsidRPr="005266C5">
        <w:t xml:space="preserve"> “a meal that may be eaten with the hands while standing”</w:t>
      </w:r>
    </w:p>
    <w:p w14:paraId="6550E891" w14:textId="77777777" w:rsidR="0064360C" w:rsidRPr="005266C5" w:rsidRDefault="0064360C" w:rsidP="0064360C">
      <w:pPr>
        <w:pStyle w:val="Footnote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37642"/>
    <w:multiLevelType w:val="hybridMultilevel"/>
    <w:tmpl w:val="3BFE074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110F2ACA"/>
    <w:multiLevelType w:val="hybridMultilevel"/>
    <w:tmpl w:val="28662476"/>
    <w:lvl w:ilvl="0" w:tplc="436844FE">
      <w:start w:val="1"/>
      <w:numFmt w:val="decimal"/>
      <w:lvlText w:val="%1."/>
      <w:lvlJc w:val="left"/>
      <w:pPr>
        <w:ind w:left="-349" w:hanging="360"/>
      </w:pPr>
      <w:rPr>
        <w:rFonts w:hint="default"/>
      </w:rPr>
    </w:lvl>
    <w:lvl w:ilvl="1" w:tplc="0C090019" w:tentative="1">
      <w:start w:val="1"/>
      <w:numFmt w:val="lowerLetter"/>
      <w:lvlText w:val="%2."/>
      <w:lvlJc w:val="left"/>
      <w:pPr>
        <w:ind w:left="371" w:hanging="360"/>
      </w:pPr>
    </w:lvl>
    <w:lvl w:ilvl="2" w:tplc="0C09001B" w:tentative="1">
      <w:start w:val="1"/>
      <w:numFmt w:val="lowerRoman"/>
      <w:lvlText w:val="%3."/>
      <w:lvlJc w:val="right"/>
      <w:pPr>
        <w:ind w:left="1091" w:hanging="180"/>
      </w:pPr>
    </w:lvl>
    <w:lvl w:ilvl="3" w:tplc="0C09000F" w:tentative="1">
      <w:start w:val="1"/>
      <w:numFmt w:val="decimal"/>
      <w:lvlText w:val="%4."/>
      <w:lvlJc w:val="left"/>
      <w:pPr>
        <w:ind w:left="1811" w:hanging="360"/>
      </w:pPr>
    </w:lvl>
    <w:lvl w:ilvl="4" w:tplc="0C090019" w:tentative="1">
      <w:start w:val="1"/>
      <w:numFmt w:val="lowerLetter"/>
      <w:lvlText w:val="%5."/>
      <w:lvlJc w:val="left"/>
      <w:pPr>
        <w:ind w:left="2531" w:hanging="360"/>
      </w:pPr>
    </w:lvl>
    <w:lvl w:ilvl="5" w:tplc="0C09001B" w:tentative="1">
      <w:start w:val="1"/>
      <w:numFmt w:val="lowerRoman"/>
      <w:lvlText w:val="%6."/>
      <w:lvlJc w:val="right"/>
      <w:pPr>
        <w:ind w:left="3251" w:hanging="180"/>
      </w:pPr>
    </w:lvl>
    <w:lvl w:ilvl="6" w:tplc="0C09000F" w:tentative="1">
      <w:start w:val="1"/>
      <w:numFmt w:val="decimal"/>
      <w:lvlText w:val="%7."/>
      <w:lvlJc w:val="left"/>
      <w:pPr>
        <w:ind w:left="3971" w:hanging="360"/>
      </w:pPr>
    </w:lvl>
    <w:lvl w:ilvl="7" w:tplc="0C090019" w:tentative="1">
      <w:start w:val="1"/>
      <w:numFmt w:val="lowerLetter"/>
      <w:lvlText w:val="%8."/>
      <w:lvlJc w:val="left"/>
      <w:pPr>
        <w:ind w:left="4691" w:hanging="360"/>
      </w:pPr>
    </w:lvl>
    <w:lvl w:ilvl="8" w:tplc="0C09001B" w:tentative="1">
      <w:start w:val="1"/>
      <w:numFmt w:val="lowerRoman"/>
      <w:lvlText w:val="%9."/>
      <w:lvlJc w:val="right"/>
      <w:pPr>
        <w:ind w:left="5411" w:hanging="180"/>
      </w:pPr>
    </w:lvl>
  </w:abstractNum>
  <w:abstractNum w:abstractNumId="2" w15:restartNumberingAfterBreak="0">
    <w:nsid w:val="112B5010"/>
    <w:multiLevelType w:val="hybridMultilevel"/>
    <w:tmpl w:val="9A06442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8AB0431"/>
    <w:multiLevelType w:val="hybridMultilevel"/>
    <w:tmpl w:val="8600117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922733A"/>
    <w:multiLevelType w:val="singleLevel"/>
    <w:tmpl w:val="0C090001"/>
    <w:lvl w:ilvl="0">
      <w:start w:val="1"/>
      <w:numFmt w:val="bullet"/>
      <w:lvlText w:val=""/>
      <w:lvlJc w:val="left"/>
      <w:pPr>
        <w:ind w:left="720" w:hanging="360"/>
      </w:pPr>
      <w:rPr>
        <w:rFonts w:ascii="Symbol" w:hAnsi="Symbol" w:hint="default"/>
      </w:rPr>
    </w:lvl>
  </w:abstractNum>
  <w:abstractNum w:abstractNumId="5" w15:restartNumberingAfterBreak="0">
    <w:nsid w:val="1B5365DD"/>
    <w:multiLevelType w:val="hybridMultilevel"/>
    <w:tmpl w:val="8600117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E067794"/>
    <w:multiLevelType w:val="hybridMultilevel"/>
    <w:tmpl w:val="277630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8215BD"/>
    <w:multiLevelType w:val="hybridMultilevel"/>
    <w:tmpl w:val="D324A164"/>
    <w:lvl w:ilvl="0" w:tplc="E6C242FE">
      <w:start w:val="1"/>
      <w:numFmt w:val="lowerLetter"/>
      <w:lvlText w:val="%1)"/>
      <w:lvlJc w:val="left"/>
      <w:pPr>
        <w:ind w:left="2477" w:hanging="360"/>
      </w:pPr>
      <w:rPr>
        <w:rFonts w:cs="Times New Roman"/>
        <w:i w:val="0"/>
      </w:rPr>
    </w:lvl>
    <w:lvl w:ilvl="1" w:tplc="04090001">
      <w:start w:val="1"/>
      <w:numFmt w:val="bullet"/>
      <w:lvlText w:val=""/>
      <w:lvlJc w:val="left"/>
      <w:pPr>
        <w:ind w:left="3197" w:hanging="360"/>
      </w:pPr>
      <w:rPr>
        <w:rFonts w:ascii="Symbol" w:hAnsi="Symbol" w:hint="default"/>
        <w:i w:val="0"/>
      </w:rPr>
    </w:lvl>
    <w:lvl w:ilvl="2" w:tplc="36304D64">
      <w:numFmt w:val="bullet"/>
      <w:lvlText w:val="•"/>
      <w:lvlJc w:val="left"/>
      <w:pPr>
        <w:ind w:left="4097" w:hanging="360"/>
      </w:pPr>
      <w:rPr>
        <w:rFonts w:ascii="Arial" w:eastAsia="Times New Roman" w:hAnsi="Arial" w:hint="default"/>
        <w:i w:val="0"/>
      </w:rPr>
    </w:lvl>
    <w:lvl w:ilvl="3" w:tplc="0409000F" w:tentative="1">
      <w:start w:val="1"/>
      <w:numFmt w:val="decimal"/>
      <w:lvlText w:val="%4."/>
      <w:lvlJc w:val="left"/>
      <w:pPr>
        <w:ind w:left="4637" w:hanging="360"/>
      </w:pPr>
      <w:rPr>
        <w:rFonts w:cs="Times New Roman"/>
      </w:rPr>
    </w:lvl>
    <w:lvl w:ilvl="4" w:tplc="04090019" w:tentative="1">
      <w:start w:val="1"/>
      <w:numFmt w:val="lowerLetter"/>
      <w:lvlText w:val="%5."/>
      <w:lvlJc w:val="left"/>
      <w:pPr>
        <w:ind w:left="5357" w:hanging="360"/>
      </w:pPr>
      <w:rPr>
        <w:rFonts w:cs="Times New Roman"/>
      </w:rPr>
    </w:lvl>
    <w:lvl w:ilvl="5" w:tplc="0409001B" w:tentative="1">
      <w:start w:val="1"/>
      <w:numFmt w:val="lowerRoman"/>
      <w:lvlText w:val="%6."/>
      <w:lvlJc w:val="right"/>
      <w:pPr>
        <w:ind w:left="6077" w:hanging="180"/>
      </w:pPr>
      <w:rPr>
        <w:rFonts w:cs="Times New Roman"/>
      </w:rPr>
    </w:lvl>
    <w:lvl w:ilvl="6" w:tplc="0409000F" w:tentative="1">
      <w:start w:val="1"/>
      <w:numFmt w:val="decimal"/>
      <w:lvlText w:val="%7."/>
      <w:lvlJc w:val="left"/>
      <w:pPr>
        <w:ind w:left="6797" w:hanging="360"/>
      </w:pPr>
      <w:rPr>
        <w:rFonts w:cs="Times New Roman"/>
      </w:rPr>
    </w:lvl>
    <w:lvl w:ilvl="7" w:tplc="04090019" w:tentative="1">
      <w:start w:val="1"/>
      <w:numFmt w:val="lowerLetter"/>
      <w:lvlText w:val="%8."/>
      <w:lvlJc w:val="left"/>
      <w:pPr>
        <w:ind w:left="7517" w:hanging="360"/>
      </w:pPr>
      <w:rPr>
        <w:rFonts w:cs="Times New Roman"/>
      </w:rPr>
    </w:lvl>
    <w:lvl w:ilvl="8" w:tplc="0409001B" w:tentative="1">
      <w:start w:val="1"/>
      <w:numFmt w:val="lowerRoman"/>
      <w:lvlText w:val="%9."/>
      <w:lvlJc w:val="right"/>
      <w:pPr>
        <w:ind w:left="8237" w:hanging="180"/>
      </w:pPr>
      <w:rPr>
        <w:rFonts w:cs="Times New Roman"/>
      </w:rPr>
    </w:lvl>
  </w:abstractNum>
  <w:abstractNum w:abstractNumId="8" w15:restartNumberingAfterBreak="0">
    <w:nsid w:val="25F26071"/>
    <w:multiLevelType w:val="hybridMultilevel"/>
    <w:tmpl w:val="23C6BB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10" w15:restartNumberingAfterBreak="0">
    <w:nsid w:val="2F174613"/>
    <w:multiLevelType w:val="hybridMultilevel"/>
    <w:tmpl w:val="2B60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EA53E4"/>
    <w:multiLevelType w:val="hybridMultilevel"/>
    <w:tmpl w:val="B5D67EF2"/>
    <w:lvl w:ilvl="0" w:tplc="43604AC4">
      <w:start w:val="6"/>
      <w:numFmt w:val="bullet"/>
      <w:lvlText w:val=""/>
      <w:lvlJc w:val="left"/>
      <w:pPr>
        <w:ind w:left="-349" w:hanging="360"/>
      </w:pPr>
      <w:rPr>
        <w:rFonts w:ascii="Symbol" w:eastAsia="Times New Roman" w:hAnsi="Symbol" w:cs="Times New Roman" w:hint="default"/>
      </w:rPr>
    </w:lvl>
    <w:lvl w:ilvl="1" w:tplc="0C090003" w:tentative="1">
      <w:start w:val="1"/>
      <w:numFmt w:val="bullet"/>
      <w:lvlText w:val="o"/>
      <w:lvlJc w:val="left"/>
      <w:pPr>
        <w:ind w:left="371" w:hanging="360"/>
      </w:pPr>
      <w:rPr>
        <w:rFonts w:ascii="Courier New" w:hAnsi="Courier New" w:cs="Courier New" w:hint="default"/>
      </w:rPr>
    </w:lvl>
    <w:lvl w:ilvl="2" w:tplc="0C090005" w:tentative="1">
      <w:start w:val="1"/>
      <w:numFmt w:val="bullet"/>
      <w:lvlText w:val=""/>
      <w:lvlJc w:val="left"/>
      <w:pPr>
        <w:ind w:left="1091" w:hanging="360"/>
      </w:pPr>
      <w:rPr>
        <w:rFonts w:ascii="Wingdings" w:hAnsi="Wingdings" w:hint="default"/>
      </w:rPr>
    </w:lvl>
    <w:lvl w:ilvl="3" w:tplc="0C090001" w:tentative="1">
      <w:start w:val="1"/>
      <w:numFmt w:val="bullet"/>
      <w:lvlText w:val=""/>
      <w:lvlJc w:val="left"/>
      <w:pPr>
        <w:ind w:left="1811" w:hanging="360"/>
      </w:pPr>
      <w:rPr>
        <w:rFonts w:ascii="Symbol" w:hAnsi="Symbol" w:hint="default"/>
      </w:rPr>
    </w:lvl>
    <w:lvl w:ilvl="4" w:tplc="0C090003" w:tentative="1">
      <w:start w:val="1"/>
      <w:numFmt w:val="bullet"/>
      <w:lvlText w:val="o"/>
      <w:lvlJc w:val="left"/>
      <w:pPr>
        <w:ind w:left="2531" w:hanging="360"/>
      </w:pPr>
      <w:rPr>
        <w:rFonts w:ascii="Courier New" w:hAnsi="Courier New" w:cs="Courier New" w:hint="default"/>
      </w:rPr>
    </w:lvl>
    <w:lvl w:ilvl="5" w:tplc="0C090005" w:tentative="1">
      <w:start w:val="1"/>
      <w:numFmt w:val="bullet"/>
      <w:lvlText w:val=""/>
      <w:lvlJc w:val="left"/>
      <w:pPr>
        <w:ind w:left="3251" w:hanging="360"/>
      </w:pPr>
      <w:rPr>
        <w:rFonts w:ascii="Wingdings" w:hAnsi="Wingdings" w:hint="default"/>
      </w:rPr>
    </w:lvl>
    <w:lvl w:ilvl="6" w:tplc="0C090001" w:tentative="1">
      <w:start w:val="1"/>
      <w:numFmt w:val="bullet"/>
      <w:lvlText w:val=""/>
      <w:lvlJc w:val="left"/>
      <w:pPr>
        <w:ind w:left="3971" w:hanging="360"/>
      </w:pPr>
      <w:rPr>
        <w:rFonts w:ascii="Symbol" w:hAnsi="Symbol" w:hint="default"/>
      </w:rPr>
    </w:lvl>
    <w:lvl w:ilvl="7" w:tplc="0C090003" w:tentative="1">
      <w:start w:val="1"/>
      <w:numFmt w:val="bullet"/>
      <w:lvlText w:val="o"/>
      <w:lvlJc w:val="left"/>
      <w:pPr>
        <w:ind w:left="4691" w:hanging="360"/>
      </w:pPr>
      <w:rPr>
        <w:rFonts w:ascii="Courier New" w:hAnsi="Courier New" w:cs="Courier New" w:hint="default"/>
      </w:rPr>
    </w:lvl>
    <w:lvl w:ilvl="8" w:tplc="0C090005" w:tentative="1">
      <w:start w:val="1"/>
      <w:numFmt w:val="bullet"/>
      <w:lvlText w:val=""/>
      <w:lvlJc w:val="left"/>
      <w:pPr>
        <w:ind w:left="5411" w:hanging="360"/>
      </w:pPr>
      <w:rPr>
        <w:rFonts w:ascii="Wingdings" w:hAnsi="Wingdings" w:hint="default"/>
      </w:rPr>
    </w:lvl>
  </w:abstractNum>
  <w:abstractNum w:abstractNumId="12" w15:restartNumberingAfterBreak="0">
    <w:nsid w:val="40CB73F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8AF2DA2"/>
    <w:multiLevelType w:val="hybridMultilevel"/>
    <w:tmpl w:val="C7C45DF6"/>
    <w:lvl w:ilvl="0" w:tplc="0C090015">
      <w:start w:val="1"/>
      <w:numFmt w:val="upperLetter"/>
      <w:lvlText w:val="%1."/>
      <w:lvlJc w:val="left"/>
      <w:pPr>
        <w:ind w:left="2160" w:hanging="360"/>
      </w:p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4" w15:restartNumberingAfterBreak="0">
    <w:nsid w:val="4BC462D8"/>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50B7518C"/>
    <w:multiLevelType w:val="hybridMultilevel"/>
    <w:tmpl w:val="9E00D4B4"/>
    <w:lvl w:ilvl="0" w:tplc="23C486C0">
      <w:start w:val="1"/>
      <w:numFmt w:val="lowerLetter"/>
      <w:lvlText w:val="(%1)"/>
      <w:lvlJc w:val="left"/>
      <w:pPr>
        <w:ind w:left="1080" w:hanging="360"/>
      </w:pPr>
      <w:rPr>
        <w:rFonts w:hint="default"/>
      </w:rPr>
    </w:lvl>
    <w:lvl w:ilvl="1" w:tplc="0C09001B">
      <w:start w:val="1"/>
      <w:numFmt w:val="lowerRoman"/>
      <w:lvlText w:val="%2."/>
      <w:lvlJc w:val="righ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518819F1"/>
    <w:multiLevelType w:val="hybridMultilevel"/>
    <w:tmpl w:val="DC5EAD86"/>
    <w:lvl w:ilvl="0" w:tplc="F0D4BCA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6EE3806"/>
    <w:multiLevelType w:val="hybridMultilevel"/>
    <w:tmpl w:val="DAC8E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CC6738E"/>
    <w:multiLevelType w:val="hybridMultilevel"/>
    <w:tmpl w:val="A93252E8"/>
    <w:lvl w:ilvl="0" w:tplc="0C090001">
      <w:start w:val="1"/>
      <w:numFmt w:val="bullet"/>
      <w:lvlText w:val=""/>
      <w:lvlJc w:val="left"/>
      <w:pPr>
        <w:ind w:left="294" w:hanging="360"/>
      </w:pPr>
      <w:rPr>
        <w:rFonts w:ascii="Symbol" w:hAnsi="Symbol"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19" w15:restartNumberingAfterBreak="0">
    <w:nsid w:val="67E04B94"/>
    <w:multiLevelType w:val="hybridMultilevel"/>
    <w:tmpl w:val="977614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A494174"/>
    <w:multiLevelType w:val="hybridMultilevel"/>
    <w:tmpl w:val="954045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D6E72EB"/>
    <w:multiLevelType w:val="hybridMultilevel"/>
    <w:tmpl w:val="9A06442C"/>
    <w:lvl w:ilvl="0" w:tplc="23C486C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74065524"/>
    <w:multiLevelType w:val="hybridMultilevel"/>
    <w:tmpl w:val="16A87C64"/>
    <w:lvl w:ilvl="0" w:tplc="E962190C">
      <w:start w:val="1"/>
      <w:numFmt w:val="lowerLetter"/>
      <w:lvlText w:val="(%1)"/>
      <w:lvlJc w:val="left"/>
      <w:pPr>
        <w:ind w:left="1080" w:hanging="360"/>
      </w:pPr>
      <w:rPr>
        <w:rFonts w:hint="default"/>
      </w:rPr>
    </w:lvl>
    <w:lvl w:ilvl="1" w:tplc="0C09001B">
      <w:start w:val="1"/>
      <w:numFmt w:val="lowerRoman"/>
      <w:lvlText w:val="%2."/>
      <w:lvlJc w:val="righ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7EB5291E"/>
    <w:multiLevelType w:val="hybridMultilevel"/>
    <w:tmpl w:val="2EC830D8"/>
    <w:lvl w:ilvl="0" w:tplc="0C090001">
      <w:start w:val="1"/>
      <w:numFmt w:val="bullet"/>
      <w:lvlText w:val=""/>
      <w:lvlJc w:val="left"/>
      <w:pPr>
        <w:ind w:left="11" w:hanging="360"/>
      </w:pPr>
      <w:rPr>
        <w:rFonts w:ascii="Symbol" w:hAnsi="Symbol" w:hint="default"/>
      </w:rPr>
    </w:lvl>
    <w:lvl w:ilvl="1" w:tplc="0C090003" w:tentative="1">
      <w:start w:val="1"/>
      <w:numFmt w:val="bullet"/>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num w:numId="1" w16cid:durableId="1539506537">
    <w:abstractNumId w:val="9"/>
  </w:num>
  <w:num w:numId="2" w16cid:durableId="2028167995">
    <w:abstractNumId w:val="12"/>
  </w:num>
  <w:num w:numId="3" w16cid:durableId="337848700">
    <w:abstractNumId w:val="4"/>
  </w:num>
  <w:num w:numId="4" w16cid:durableId="527449400">
    <w:abstractNumId w:val="14"/>
  </w:num>
  <w:num w:numId="5" w16cid:durableId="2029595153">
    <w:abstractNumId w:val="7"/>
  </w:num>
  <w:num w:numId="6" w16cid:durableId="2047412178">
    <w:abstractNumId w:val="20"/>
  </w:num>
  <w:num w:numId="7" w16cid:durableId="450395686">
    <w:abstractNumId w:val="10"/>
  </w:num>
  <w:num w:numId="8" w16cid:durableId="895551907">
    <w:abstractNumId w:val="0"/>
  </w:num>
  <w:num w:numId="9" w16cid:durableId="900409678">
    <w:abstractNumId w:val="8"/>
  </w:num>
  <w:num w:numId="10" w16cid:durableId="1593121150">
    <w:abstractNumId w:val="6"/>
  </w:num>
  <w:num w:numId="11" w16cid:durableId="1735541026">
    <w:abstractNumId w:val="17"/>
  </w:num>
  <w:num w:numId="12" w16cid:durableId="127017512">
    <w:abstractNumId w:val="18"/>
  </w:num>
  <w:num w:numId="13" w16cid:durableId="1801222440">
    <w:abstractNumId w:val="23"/>
  </w:num>
  <w:num w:numId="14" w16cid:durableId="51659294">
    <w:abstractNumId w:val="19"/>
  </w:num>
  <w:num w:numId="15" w16cid:durableId="906960344">
    <w:abstractNumId w:val="1"/>
  </w:num>
  <w:num w:numId="16" w16cid:durableId="1534688720">
    <w:abstractNumId w:val="16"/>
  </w:num>
  <w:num w:numId="17" w16cid:durableId="1840192924">
    <w:abstractNumId w:val="11"/>
  </w:num>
  <w:num w:numId="18" w16cid:durableId="1583372289">
    <w:abstractNumId w:val="5"/>
  </w:num>
  <w:num w:numId="19" w16cid:durableId="989209472">
    <w:abstractNumId w:val="15"/>
  </w:num>
  <w:num w:numId="20" w16cid:durableId="1928079684">
    <w:abstractNumId w:val="13"/>
  </w:num>
  <w:num w:numId="21" w16cid:durableId="531193644">
    <w:abstractNumId w:val="21"/>
  </w:num>
  <w:num w:numId="22" w16cid:durableId="1813060475">
    <w:abstractNumId w:val="3"/>
  </w:num>
  <w:num w:numId="23" w16cid:durableId="674571152">
    <w:abstractNumId w:val="22"/>
  </w:num>
  <w:num w:numId="24" w16cid:durableId="11142554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EE8"/>
    <w:rsid w:val="00005AB1"/>
    <w:rsid w:val="0001013E"/>
    <w:rsid w:val="00017A43"/>
    <w:rsid w:val="0002548D"/>
    <w:rsid w:val="00026B68"/>
    <w:rsid w:val="000312B8"/>
    <w:rsid w:val="00045688"/>
    <w:rsid w:val="00051CF7"/>
    <w:rsid w:val="000524F8"/>
    <w:rsid w:val="000546C9"/>
    <w:rsid w:val="00061ED5"/>
    <w:rsid w:val="00064C50"/>
    <w:rsid w:val="0007282E"/>
    <w:rsid w:val="000A1D74"/>
    <w:rsid w:val="000A20F8"/>
    <w:rsid w:val="000A7147"/>
    <w:rsid w:val="000C2885"/>
    <w:rsid w:val="000C51F3"/>
    <w:rsid w:val="000D4040"/>
    <w:rsid w:val="000D7BE8"/>
    <w:rsid w:val="000D7F32"/>
    <w:rsid w:val="000E6E8A"/>
    <w:rsid w:val="000F6914"/>
    <w:rsid w:val="0010022D"/>
    <w:rsid w:val="00105E09"/>
    <w:rsid w:val="001074C2"/>
    <w:rsid w:val="00112814"/>
    <w:rsid w:val="00121D1E"/>
    <w:rsid w:val="00123A4C"/>
    <w:rsid w:val="00125589"/>
    <w:rsid w:val="001303DB"/>
    <w:rsid w:val="00132EB8"/>
    <w:rsid w:val="001409B2"/>
    <w:rsid w:val="001521D7"/>
    <w:rsid w:val="00153E52"/>
    <w:rsid w:val="00166DC7"/>
    <w:rsid w:val="001735D6"/>
    <w:rsid w:val="00176269"/>
    <w:rsid w:val="00183F05"/>
    <w:rsid w:val="001A3D4C"/>
    <w:rsid w:val="001B789F"/>
    <w:rsid w:val="001C1BF4"/>
    <w:rsid w:val="001E19CC"/>
    <w:rsid w:val="001E537E"/>
    <w:rsid w:val="0020038B"/>
    <w:rsid w:val="002103C9"/>
    <w:rsid w:val="002224C7"/>
    <w:rsid w:val="002405E4"/>
    <w:rsid w:val="002459D7"/>
    <w:rsid w:val="00257A3D"/>
    <w:rsid w:val="00261F50"/>
    <w:rsid w:val="00263367"/>
    <w:rsid w:val="002866CC"/>
    <w:rsid w:val="002909B5"/>
    <w:rsid w:val="002927E8"/>
    <w:rsid w:val="002A4081"/>
    <w:rsid w:val="002A4E46"/>
    <w:rsid w:val="002B6191"/>
    <w:rsid w:val="002B73E6"/>
    <w:rsid w:val="002D20A3"/>
    <w:rsid w:val="002D5083"/>
    <w:rsid w:val="002F2AB2"/>
    <w:rsid w:val="0030789A"/>
    <w:rsid w:val="0031631E"/>
    <w:rsid w:val="00321084"/>
    <w:rsid w:val="00322667"/>
    <w:rsid w:val="0034023D"/>
    <w:rsid w:val="00351184"/>
    <w:rsid w:val="00372DE4"/>
    <w:rsid w:val="00384A76"/>
    <w:rsid w:val="0038515B"/>
    <w:rsid w:val="003A2358"/>
    <w:rsid w:val="003B7CCA"/>
    <w:rsid w:val="003E17A1"/>
    <w:rsid w:val="003E21E6"/>
    <w:rsid w:val="003E7980"/>
    <w:rsid w:val="003F7B99"/>
    <w:rsid w:val="00404EEF"/>
    <w:rsid w:val="004105EB"/>
    <w:rsid w:val="00416230"/>
    <w:rsid w:val="004212FD"/>
    <w:rsid w:val="004338F9"/>
    <w:rsid w:val="00443495"/>
    <w:rsid w:val="0044702C"/>
    <w:rsid w:val="00451409"/>
    <w:rsid w:val="00452657"/>
    <w:rsid w:val="00455348"/>
    <w:rsid w:val="00461955"/>
    <w:rsid w:val="004653EE"/>
    <w:rsid w:val="00481E6B"/>
    <w:rsid w:val="004864D0"/>
    <w:rsid w:val="004B4F11"/>
    <w:rsid w:val="004C4EE8"/>
    <w:rsid w:val="004D3490"/>
    <w:rsid w:val="004E0F10"/>
    <w:rsid w:val="004F55F2"/>
    <w:rsid w:val="005225F1"/>
    <w:rsid w:val="00532CC7"/>
    <w:rsid w:val="0054175C"/>
    <w:rsid w:val="005541B0"/>
    <w:rsid w:val="00564C9D"/>
    <w:rsid w:val="0057236E"/>
    <w:rsid w:val="0059092E"/>
    <w:rsid w:val="00593021"/>
    <w:rsid w:val="005A1C3E"/>
    <w:rsid w:val="005A75D9"/>
    <w:rsid w:val="005B278C"/>
    <w:rsid w:val="005B4D44"/>
    <w:rsid w:val="005B68C3"/>
    <w:rsid w:val="005D17A0"/>
    <w:rsid w:val="005D5BFE"/>
    <w:rsid w:val="005F4A83"/>
    <w:rsid w:val="00642C46"/>
    <w:rsid w:val="0064360C"/>
    <w:rsid w:val="00644C3F"/>
    <w:rsid w:val="00646210"/>
    <w:rsid w:val="00650CF3"/>
    <w:rsid w:val="00666B5B"/>
    <w:rsid w:val="006776EC"/>
    <w:rsid w:val="00682426"/>
    <w:rsid w:val="006914AE"/>
    <w:rsid w:val="006A12E1"/>
    <w:rsid w:val="006A42C7"/>
    <w:rsid w:val="006A63EE"/>
    <w:rsid w:val="006B32EC"/>
    <w:rsid w:val="006D6EDA"/>
    <w:rsid w:val="006E4AB3"/>
    <w:rsid w:val="006E73B9"/>
    <w:rsid w:val="006F2079"/>
    <w:rsid w:val="006F2BFE"/>
    <w:rsid w:val="00704B30"/>
    <w:rsid w:val="007143CE"/>
    <w:rsid w:val="007160EA"/>
    <w:rsid w:val="00726CEB"/>
    <w:rsid w:val="00734625"/>
    <w:rsid w:val="00737B95"/>
    <w:rsid w:val="007464E2"/>
    <w:rsid w:val="00747C5E"/>
    <w:rsid w:val="00760090"/>
    <w:rsid w:val="00771394"/>
    <w:rsid w:val="00775A2F"/>
    <w:rsid w:val="007776C1"/>
    <w:rsid w:val="00785DB5"/>
    <w:rsid w:val="007860AC"/>
    <w:rsid w:val="007868E9"/>
    <w:rsid w:val="00787F33"/>
    <w:rsid w:val="007D1444"/>
    <w:rsid w:val="007F0753"/>
    <w:rsid w:val="00817687"/>
    <w:rsid w:val="008250DE"/>
    <w:rsid w:val="008426DA"/>
    <w:rsid w:val="00851F10"/>
    <w:rsid w:val="00860FC5"/>
    <w:rsid w:val="00862E51"/>
    <w:rsid w:val="008909D2"/>
    <w:rsid w:val="00896FFC"/>
    <w:rsid w:val="008A53C2"/>
    <w:rsid w:val="008E4B84"/>
    <w:rsid w:val="008E6294"/>
    <w:rsid w:val="008F3410"/>
    <w:rsid w:val="008F6567"/>
    <w:rsid w:val="0090686D"/>
    <w:rsid w:val="009135AA"/>
    <w:rsid w:val="009172CE"/>
    <w:rsid w:val="009209DE"/>
    <w:rsid w:val="00927238"/>
    <w:rsid w:val="009272B8"/>
    <w:rsid w:val="00931BD7"/>
    <w:rsid w:val="00932BA3"/>
    <w:rsid w:val="00934D17"/>
    <w:rsid w:val="009368B2"/>
    <w:rsid w:val="00941266"/>
    <w:rsid w:val="00946B32"/>
    <w:rsid w:val="00946D7A"/>
    <w:rsid w:val="00962FFE"/>
    <w:rsid w:val="0099264E"/>
    <w:rsid w:val="009D18AF"/>
    <w:rsid w:val="009F0B5F"/>
    <w:rsid w:val="00A12F0B"/>
    <w:rsid w:val="00A2305A"/>
    <w:rsid w:val="00A328B0"/>
    <w:rsid w:val="00A40D18"/>
    <w:rsid w:val="00A46969"/>
    <w:rsid w:val="00A51EBC"/>
    <w:rsid w:val="00A613B0"/>
    <w:rsid w:val="00A6307D"/>
    <w:rsid w:val="00A83E88"/>
    <w:rsid w:val="00A925B3"/>
    <w:rsid w:val="00AB6668"/>
    <w:rsid w:val="00AB6E79"/>
    <w:rsid w:val="00AC1647"/>
    <w:rsid w:val="00AC210B"/>
    <w:rsid w:val="00AC5CD7"/>
    <w:rsid w:val="00AC61E1"/>
    <w:rsid w:val="00AE1F18"/>
    <w:rsid w:val="00AE2585"/>
    <w:rsid w:val="00AE3211"/>
    <w:rsid w:val="00AE5D6B"/>
    <w:rsid w:val="00AF51D2"/>
    <w:rsid w:val="00B1210C"/>
    <w:rsid w:val="00B1384C"/>
    <w:rsid w:val="00B13A6A"/>
    <w:rsid w:val="00B22F17"/>
    <w:rsid w:val="00B4493C"/>
    <w:rsid w:val="00B63B0A"/>
    <w:rsid w:val="00B65D04"/>
    <w:rsid w:val="00B7018B"/>
    <w:rsid w:val="00B803BA"/>
    <w:rsid w:val="00B92B7A"/>
    <w:rsid w:val="00B950D6"/>
    <w:rsid w:val="00BA04A9"/>
    <w:rsid w:val="00BA6067"/>
    <w:rsid w:val="00BB011E"/>
    <w:rsid w:val="00BC23EF"/>
    <w:rsid w:val="00BC67CF"/>
    <w:rsid w:val="00BC716C"/>
    <w:rsid w:val="00BC7E7D"/>
    <w:rsid w:val="00BF3BD9"/>
    <w:rsid w:val="00BF5138"/>
    <w:rsid w:val="00BF58CA"/>
    <w:rsid w:val="00BF6527"/>
    <w:rsid w:val="00C16674"/>
    <w:rsid w:val="00C35DBB"/>
    <w:rsid w:val="00C439C0"/>
    <w:rsid w:val="00C44258"/>
    <w:rsid w:val="00C575E1"/>
    <w:rsid w:val="00C577D7"/>
    <w:rsid w:val="00C724CE"/>
    <w:rsid w:val="00C74209"/>
    <w:rsid w:val="00C7536A"/>
    <w:rsid w:val="00C762CD"/>
    <w:rsid w:val="00C816FE"/>
    <w:rsid w:val="00C85F61"/>
    <w:rsid w:val="00C8753B"/>
    <w:rsid w:val="00CC6ABD"/>
    <w:rsid w:val="00CD1D80"/>
    <w:rsid w:val="00CD3029"/>
    <w:rsid w:val="00CF41E5"/>
    <w:rsid w:val="00D02543"/>
    <w:rsid w:val="00D0290D"/>
    <w:rsid w:val="00D04389"/>
    <w:rsid w:val="00D10719"/>
    <w:rsid w:val="00D513E2"/>
    <w:rsid w:val="00D51CAF"/>
    <w:rsid w:val="00D64231"/>
    <w:rsid w:val="00D65DC4"/>
    <w:rsid w:val="00D671CF"/>
    <w:rsid w:val="00D733B0"/>
    <w:rsid w:val="00D73487"/>
    <w:rsid w:val="00D86FA7"/>
    <w:rsid w:val="00DA1578"/>
    <w:rsid w:val="00DB7122"/>
    <w:rsid w:val="00DC720E"/>
    <w:rsid w:val="00DD2E94"/>
    <w:rsid w:val="00DE0359"/>
    <w:rsid w:val="00DE3B1D"/>
    <w:rsid w:val="00DE5810"/>
    <w:rsid w:val="00DF2553"/>
    <w:rsid w:val="00DF6087"/>
    <w:rsid w:val="00E0608F"/>
    <w:rsid w:val="00E110CE"/>
    <w:rsid w:val="00E24714"/>
    <w:rsid w:val="00E35B0F"/>
    <w:rsid w:val="00E474E8"/>
    <w:rsid w:val="00E50E0B"/>
    <w:rsid w:val="00E51329"/>
    <w:rsid w:val="00E70811"/>
    <w:rsid w:val="00E76B3C"/>
    <w:rsid w:val="00E7750F"/>
    <w:rsid w:val="00E81BDE"/>
    <w:rsid w:val="00E82657"/>
    <w:rsid w:val="00E948C2"/>
    <w:rsid w:val="00E97925"/>
    <w:rsid w:val="00EA039D"/>
    <w:rsid w:val="00EA3341"/>
    <w:rsid w:val="00EB1B61"/>
    <w:rsid w:val="00EC3D23"/>
    <w:rsid w:val="00EC4B5A"/>
    <w:rsid w:val="00EE0845"/>
    <w:rsid w:val="00EF5D76"/>
    <w:rsid w:val="00F0144D"/>
    <w:rsid w:val="00F14DC7"/>
    <w:rsid w:val="00F22261"/>
    <w:rsid w:val="00F24B04"/>
    <w:rsid w:val="00F411E6"/>
    <w:rsid w:val="00F5386B"/>
    <w:rsid w:val="00F55E33"/>
    <w:rsid w:val="00F66730"/>
    <w:rsid w:val="00F76FC7"/>
    <w:rsid w:val="00FB1FE9"/>
    <w:rsid w:val="00FC2A55"/>
    <w:rsid w:val="00FD2B90"/>
    <w:rsid w:val="00FE0166"/>
    <w:rsid w:val="00FE37E2"/>
    <w:rsid w:val="00FF70A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6178"/>
  <w15:docId w15:val="{2486D544-C44F-4A5A-85BE-39471C9ED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789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B789F"/>
    <w:pPr>
      <w:spacing w:before="160"/>
      <w:jc w:val="center"/>
    </w:pPr>
    <w:rPr>
      <w:rFonts w:ascii="Arial" w:hAnsi="Arial"/>
      <w:b/>
      <w:u w:val="single"/>
    </w:rPr>
  </w:style>
  <w:style w:type="paragraph" w:styleId="BodyTextIndent">
    <w:name w:val="Body Text Indent"/>
    <w:basedOn w:val="Normal"/>
    <w:rsid w:val="001B789F"/>
    <w:pPr>
      <w:spacing w:line="240" w:lineRule="exact"/>
      <w:ind w:left="709" w:firstLine="11"/>
      <w:jc w:val="both"/>
    </w:pPr>
    <w:rPr>
      <w:rFonts w:ascii="Arial" w:hAnsi="Arial"/>
    </w:rPr>
  </w:style>
  <w:style w:type="paragraph" w:styleId="BodyTextIndent2">
    <w:name w:val="Body Text Indent 2"/>
    <w:basedOn w:val="Normal"/>
    <w:rsid w:val="001B789F"/>
    <w:pPr>
      <w:spacing w:line="240" w:lineRule="exact"/>
      <w:ind w:left="720" w:hanging="720"/>
      <w:jc w:val="both"/>
    </w:pPr>
    <w:rPr>
      <w:rFonts w:ascii="Arial" w:hAnsi="Arial"/>
      <w:color w:val="FF0000"/>
    </w:rPr>
  </w:style>
  <w:style w:type="paragraph" w:styleId="BodyText">
    <w:name w:val="Body Text"/>
    <w:basedOn w:val="Normal"/>
    <w:rsid w:val="001B789F"/>
    <w:pPr>
      <w:spacing w:line="240" w:lineRule="exact"/>
      <w:jc w:val="both"/>
    </w:pPr>
    <w:rPr>
      <w:rFonts w:ascii="Arial" w:hAnsi="Arial"/>
    </w:rPr>
  </w:style>
  <w:style w:type="paragraph" w:styleId="BodyTextIndent3">
    <w:name w:val="Body Text Indent 3"/>
    <w:basedOn w:val="Normal"/>
    <w:rsid w:val="001B789F"/>
    <w:pPr>
      <w:spacing w:line="240" w:lineRule="exact"/>
      <w:ind w:firstLine="720"/>
      <w:jc w:val="both"/>
    </w:pPr>
    <w:rPr>
      <w:rFonts w:ascii="Arial" w:hAnsi="Arial"/>
    </w:rPr>
  </w:style>
  <w:style w:type="paragraph" w:styleId="BalloonText">
    <w:name w:val="Balloon Text"/>
    <w:basedOn w:val="Normal"/>
    <w:semiHidden/>
    <w:rsid w:val="00C724CE"/>
    <w:rPr>
      <w:rFonts w:ascii="Tahoma" w:hAnsi="Tahoma" w:cs="Tahoma"/>
      <w:sz w:val="16"/>
      <w:szCs w:val="16"/>
    </w:rPr>
  </w:style>
  <w:style w:type="paragraph" w:styleId="ListParagraph">
    <w:name w:val="List Paragraph"/>
    <w:basedOn w:val="Normal"/>
    <w:uiPriority w:val="34"/>
    <w:qFormat/>
    <w:rsid w:val="00005AB1"/>
    <w:pPr>
      <w:spacing w:after="200" w:line="276" w:lineRule="auto"/>
      <w:ind w:left="720"/>
      <w:contextualSpacing/>
    </w:pPr>
    <w:rPr>
      <w:rFonts w:ascii="Calibri" w:hAnsi="Calibri"/>
      <w:sz w:val="22"/>
      <w:szCs w:val="22"/>
      <w:lang w:val="en-US" w:eastAsia="en-US"/>
    </w:rPr>
  </w:style>
  <w:style w:type="character" w:styleId="Hyperlink">
    <w:name w:val="Hyperlink"/>
    <w:rsid w:val="00BA04A9"/>
    <w:rPr>
      <w:color w:val="0000FF"/>
      <w:u w:val="single"/>
    </w:rPr>
  </w:style>
  <w:style w:type="character" w:styleId="FollowedHyperlink">
    <w:name w:val="FollowedHyperlink"/>
    <w:basedOn w:val="DefaultParagraphFont"/>
    <w:semiHidden/>
    <w:unhideWhenUsed/>
    <w:rsid w:val="008F6567"/>
    <w:rPr>
      <w:color w:val="800080" w:themeColor="followedHyperlink"/>
      <w:u w:val="single"/>
    </w:rPr>
  </w:style>
  <w:style w:type="paragraph" w:customStyle="1" w:styleId="Default">
    <w:name w:val="Default"/>
    <w:rsid w:val="00775A2F"/>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F0B5F"/>
    <w:rPr>
      <w:color w:val="605E5C"/>
      <w:shd w:val="clear" w:color="auto" w:fill="E1DFDD"/>
    </w:rPr>
  </w:style>
  <w:style w:type="paragraph" w:styleId="FootnoteText">
    <w:name w:val="footnote text"/>
    <w:basedOn w:val="Normal"/>
    <w:link w:val="FootnoteTextChar"/>
    <w:uiPriority w:val="99"/>
    <w:semiHidden/>
    <w:unhideWhenUsed/>
    <w:rsid w:val="000546C9"/>
    <w:pPr>
      <w:pBdr>
        <w:top w:val="nil"/>
        <w:left w:val="nil"/>
        <w:bottom w:val="nil"/>
        <w:right w:val="nil"/>
        <w:between w:val="nil"/>
        <w:bar w:val="nil"/>
      </w:pBdr>
    </w:pPr>
    <w:rPr>
      <w:rFonts w:eastAsia="Arial Unicode MS"/>
      <w:sz w:val="20"/>
      <w:bdr w:val="nil"/>
      <w:lang w:eastAsia="en-US"/>
    </w:rPr>
  </w:style>
  <w:style w:type="character" w:customStyle="1" w:styleId="FootnoteTextChar">
    <w:name w:val="Footnote Text Char"/>
    <w:basedOn w:val="DefaultParagraphFont"/>
    <w:link w:val="FootnoteText"/>
    <w:uiPriority w:val="99"/>
    <w:semiHidden/>
    <w:rsid w:val="000546C9"/>
    <w:rPr>
      <w:rFonts w:eastAsia="Arial Unicode MS"/>
      <w:bdr w:val="nil"/>
      <w:lang w:eastAsia="en-US"/>
    </w:rPr>
  </w:style>
  <w:style w:type="character" w:styleId="FootnoteReference">
    <w:name w:val="footnote reference"/>
    <w:basedOn w:val="DefaultParagraphFont"/>
    <w:uiPriority w:val="99"/>
    <w:semiHidden/>
    <w:unhideWhenUsed/>
    <w:rsid w:val="000546C9"/>
    <w:rPr>
      <w:vertAlign w:val="superscript"/>
    </w:rPr>
  </w:style>
  <w:style w:type="paragraph" w:customStyle="1" w:styleId="Footnotes">
    <w:name w:val="Footnotes"/>
    <w:basedOn w:val="FootnoteText"/>
    <w:link w:val="FootnotesChar"/>
    <w:qFormat/>
    <w:rsid w:val="0064360C"/>
    <w:pPr>
      <w:ind w:left="142" w:hanging="142"/>
    </w:pPr>
    <w:rPr>
      <w:rFonts w:ascii="Arial" w:hAnsi="Arial" w:cs="Arial"/>
    </w:rPr>
  </w:style>
  <w:style w:type="character" w:customStyle="1" w:styleId="FootnotesChar">
    <w:name w:val="Footnotes Char"/>
    <w:basedOn w:val="FootnoteTextChar"/>
    <w:link w:val="Footnotes"/>
    <w:rsid w:val="0064360C"/>
    <w:rPr>
      <w:rFonts w:ascii="Arial" w:eastAsia="Arial Unicode MS" w:hAnsi="Arial" w:cs="Arial"/>
      <w:bdr w:val="ni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quor.Commission@nt.gov.a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51C85F0A7E4549A64946DA48D403F1" ma:contentTypeVersion="15" ma:contentTypeDescription="Create a new document." ma:contentTypeScope="" ma:versionID="7c644191adc7e0b8c6d16b2abbe8b528">
  <xsd:schema xmlns:xsd="http://www.w3.org/2001/XMLSchema" xmlns:xs="http://www.w3.org/2001/XMLSchema" xmlns:p="http://schemas.microsoft.com/office/2006/metadata/properties" xmlns:ns3="09dcc3dc-0040-4cdc-98b7-3e5c0912767c" xmlns:ns4="f2d8b449-ac0b-4b31-8fc9-eb4587cb1648" targetNamespace="http://schemas.microsoft.com/office/2006/metadata/properties" ma:root="true" ma:fieldsID="7a4748c94fccce31d813179bd7d018f1" ns3:_="" ns4:_="">
    <xsd:import namespace="09dcc3dc-0040-4cdc-98b7-3e5c0912767c"/>
    <xsd:import namespace="f2d8b449-ac0b-4b31-8fc9-eb4587cb164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AutoTags" minOccurs="0"/>
                <xsd:element ref="ns4:MediaServiceGenerationTime" minOccurs="0"/>
                <xsd:element ref="ns4:MediaServiceEventHashCode" minOccurs="0"/>
                <xsd:element ref="ns4:MediaServiceSearchProperties" minOccurs="0"/>
                <xsd:element ref="ns4:MediaServiceObjectDetectorVersions" minOccurs="0"/>
                <xsd:element ref="ns4:MediaServiceSystemTag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cc3dc-0040-4cdc-98b7-3e5c0912767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d8b449-ac0b-4b31-8fc9-eb4587cb164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roperties xmlns="http://www.imanage.com/work/xmlschema">
  <documentid>FINLIB!11877444.1</documentid>
  <senderid>RWB</senderid>
  <senderemail>RUBY.BROOKS@FINLAYSONS.COM.AU</senderemail>
  <lastmodified>2026-06-18T12:00:00.0000000+09:30</lastmodified>
  <database>FINLIB</database>
</properties>
</file>

<file path=customXml/item3.xml><?xml version="1.0" encoding="utf-8"?>
<p:properties xmlns:p="http://schemas.microsoft.com/office/2006/metadata/properties" xmlns:xsi="http://www.w3.org/2001/XMLSchema-instance" xmlns:pc="http://schemas.microsoft.com/office/infopath/2007/PartnerControls">
  <documentManagement>
    <_activity xmlns="f2d8b449-ac0b-4b31-8fc9-eb4587cb164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7C3001-058C-43C4-B0A2-C0E44A25B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cc3dc-0040-4cdc-98b7-3e5c0912767c"/>
    <ds:schemaRef ds:uri="f2d8b449-ac0b-4b31-8fc9-eb4587cb1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DD45E5-BD52-445C-A0FB-8ECA8CDB0A75}">
  <ds:schemaRefs>
    <ds:schemaRef ds:uri="http://www.imanage.com/work/xmlschema"/>
  </ds:schemaRefs>
</ds:datastoreItem>
</file>

<file path=customXml/itemProps3.xml><?xml version="1.0" encoding="utf-8"?>
<ds:datastoreItem xmlns:ds="http://schemas.openxmlformats.org/officeDocument/2006/customXml" ds:itemID="{F1FFBC42-B6B4-46BD-89DC-6E07E110E2CA}">
  <ds:schemaRefs>
    <ds:schemaRef ds:uri="http://schemas.microsoft.com/office/2006/metadata/properties"/>
    <ds:schemaRef ds:uri="http://schemas.microsoft.com/office/infopath/2007/PartnerControls"/>
    <ds:schemaRef ds:uri="f2d8b449-ac0b-4b31-8fc9-eb4587cb1648"/>
  </ds:schemaRefs>
</ds:datastoreItem>
</file>

<file path=customXml/itemProps4.xml><?xml version="1.0" encoding="utf-8"?>
<ds:datastoreItem xmlns:ds="http://schemas.openxmlformats.org/officeDocument/2006/customXml" ds:itemID="{CCE6231C-AE28-412D-9F14-82872C1FD5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854</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S27 Notice of Application for Liquor Licence - Template</vt:lpstr>
    </vt:vector>
  </TitlesOfParts>
  <Company>RGL</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 Notice of Application for Liquor Licence - Template</dc:title>
  <dc:creator>NorthernTerritoryGovernment@ntgov.onmicrosoft.com</dc:creator>
  <cp:lastModifiedBy>Andrea Ruske</cp:lastModifiedBy>
  <cp:revision>3</cp:revision>
  <cp:lastPrinted>2022-08-04T06:17:00Z</cp:lastPrinted>
  <dcterms:created xsi:type="dcterms:W3CDTF">2026-06-22T00:23:00Z</dcterms:created>
  <dcterms:modified xsi:type="dcterms:W3CDTF">2026-06-22T00:24:00Z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0x0101003451C85F0A7E4549A64946DA48D403F1</vt:lpwstr>
  </property>
</Properties>
</file>