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Heading1Char"/>
          <w:color w:val="4472C4" w:themeColor="accent5"/>
          <w:spacing w:val="10"/>
          <w:sz w:val="44"/>
          <w:szCs w:val="64"/>
          <w:lang w:eastAsia="en-US"/>
        </w:rPr>
        <w:alias w:val="Title"/>
        <w:tag w:val="Title"/>
        <w:id w:val="-509755993"/>
        <w:placeholder>
          <w:docPart w:val="6B1C10714AEA46ECA4008873A67B862B"/>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rPr>
          <w:rStyle w:val="Heading1Char"/>
        </w:rPr>
      </w:sdtEndPr>
      <w:sdtContent>
        <w:p w14:paraId="0AADC98F" w14:textId="77777777" w:rsidR="00C63219" w:rsidRPr="004A439A" w:rsidRDefault="00B15194" w:rsidP="004B3290">
          <w:pPr>
            <w:pStyle w:val="Title"/>
            <w:pBdr>
              <w:bottom w:val="single" w:sz="4" w:space="1" w:color="auto"/>
            </w:pBdr>
            <w:spacing w:after="200"/>
            <w:jc w:val="center"/>
            <w:rPr>
              <w:color w:val="4472C4" w:themeColor="accent5"/>
              <w:spacing w:val="10"/>
              <w:sz w:val="44"/>
            </w:rPr>
          </w:pPr>
          <w:r>
            <w:rPr>
              <w:rStyle w:val="Heading1Char"/>
              <w:color w:val="4472C4" w:themeColor="accent5"/>
              <w:spacing w:val="10"/>
              <w:sz w:val="44"/>
              <w:szCs w:val="64"/>
              <w:lang w:eastAsia="en-US"/>
            </w:rPr>
            <w:t>Health Care Decision Making for Adults with Impaired Decision Making Capacity</w:t>
          </w:r>
        </w:p>
      </w:sdtContent>
    </w:sdt>
    <w:bookmarkStart w:id="0" w:name="_Toc15286907" w:displacedByCustomXml="prev"/>
    <w:bookmarkStart w:id="1" w:name="_Toc15286861" w:displacedByCustomXml="prev"/>
    <w:bookmarkEnd w:id="1"/>
    <w:bookmarkEnd w:id="0"/>
    <w:p w14:paraId="0AADC990" w14:textId="77777777" w:rsidR="00AC1B8B" w:rsidRDefault="00AC1B8B">
      <w:pPr>
        <w:pStyle w:val="Heading1"/>
        <w:sectPr w:rsidR="00AC1B8B" w:rsidSect="002F5F75">
          <w:headerReference w:type="default" r:id="rId8"/>
          <w:footerReference w:type="default" r:id="rId9"/>
          <w:headerReference w:type="first" r:id="rId10"/>
          <w:footerReference w:type="first" r:id="rId11"/>
          <w:pgSz w:w="11906" w:h="16838" w:code="9"/>
          <w:pgMar w:top="917" w:right="794" w:bottom="794" w:left="794" w:header="284" w:footer="349" w:gutter="0"/>
          <w:cols w:space="708"/>
          <w:titlePg/>
          <w:docGrid w:linePitch="360"/>
        </w:sectPr>
      </w:pPr>
    </w:p>
    <w:p w14:paraId="0AADC991" w14:textId="77777777" w:rsidR="00C63219" w:rsidRPr="002E54AF" w:rsidRDefault="00C63219">
      <w:pPr>
        <w:pStyle w:val="Heading1"/>
      </w:pPr>
      <w:r w:rsidRPr="00C63219">
        <w:t xml:space="preserve">What does the </w:t>
      </w:r>
      <w:r w:rsidRPr="00084125">
        <w:t>Health Care Decision Making Act</w:t>
      </w:r>
      <w:r w:rsidR="003D7071" w:rsidRPr="00084125">
        <w:t xml:space="preserve"> </w:t>
      </w:r>
      <w:r w:rsidR="002E54AF" w:rsidRPr="00084125">
        <w:t>2024</w:t>
      </w:r>
      <w:r w:rsidR="002E54AF" w:rsidRPr="002E54AF">
        <w:t xml:space="preserve"> </w:t>
      </w:r>
      <w:r w:rsidRPr="002E54AF">
        <w:t>do?</w:t>
      </w:r>
    </w:p>
    <w:p w14:paraId="0AADC992" w14:textId="77777777" w:rsidR="00C63219" w:rsidRDefault="00C63219" w:rsidP="00C63219">
      <w:pPr>
        <w:jc w:val="both"/>
        <w:rPr>
          <w:lang w:eastAsia="en-AU"/>
        </w:rPr>
      </w:pPr>
      <w:r w:rsidRPr="002E54AF">
        <w:rPr>
          <w:lang w:eastAsia="en-AU"/>
        </w:rPr>
        <w:t xml:space="preserve">The </w:t>
      </w:r>
      <w:r w:rsidR="003D7071" w:rsidRPr="002E54AF">
        <w:rPr>
          <w:i/>
          <w:lang w:eastAsia="en-AU"/>
        </w:rPr>
        <w:t>Health Care Decision Making</w:t>
      </w:r>
      <w:r w:rsidR="003D7071" w:rsidRPr="003D7071">
        <w:rPr>
          <w:i/>
          <w:lang w:eastAsia="en-AU"/>
        </w:rPr>
        <w:t xml:space="preserve"> Act</w:t>
      </w:r>
      <w:r w:rsidR="003D7071">
        <w:rPr>
          <w:i/>
          <w:lang w:eastAsia="en-AU"/>
        </w:rPr>
        <w:t xml:space="preserve"> 2023</w:t>
      </w:r>
      <w:r w:rsidR="003D7071" w:rsidRPr="003D7071">
        <w:rPr>
          <w:lang w:eastAsia="en-AU"/>
        </w:rPr>
        <w:t xml:space="preserve"> (the Act) </w:t>
      </w:r>
      <w:r w:rsidRPr="00C63219">
        <w:rPr>
          <w:lang w:eastAsia="en-AU"/>
        </w:rPr>
        <w:t xml:space="preserve">creates a central </w:t>
      </w:r>
      <w:r w:rsidR="008F40EF">
        <w:rPr>
          <w:lang w:eastAsia="en-AU"/>
        </w:rPr>
        <w:t xml:space="preserve">health care decisions making </w:t>
      </w:r>
      <w:r w:rsidRPr="00C63219">
        <w:rPr>
          <w:lang w:eastAsia="en-AU"/>
        </w:rPr>
        <w:t>framework for a</w:t>
      </w:r>
      <w:r w:rsidR="00F35B45">
        <w:rPr>
          <w:lang w:eastAsia="en-AU"/>
        </w:rPr>
        <w:t>n adult with impaired decision making capacity</w:t>
      </w:r>
      <w:r w:rsidR="008F40EF">
        <w:rPr>
          <w:lang w:eastAsia="en-AU"/>
        </w:rPr>
        <w:t>.</w:t>
      </w:r>
    </w:p>
    <w:p w14:paraId="0AADC993" w14:textId="77777777" w:rsidR="00640B9D" w:rsidRDefault="00640B9D" w:rsidP="00C34665">
      <w:pPr>
        <w:jc w:val="both"/>
        <w:rPr>
          <w:lang w:eastAsia="en-AU"/>
        </w:rPr>
      </w:pPr>
      <w:r w:rsidRPr="00640B9D">
        <w:rPr>
          <w:lang w:eastAsia="en-AU"/>
        </w:rPr>
        <w:t xml:space="preserve">The reforms </w:t>
      </w:r>
      <w:r w:rsidR="003F4092">
        <w:rPr>
          <w:lang w:eastAsia="en-AU"/>
        </w:rPr>
        <w:t xml:space="preserve">establish a clear hierarchy of people, which includes </w:t>
      </w:r>
      <w:r w:rsidR="00C34665">
        <w:rPr>
          <w:lang w:eastAsia="en-AU"/>
        </w:rPr>
        <w:t>family members and other persons who have an existing relationship to the adult</w:t>
      </w:r>
      <w:r w:rsidR="003F4092">
        <w:rPr>
          <w:lang w:eastAsia="en-AU"/>
        </w:rPr>
        <w:t>,</w:t>
      </w:r>
      <w:r w:rsidR="00C34665">
        <w:rPr>
          <w:lang w:eastAsia="en-AU"/>
        </w:rPr>
        <w:t xml:space="preserve"> </w:t>
      </w:r>
      <w:r w:rsidR="003F4092">
        <w:rPr>
          <w:lang w:eastAsia="en-AU"/>
        </w:rPr>
        <w:t xml:space="preserve">allowing them </w:t>
      </w:r>
      <w:r w:rsidR="00C34665">
        <w:rPr>
          <w:lang w:eastAsia="en-AU"/>
        </w:rPr>
        <w:t xml:space="preserve">to make health care decisions on </w:t>
      </w:r>
      <w:r w:rsidR="003F4092">
        <w:rPr>
          <w:lang w:eastAsia="en-AU"/>
        </w:rPr>
        <w:t xml:space="preserve">the adult’s </w:t>
      </w:r>
      <w:r w:rsidR="00C34665">
        <w:rPr>
          <w:lang w:eastAsia="en-AU"/>
        </w:rPr>
        <w:t>behalf</w:t>
      </w:r>
      <w:r w:rsidR="003F4092">
        <w:rPr>
          <w:lang w:eastAsia="en-AU"/>
        </w:rPr>
        <w:t xml:space="preserve">. They ensure </w:t>
      </w:r>
      <w:r w:rsidR="00C34665">
        <w:rPr>
          <w:lang w:eastAsia="en-AU"/>
        </w:rPr>
        <w:t>that</w:t>
      </w:r>
      <w:r w:rsidR="003F4092">
        <w:rPr>
          <w:lang w:eastAsia="en-AU"/>
        </w:rPr>
        <w:t>,</w:t>
      </w:r>
      <w:r w:rsidR="00C34665">
        <w:rPr>
          <w:lang w:eastAsia="en-AU"/>
        </w:rPr>
        <w:t xml:space="preserve"> wherever possible, health care decisions are made for the adult by a person who is familiar with the adult’s views and wishes.</w:t>
      </w:r>
    </w:p>
    <w:p w14:paraId="0AADC994" w14:textId="77777777" w:rsidR="00A56063" w:rsidRPr="00E152A3" w:rsidRDefault="00FA2282" w:rsidP="00C34665">
      <w:pPr>
        <w:jc w:val="both"/>
        <w:rPr>
          <w:lang w:eastAsia="en-AU"/>
        </w:rPr>
      </w:pPr>
      <w:r>
        <w:rPr>
          <w:lang w:eastAsia="en-AU"/>
        </w:rPr>
        <w:t xml:space="preserve">It is </w:t>
      </w:r>
      <w:r w:rsidR="00A56063" w:rsidRPr="00A56063">
        <w:rPr>
          <w:lang w:eastAsia="en-AU"/>
        </w:rPr>
        <w:t xml:space="preserve">a move away from </w:t>
      </w:r>
      <w:r>
        <w:rPr>
          <w:lang w:eastAsia="en-AU"/>
        </w:rPr>
        <w:t xml:space="preserve">the principle of </w:t>
      </w:r>
      <w:r w:rsidR="00A56063" w:rsidRPr="00A56063">
        <w:rPr>
          <w:lang w:eastAsia="en-AU"/>
        </w:rPr>
        <w:t xml:space="preserve">best interests towards </w:t>
      </w:r>
      <w:r w:rsidR="00A56063">
        <w:rPr>
          <w:lang w:eastAsia="en-AU"/>
        </w:rPr>
        <w:t>pre</w:t>
      </w:r>
      <w:r w:rsidR="00A56063" w:rsidRPr="00A56063">
        <w:rPr>
          <w:lang w:eastAsia="en-AU"/>
        </w:rPr>
        <w:t xml:space="preserve">ference </w:t>
      </w:r>
      <w:r w:rsidR="00A56063">
        <w:rPr>
          <w:lang w:eastAsia="en-AU"/>
        </w:rPr>
        <w:t>for the views and wishes</w:t>
      </w:r>
      <w:r>
        <w:rPr>
          <w:lang w:eastAsia="en-AU"/>
        </w:rPr>
        <w:t xml:space="preserve">, </w:t>
      </w:r>
      <w:r w:rsidR="00A56063" w:rsidRPr="00A56063">
        <w:rPr>
          <w:lang w:eastAsia="en-AU"/>
        </w:rPr>
        <w:t>in line with the human rights of individuals to have their own choices and lifestyle respected.</w:t>
      </w:r>
    </w:p>
    <w:p w14:paraId="0AADC995" w14:textId="77777777" w:rsidR="00FD2417" w:rsidRPr="004B3290" w:rsidRDefault="00FD2417" w:rsidP="00B7770E">
      <w:pPr>
        <w:pStyle w:val="Heading1"/>
      </w:pPr>
      <w:r w:rsidRPr="004B3290">
        <w:t>What is a health</w:t>
      </w:r>
      <w:r w:rsidR="008F74F5">
        <w:t xml:space="preserve"> </w:t>
      </w:r>
      <w:r w:rsidRPr="004B3290">
        <w:t>care decision?</w:t>
      </w:r>
    </w:p>
    <w:p w14:paraId="0AADC996" w14:textId="77777777" w:rsidR="007762B3" w:rsidRPr="003D7071" w:rsidRDefault="00A93B34" w:rsidP="00C3673A">
      <w:pPr>
        <w:jc w:val="both"/>
        <w:rPr>
          <w:color w:val="000000" w:themeColor="text1"/>
        </w:rPr>
      </w:pPr>
      <w:r w:rsidRPr="00E966DB">
        <w:rPr>
          <w:b/>
          <w:color w:val="000000" w:themeColor="text1"/>
        </w:rPr>
        <w:t>H</w:t>
      </w:r>
      <w:r w:rsidRPr="003D7071">
        <w:rPr>
          <w:b/>
          <w:color w:val="000000" w:themeColor="text1"/>
        </w:rPr>
        <w:t>ealth care decision</w:t>
      </w:r>
      <w:r w:rsidRPr="003D7071">
        <w:rPr>
          <w:color w:val="000000" w:themeColor="text1"/>
        </w:rPr>
        <w:t xml:space="preserve"> </w:t>
      </w:r>
      <w:r>
        <w:rPr>
          <w:color w:val="000000" w:themeColor="text1"/>
        </w:rPr>
        <w:t>is defined in s</w:t>
      </w:r>
      <w:r w:rsidR="008F40EF">
        <w:rPr>
          <w:color w:val="000000" w:themeColor="text1"/>
        </w:rPr>
        <w:t xml:space="preserve">ection 6 of the Act </w:t>
      </w:r>
      <w:r>
        <w:rPr>
          <w:color w:val="000000" w:themeColor="text1"/>
        </w:rPr>
        <w:t>a</w:t>
      </w:r>
      <w:r w:rsidR="00FD2417" w:rsidRPr="003D7071">
        <w:rPr>
          <w:color w:val="000000" w:themeColor="text1"/>
        </w:rPr>
        <w:t>s a decision whether to commence, continue, withdraw or withhold health care for an adult.</w:t>
      </w:r>
      <w:r w:rsidR="003D7071" w:rsidRPr="003D7071">
        <w:rPr>
          <w:color w:val="000000" w:themeColor="text1"/>
        </w:rPr>
        <w:t xml:space="preserve"> </w:t>
      </w:r>
    </w:p>
    <w:p w14:paraId="0AADC997" w14:textId="77777777" w:rsidR="00C34665" w:rsidRDefault="003D7071" w:rsidP="00C3673A">
      <w:pPr>
        <w:jc w:val="both"/>
        <w:rPr>
          <w:color w:val="000000" w:themeColor="text1"/>
        </w:rPr>
      </w:pPr>
      <w:r w:rsidRPr="00E966DB">
        <w:rPr>
          <w:b/>
          <w:color w:val="000000" w:themeColor="text1"/>
        </w:rPr>
        <w:t>H</w:t>
      </w:r>
      <w:r w:rsidR="00FD2417" w:rsidRPr="00E966DB">
        <w:rPr>
          <w:b/>
          <w:color w:val="000000" w:themeColor="text1"/>
        </w:rPr>
        <w:t>ealth care</w:t>
      </w:r>
      <w:r w:rsidR="008E3B34">
        <w:rPr>
          <w:color w:val="000000" w:themeColor="text1"/>
        </w:rPr>
        <w:t xml:space="preserve"> is defined in </w:t>
      </w:r>
      <w:r w:rsidR="00B7770E">
        <w:rPr>
          <w:color w:val="000000" w:themeColor="text1"/>
        </w:rPr>
        <w:t>s</w:t>
      </w:r>
      <w:r w:rsidR="008E3B34">
        <w:rPr>
          <w:color w:val="000000" w:themeColor="text1"/>
        </w:rPr>
        <w:t xml:space="preserve">ection 7 of the Act </w:t>
      </w:r>
      <w:r w:rsidR="00FD2417" w:rsidRPr="003D7071">
        <w:rPr>
          <w:color w:val="000000" w:themeColor="text1"/>
        </w:rPr>
        <w:t xml:space="preserve">broadly </w:t>
      </w:r>
      <w:r w:rsidR="00F35B45">
        <w:rPr>
          <w:color w:val="000000" w:themeColor="text1"/>
        </w:rPr>
        <w:t xml:space="preserve">and includes health care provided </w:t>
      </w:r>
      <w:r w:rsidR="00F52D22">
        <w:rPr>
          <w:color w:val="000000" w:themeColor="text1"/>
        </w:rPr>
        <w:t>by</w:t>
      </w:r>
      <w:r w:rsidR="00F35B45">
        <w:rPr>
          <w:color w:val="000000" w:themeColor="text1"/>
        </w:rPr>
        <w:t xml:space="preserve"> a registered health practitioner as well as services provided by other services </w:t>
      </w:r>
      <w:r w:rsidR="00FD2417" w:rsidRPr="003D7071">
        <w:rPr>
          <w:color w:val="000000" w:themeColor="text1"/>
        </w:rPr>
        <w:t xml:space="preserve">specifically listed in the </w:t>
      </w:r>
      <w:r w:rsidR="004B5483" w:rsidRPr="003D7071">
        <w:rPr>
          <w:color w:val="000000" w:themeColor="text1"/>
        </w:rPr>
        <w:t>Act</w:t>
      </w:r>
      <w:r w:rsidR="00FD2417" w:rsidRPr="003D7071">
        <w:rPr>
          <w:color w:val="000000" w:themeColor="text1"/>
        </w:rPr>
        <w:t>.</w:t>
      </w:r>
    </w:p>
    <w:p w14:paraId="0AADC998" w14:textId="77777777" w:rsidR="002E54AF" w:rsidRDefault="002E54AF" w:rsidP="00B7770E">
      <w:pPr>
        <w:pStyle w:val="Heading1"/>
      </w:pPr>
      <w:r>
        <w:t>Presumption of capacity</w:t>
      </w:r>
    </w:p>
    <w:p w14:paraId="0AADC999" w14:textId="77777777" w:rsidR="002E54AF" w:rsidRPr="00DE42BA" w:rsidRDefault="002E54AF" w:rsidP="002E54AF">
      <w:pPr>
        <w:jc w:val="both"/>
        <w:rPr>
          <w:lang w:eastAsia="en-AU"/>
        </w:rPr>
      </w:pPr>
      <w:r w:rsidRPr="00DE42BA">
        <w:rPr>
          <w:lang w:eastAsia="en-AU"/>
        </w:rPr>
        <w:t>An adult is presumed to have capacity to make a health care decision unless there is evidence to the contrary.</w:t>
      </w:r>
      <w:r>
        <w:rPr>
          <w:lang w:eastAsia="en-AU"/>
        </w:rPr>
        <w:t xml:space="preserve"> </w:t>
      </w:r>
    </w:p>
    <w:p w14:paraId="0AADC99A" w14:textId="77777777" w:rsidR="002E54AF" w:rsidRPr="00DE42BA" w:rsidRDefault="002E54AF" w:rsidP="002E54AF">
      <w:pPr>
        <w:jc w:val="both"/>
        <w:rPr>
          <w:lang w:eastAsia="en-AU"/>
        </w:rPr>
      </w:pPr>
      <w:r w:rsidRPr="00DE42BA">
        <w:rPr>
          <w:lang w:eastAsia="en-AU"/>
        </w:rPr>
        <w:t xml:space="preserve">An impairment in any of the following is relevant in determining whether an adult's capacity to make </w:t>
      </w:r>
      <w:r>
        <w:rPr>
          <w:lang w:eastAsia="en-AU"/>
        </w:rPr>
        <w:t>a</w:t>
      </w:r>
      <w:r w:rsidRPr="00DE42BA">
        <w:rPr>
          <w:lang w:eastAsia="en-AU"/>
        </w:rPr>
        <w:t xml:space="preserve"> health care decision is impaired:</w:t>
      </w:r>
    </w:p>
    <w:p w14:paraId="0AADC99B" w14:textId="77777777" w:rsidR="002E54AF" w:rsidRPr="00DE42BA" w:rsidRDefault="002E54AF" w:rsidP="002E54AF">
      <w:pPr>
        <w:pStyle w:val="ListParagraph"/>
        <w:numPr>
          <w:ilvl w:val="0"/>
          <w:numId w:val="28"/>
        </w:numPr>
        <w:jc w:val="both"/>
        <w:rPr>
          <w:lang w:eastAsia="en-AU"/>
        </w:rPr>
      </w:pPr>
      <w:r w:rsidRPr="00DE42BA">
        <w:rPr>
          <w:lang w:eastAsia="en-AU"/>
        </w:rPr>
        <w:t>understanding and retaining information relevant to the health care decision;</w:t>
      </w:r>
    </w:p>
    <w:p w14:paraId="0AADC99C" w14:textId="77777777" w:rsidR="002E54AF" w:rsidRPr="00DE42BA" w:rsidRDefault="002E54AF" w:rsidP="002E54AF">
      <w:pPr>
        <w:pStyle w:val="ListParagraph"/>
        <w:numPr>
          <w:ilvl w:val="0"/>
          <w:numId w:val="28"/>
        </w:numPr>
        <w:jc w:val="both"/>
        <w:rPr>
          <w:lang w:eastAsia="en-AU"/>
        </w:rPr>
      </w:pPr>
      <w:r w:rsidRPr="00DE42BA">
        <w:rPr>
          <w:lang w:eastAsia="en-AU"/>
        </w:rPr>
        <w:t>weighing  information  relevant  to  the  health  care  decision  in  order to make the health care decision;</w:t>
      </w:r>
    </w:p>
    <w:p w14:paraId="0AADC99D" w14:textId="77777777" w:rsidR="002E54AF" w:rsidRPr="00DE42BA" w:rsidRDefault="002E54AF" w:rsidP="002E54AF">
      <w:pPr>
        <w:pStyle w:val="ListParagraph"/>
        <w:numPr>
          <w:ilvl w:val="0"/>
          <w:numId w:val="28"/>
        </w:numPr>
        <w:jc w:val="both"/>
        <w:rPr>
          <w:lang w:eastAsia="en-AU"/>
        </w:rPr>
      </w:pPr>
      <w:r w:rsidRPr="00DE42BA">
        <w:rPr>
          <w:lang w:eastAsia="en-AU"/>
        </w:rPr>
        <w:t>communicating the health care decision in some way;</w:t>
      </w:r>
    </w:p>
    <w:p w14:paraId="0AADC99E" w14:textId="77777777" w:rsidR="002E54AF" w:rsidRPr="00DE42BA" w:rsidRDefault="002E54AF" w:rsidP="002E54AF">
      <w:pPr>
        <w:pStyle w:val="ListParagraph"/>
        <w:numPr>
          <w:ilvl w:val="0"/>
          <w:numId w:val="28"/>
        </w:numPr>
        <w:jc w:val="both"/>
        <w:rPr>
          <w:lang w:eastAsia="en-AU"/>
        </w:rPr>
      </w:pPr>
      <w:r w:rsidRPr="00DE42BA">
        <w:rPr>
          <w:lang w:eastAsia="en-AU"/>
        </w:rPr>
        <w:t>understanding the effect of the health care decision.</w:t>
      </w:r>
    </w:p>
    <w:p w14:paraId="0AADC99F" w14:textId="77777777" w:rsidR="002E54AF" w:rsidRDefault="002E54AF" w:rsidP="002E54AF">
      <w:pPr>
        <w:jc w:val="both"/>
        <w:rPr>
          <w:lang w:eastAsia="en-AU"/>
        </w:rPr>
      </w:pPr>
      <w:r>
        <w:rPr>
          <w:lang w:eastAsia="en-AU"/>
        </w:rPr>
        <w:t>Appropriate support should be given to assist an adult to make a decision and reduce any barriers to their capacity.  This could include, for example, additional time for explanation, modified language, and visual or technological aids.</w:t>
      </w:r>
    </w:p>
    <w:p w14:paraId="0AADC9A0" w14:textId="77777777" w:rsidR="002E54AF" w:rsidRDefault="002E54AF" w:rsidP="002E54AF">
      <w:pPr>
        <w:jc w:val="both"/>
        <w:rPr>
          <w:lang w:eastAsia="en-AU"/>
        </w:rPr>
      </w:pPr>
      <w:r w:rsidRPr="00DE42BA">
        <w:rPr>
          <w:lang w:eastAsia="en-AU"/>
        </w:rPr>
        <w:t>The degree to which an adult has impaired decision</w:t>
      </w:r>
      <w:r>
        <w:rPr>
          <w:lang w:eastAsia="en-AU"/>
        </w:rPr>
        <w:t>-</w:t>
      </w:r>
      <w:r w:rsidRPr="00DE42BA">
        <w:rPr>
          <w:lang w:eastAsia="en-AU"/>
        </w:rPr>
        <w:t>making capacity may vary over time.</w:t>
      </w:r>
    </w:p>
    <w:p w14:paraId="0AADC9A1" w14:textId="77777777" w:rsidR="002E54AF" w:rsidRPr="004B5483" w:rsidRDefault="002E54AF" w:rsidP="002E54AF">
      <w:pPr>
        <w:jc w:val="both"/>
        <w:rPr>
          <w:color w:val="FF0000"/>
          <w:lang w:eastAsia="en-AU"/>
        </w:rPr>
      </w:pPr>
      <w:r>
        <w:rPr>
          <w:lang w:eastAsia="en-AU"/>
        </w:rPr>
        <w:t>There is an onus on health care providers to make reasonable efforts to determine the extent of an adult’s impairment and guidelines to assist may be issued by the Public Guardian.</w:t>
      </w:r>
    </w:p>
    <w:p w14:paraId="0AADC9A2" w14:textId="77777777" w:rsidR="00A37053" w:rsidRDefault="00FD2417" w:rsidP="00B7770E">
      <w:pPr>
        <w:pStyle w:val="Heading1"/>
      </w:pPr>
      <w:r>
        <w:t xml:space="preserve">Who </w:t>
      </w:r>
      <w:r w:rsidR="004A439A">
        <w:t>is a</w:t>
      </w:r>
      <w:r w:rsidR="004F1C68">
        <w:t xml:space="preserve"> health care</w:t>
      </w:r>
      <w:r>
        <w:t xml:space="preserve"> d</w:t>
      </w:r>
      <w:r w:rsidR="004A439A">
        <w:t>ecision-maker</w:t>
      </w:r>
      <w:r>
        <w:t>?</w:t>
      </w:r>
    </w:p>
    <w:p w14:paraId="0AADC9A3" w14:textId="77777777" w:rsidR="002A2D23" w:rsidRDefault="00DA6D38" w:rsidP="00DA6D38">
      <w:pPr>
        <w:jc w:val="both"/>
      </w:pPr>
      <w:r>
        <w:t>If a</w:t>
      </w:r>
      <w:r w:rsidR="004F1C68">
        <w:t>n adult</w:t>
      </w:r>
      <w:r>
        <w:t xml:space="preserve"> loses </w:t>
      </w:r>
      <w:r>
        <w:rPr>
          <w:color w:val="000000" w:themeColor="text1"/>
        </w:rPr>
        <w:t>decision-making capacity</w:t>
      </w:r>
      <w:r w:rsidR="009E2886">
        <w:rPr>
          <w:color w:val="000000" w:themeColor="text1"/>
        </w:rPr>
        <w:t xml:space="preserve"> and a health care decision is required</w:t>
      </w:r>
      <w:r w:rsidR="002A2D23">
        <w:rPr>
          <w:color w:val="000000" w:themeColor="text1"/>
        </w:rPr>
        <w:t>,</w:t>
      </w:r>
      <w:r>
        <w:rPr>
          <w:color w:val="000000" w:themeColor="text1"/>
        </w:rPr>
        <w:t xml:space="preserve"> then</w:t>
      </w:r>
      <w:r w:rsidR="002A2D23">
        <w:rPr>
          <w:color w:val="000000" w:themeColor="text1"/>
        </w:rPr>
        <w:t xml:space="preserve"> </w:t>
      </w:r>
      <w:r w:rsidR="002A2D23">
        <w:t xml:space="preserve">the role of a health care decision-maker and </w:t>
      </w:r>
      <w:r>
        <w:rPr>
          <w:color w:val="000000" w:themeColor="text1"/>
        </w:rPr>
        <w:t>a</w:t>
      </w:r>
      <w:r w:rsidR="00FD2417">
        <w:t>n</w:t>
      </w:r>
      <w:r w:rsidR="002A2D23">
        <w:t xml:space="preserve">y relevant </w:t>
      </w:r>
      <w:r w:rsidR="00FD2417">
        <w:t xml:space="preserve">advance care </w:t>
      </w:r>
      <w:r w:rsidR="002A2D23">
        <w:t xml:space="preserve">statement </w:t>
      </w:r>
      <w:r w:rsidR="00FD2417">
        <w:t>come</w:t>
      </w:r>
      <w:r w:rsidR="001A7691">
        <w:t>s</w:t>
      </w:r>
      <w:r>
        <w:t xml:space="preserve"> into effect</w:t>
      </w:r>
      <w:r w:rsidR="002A2D23">
        <w:t xml:space="preserve"> (unless the </w:t>
      </w:r>
      <w:r w:rsidR="002A2D23" w:rsidRPr="00DA6D38">
        <w:rPr>
          <w:color w:val="000000" w:themeColor="text1"/>
        </w:rPr>
        <w:t>adult</w:t>
      </w:r>
      <w:r w:rsidR="002A2D23">
        <w:rPr>
          <w:color w:val="000000" w:themeColor="text1"/>
        </w:rPr>
        <w:t xml:space="preserve"> already has a valid relevant </w:t>
      </w:r>
      <w:r w:rsidR="002A2D23" w:rsidRPr="00DA6D38">
        <w:rPr>
          <w:color w:val="000000" w:themeColor="text1"/>
        </w:rPr>
        <w:t xml:space="preserve">advance consent decision </w:t>
      </w:r>
      <w:r w:rsidR="002A2D23">
        <w:rPr>
          <w:color w:val="000000" w:themeColor="text1"/>
        </w:rPr>
        <w:t>in place</w:t>
      </w:r>
      <w:r w:rsidR="00BA5709">
        <w:rPr>
          <w:color w:val="000000" w:themeColor="text1"/>
        </w:rPr>
        <w:t>,</w:t>
      </w:r>
      <w:r w:rsidR="002A2D23">
        <w:rPr>
          <w:color w:val="000000" w:themeColor="text1"/>
        </w:rPr>
        <w:t xml:space="preserve"> which </w:t>
      </w:r>
      <w:r w:rsidR="009E2886">
        <w:rPr>
          <w:color w:val="000000" w:themeColor="text1"/>
        </w:rPr>
        <w:t xml:space="preserve">then </w:t>
      </w:r>
      <w:r w:rsidR="002A2D23">
        <w:rPr>
          <w:color w:val="000000" w:themeColor="text1"/>
        </w:rPr>
        <w:t xml:space="preserve">must be complied with).  </w:t>
      </w:r>
    </w:p>
    <w:p w14:paraId="0AADC9A4" w14:textId="77777777" w:rsidR="00435A89" w:rsidRPr="00DA6D38" w:rsidRDefault="002A2D23" w:rsidP="00DA6D38">
      <w:pPr>
        <w:jc w:val="both"/>
      </w:pPr>
      <w:r>
        <w:rPr>
          <w:color w:val="000000" w:themeColor="text1"/>
        </w:rPr>
        <w:t>If there is no health care decision</w:t>
      </w:r>
      <w:r w:rsidR="00BA5709">
        <w:rPr>
          <w:color w:val="000000" w:themeColor="text1"/>
        </w:rPr>
        <w:t>-</w:t>
      </w:r>
      <w:r>
        <w:rPr>
          <w:color w:val="000000" w:themeColor="text1"/>
        </w:rPr>
        <w:t>maker previously appointed by the adult under an</w:t>
      </w:r>
      <w:r w:rsidRPr="00DA6D38">
        <w:rPr>
          <w:color w:val="000000" w:themeColor="text1"/>
        </w:rPr>
        <w:t xml:space="preserve"> advance personal plan</w:t>
      </w:r>
      <w:r>
        <w:rPr>
          <w:color w:val="000000" w:themeColor="text1"/>
        </w:rPr>
        <w:t xml:space="preserve"> and if there is no </w:t>
      </w:r>
      <w:r w:rsidR="00A6572B">
        <w:rPr>
          <w:color w:val="000000" w:themeColor="text1"/>
        </w:rPr>
        <w:t>guardian appointed for health</w:t>
      </w:r>
      <w:r w:rsidR="00BA5709">
        <w:rPr>
          <w:color w:val="000000" w:themeColor="text1"/>
        </w:rPr>
        <w:t xml:space="preserve"> </w:t>
      </w:r>
      <w:r w:rsidR="00A6572B">
        <w:rPr>
          <w:color w:val="000000" w:themeColor="text1"/>
        </w:rPr>
        <w:t>care</w:t>
      </w:r>
      <w:r w:rsidR="007762B3" w:rsidRPr="00DA6D38">
        <w:rPr>
          <w:color w:val="000000" w:themeColor="text1"/>
        </w:rPr>
        <w:t>, then a</w:t>
      </w:r>
      <w:r w:rsidR="009C13D8">
        <w:rPr>
          <w:color w:val="000000" w:themeColor="text1"/>
        </w:rPr>
        <w:t>nother</w:t>
      </w:r>
      <w:r w:rsidR="007762B3" w:rsidRPr="00DA6D38">
        <w:rPr>
          <w:i/>
          <w:color w:val="000000" w:themeColor="text1"/>
        </w:rPr>
        <w:t xml:space="preserve"> decision</w:t>
      </w:r>
      <w:r w:rsidR="00BA5709">
        <w:rPr>
          <w:i/>
          <w:color w:val="000000" w:themeColor="text1"/>
        </w:rPr>
        <w:t>-</w:t>
      </w:r>
      <w:r w:rsidR="007762B3" w:rsidRPr="00DA6D38">
        <w:rPr>
          <w:i/>
          <w:color w:val="000000" w:themeColor="text1"/>
        </w:rPr>
        <w:t>maker</w:t>
      </w:r>
      <w:r w:rsidR="007762B3" w:rsidRPr="00DA6D38">
        <w:rPr>
          <w:color w:val="000000" w:themeColor="text1"/>
        </w:rPr>
        <w:t xml:space="preserve"> </w:t>
      </w:r>
      <w:r w:rsidR="009C13D8">
        <w:rPr>
          <w:color w:val="000000" w:themeColor="text1"/>
        </w:rPr>
        <w:t xml:space="preserve">with </w:t>
      </w:r>
      <w:r w:rsidR="007762B3" w:rsidRPr="00DA6D38">
        <w:rPr>
          <w:color w:val="000000" w:themeColor="text1"/>
        </w:rPr>
        <w:t>authority to make health care decisions</w:t>
      </w:r>
      <w:r w:rsidR="009C13D8">
        <w:rPr>
          <w:color w:val="000000" w:themeColor="text1"/>
        </w:rPr>
        <w:t xml:space="preserve"> must be identified</w:t>
      </w:r>
      <w:r w:rsidR="007762B3" w:rsidRPr="00DA6D38">
        <w:rPr>
          <w:color w:val="000000" w:themeColor="text1"/>
        </w:rPr>
        <w:t>.</w:t>
      </w:r>
      <w:r w:rsidR="001A7691">
        <w:rPr>
          <w:color w:val="000000" w:themeColor="text1"/>
        </w:rPr>
        <w:t xml:space="preserve"> </w:t>
      </w:r>
      <w:r w:rsidR="004F1C68">
        <w:rPr>
          <w:color w:val="000000" w:themeColor="text1"/>
        </w:rPr>
        <w:t>Th</w:t>
      </w:r>
      <w:r w:rsidR="009E2886">
        <w:rPr>
          <w:color w:val="000000" w:themeColor="text1"/>
        </w:rPr>
        <w:t xml:space="preserve">at </w:t>
      </w:r>
      <w:r w:rsidR="004F1C68">
        <w:rPr>
          <w:color w:val="000000" w:themeColor="text1"/>
        </w:rPr>
        <w:t>decision</w:t>
      </w:r>
      <w:r w:rsidR="00BA5709">
        <w:rPr>
          <w:color w:val="000000" w:themeColor="text1"/>
        </w:rPr>
        <w:t>-</w:t>
      </w:r>
      <w:r w:rsidR="004F1C68">
        <w:rPr>
          <w:color w:val="000000" w:themeColor="text1"/>
        </w:rPr>
        <w:t xml:space="preserve">maker </w:t>
      </w:r>
      <w:r w:rsidR="00435A89" w:rsidRPr="00DA6D38">
        <w:t xml:space="preserve">is </w:t>
      </w:r>
      <w:r w:rsidR="009E2886">
        <w:t xml:space="preserve">an </w:t>
      </w:r>
      <w:r w:rsidR="00435A89" w:rsidRPr="00DA6D38">
        <w:t xml:space="preserve">adult identified in the hierarchy of decision-makers as having the highest priority, and </w:t>
      </w:r>
      <w:r w:rsidR="004F1C68">
        <w:t xml:space="preserve">who </w:t>
      </w:r>
      <w:r w:rsidR="00435A89" w:rsidRPr="00DA6D38">
        <w:t xml:space="preserve">is </w:t>
      </w:r>
      <w:r w:rsidR="00435A89" w:rsidRPr="00DA6D38">
        <w:rPr>
          <w:i/>
        </w:rPr>
        <w:t>willing and able</w:t>
      </w:r>
      <w:r w:rsidR="00435A89" w:rsidRPr="00DA6D38">
        <w:t xml:space="preserve"> to make the decision.</w:t>
      </w:r>
    </w:p>
    <w:p w14:paraId="0AADC9A5" w14:textId="77777777" w:rsidR="00084125" w:rsidRPr="00084125" w:rsidRDefault="00C34665" w:rsidP="00E966DB">
      <w:pPr>
        <w:pStyle w:val="Heading2"/>
      </w:pPr>
      <w:r w:rsidRPr="00DA6D38">
        <w:t>Hierarchy of decision-makers</w:t>
      </w:r>
    </w:p>
    <w:p w14:paraId="0AADC9A6" w14:textId="77777777" w:rsidR="00435A89" w:rsidRPr="00DA6D38" w:rsidRDefault="00DA6D38" w:rsidP="00DA6D38">
      <w:pPr>
        <w:pStyle w:val="ListParagraph"/>
        <w:numPr>
          <w:ilvl w:val="0"/>
          <w:numId w:val="18"/>
        </w:numPr>
        <w:ind w:left="360"/>
        <w:jc w:val="both"/>
      </w:pPr>
      <w:r w:rsidRPr="00DA6D38">
        <w:t xml:space="preserve">A </w:t>
      </w:r>
      <w:r w:rsidR="00435A89" w:rsidRPr="00DA6D38">
        <w:t xml:space="preserve">person with health care authority appointed in an advance personal plan under the </w:t>
      </w:r>
      <w:r w:rsidR="00435A89" w:rsidRPr="00DA6D38">
        <w:rPr>
          <w:i/>
        </w:rPr>
        <w:t>Advance Personal Planning Act 2013</w:t>
      </w:r>
      <w:r w:rsidR="00435A89" w:rsidRPr="00DA6D38">
        <w:t>;</w:t>
      </w:r>
    </w:p>
    <w:p w14:paraId="0AADC9A7" w14:textId="77777777" w:rsidR="00435A89" w:rsidRPr="00DA6D38" w:rsidRDefault="00DA6D38" w:rsidP="00DA6D38">
      <w:pPr>
        <w:pStyle w:val="ListParagraph"/>
        <w:numPr>
          <w:ilvl w:val="0"/>
          <w:numId w:val="18"/>
        </w:numPr>
        <w:ind w:left="360"/>
        <w:jc w:val="both"/>
      </w:pPr>
      <w:r w:rsidRPr="00DA6D38">
        <w:t xml:space="preserve">A </w:t>
      </w:r>
      <w:r w:rsidR="00435A89" w:rsidRPr="00DA6D38">
        <w:t xml:space="preserve">guardian with health care authority appointed under the </w:t>
      </w:r>
      <w:r w:rsidR="00435A89" w:rsidRPr="00DA6D38">
        <w:rPr>
          <w:i/>
        </w:rPr>
        <w:t>Guardianship of Adults Act 2016</w:t>
      </w:r>
      <w:r w:rsidR="00435A89" w:rsidRPr="00DA6D38">
        <w:t>;</w:t>
      </w:r>
    </w:p>
    <w:p w14:paraId="0AADC9A8" w14:textId="77777777" w:rsidR="00435A89" w:rsidRPr="00DA6D38" w:rsidRDefault="00DA6D38" w:rsidP="00DA6D38">
      <w:pPr>
        <w:pStyle w:val="ListParagraph"/>
        <w:numPr>
          <w:ilvl w:val="0"/>
          <w:numId w:val="18"/>
        </w:numPr>
        <w:ind w:left="360"/>
        <w:jc w:val="both"/>
      </w:pPr>
      <w:r w:rsidRPr="00DA6D38">
        <w:t xml:space="preserve">A </w:t>
      </w:r>
      <w:r w:rsidR="00435A89" w:rsidRPr="00DA6D38">
        <w:t xml:space="preserve">relative of the adult who is considered by Aboriginal or other customary law or tradition </w:t>
      </w:r>
      <w:r w:rsidR="00435A89" w:rsidRPr="00DA6D38">
        <w:lastRenderedPageBreak/>
        <w:t>to be the appropriate person to be a health care decision</w:t>
      </w:r>
      <w:r w:rsidR="00BA5709">
        <w:t>-</w:t>
      </w:r>
      <w:r w:rsidR="00435A89" w:rsidRPr="00DA6D38">
        <w:t>maker;</w:t>
      </w:r>
    </w:p>
    <w:p w14:paraId="0AADC9A9" w14:textId="77777777" w:rsidR="00435A89" w:rsidRPr="00DA6D38" w:rsidRDefault="00DA6D38" w:rsidP="00DA6D38">
      <w:pPr>
        <w:pStyle w:val="ListParagraph"/>
        <w:numPr>
          <w:ilvl w:val="0"/>
          <w:numId w:val="18"/>
        </w:numPr>
        <w:ind w:left="360"/>
        <w:jc w:val="both"/>
      </w:pPr>
      <w:r w:rsidRPr="00DA6D38">
        <w:t xml:space="preserve">A </w:t>
      </w:r>
      <w:r w:rsidR="00435A89" w:rsidRPr="00DA6D38">
        <w:t>spouse or de facto partner;**</w:t>
      </w:r>
    </w:p>
    <w:p w14:paraId="0AADC9AA" w14:textId="77777777" w:rsidR="00435A89" w:rsidRPr="00DA6D38" w:rsidRDefault="00DA6D38" w:rsidP="00DA6D38">
      <w:pPr>
        <w:pStyle w:val="ListParagraph"/>
        <w:numPr>
          <w:ilvl w:val="0"/>
          <w:numId w:val="18"/>
        </w:numPr>
        <w:ind w:left="360"/>
        <w:jc w:val="both"/>
      </w:pPr>
      <w:r w:rsidRPr="00DA6D38">
        <w:t xml:space="preserve">A </w:t>
      </w:r>
      <w:r w:rsidR="00435A89" w:rsidRPr="00DA6D38">
        <w:t>carer, who is not providing that care as a service on a commercial basis;</w:t>
      </w:r>
    </w:p>
    <w:p w14:paraId="0AADC9AB" w14:textId="77777777" w:rsidR="00435A89" w:rsidRPr="00DA6D38" w:rsidRDefault="00DA6D38" w:rsidP="00DA6D38">
      <w:pPr>
        <w:pStyle w:val="ListParagraph"/>
        <w:numPr>
          <w:ilvl w:val="0"/>
          <w:numId w:val="18"/>
        </w:numPr>
        <w:ind w:left="360"/>
        <w:jc w:val="both"/>
      </w:pPr>
      <w:r w:rsidRPr="00DA6D38">
        <w:t xml:space="preserve">A </w:t>
      </w:r>
      <w:r w:rsidR="00435A89" w:rsidRPr="00DA6D38">
        <w:t>child</w:t>
      </w:r>
      <w:r w:rsidR="00B7770E">
        <w:t xml:space="preserve"> with a close and continuing relationship with the adult</w:t>
      </w:r>
      <w:r w:rsidR="00435A89" w:rsidRPr="00DA6D38">
        <w:t>;**</w:t>
      </w:r>
    </w:p>
    <w:p w14:paraId="0AADC9AC" w14:textId="77777777" w:rsidR="00435A89" w:rsidRPr="00DA6D38" w:rsidRDefault="00DA6D38" w:rsidP="00DA6D38">
      <w:pPr>
        <w:pStyle w:val="ListParagraph"/>
        <w:numPr>
          <w:ilvl w:val="0"/>
          <w:numId w:val="18"/>
        </w:numPr>
        <w:ind w:left="360"/>
        <w:jc w:val="both"/>
      </w:pPr>
      <w:r w:rsidRPr="00DA6D38">
        <w:t xml:space="preserve">A </w:t>
      </w:r>
      <w:r w:rsidR="00435A89" w:rsidRPr="00DA6D38">
        <w:t>parent;</w:t>
      </w:r>
      <w:r w:rsidR="00B7770E">
        <w:t xml:space="preserve"> with a close and continuing relationship with the </w:t>
      </w:r>
      <w:proofErr w:type="gramStart"/>
      <w:r w:rsidR="00B7770E">
        <w:t>adult.</w:t>
      </w:r>
      <w:r w:rsidR="00435A89" w:rsidRPr="00DA6D38">
        <w:t>*</w:t>
      </w:r>
      <w:proofErr w:type="gramEnd"/>
      <w:r w:rsidR="00435A89" w:rsidRPr="00DA6D38">
        <w:t>*</w:t>
      </w:r>
    </w:p>
    <w:p w14:paraId="0AADC9AD" w14:textId="77777777" w:rsidR="00435A89" w:rsidRPr="00DA6D38" w:rsidRDefault="00DA6D38" w:rsidP="00DA6D38">
      <w:pPr>
        <w:pStyle w:val="ListParagraph"/>
        <w:numPr>
          <w:ilvl w:val="0"/>
          <w:numId w:val="18"/>
        </w:numPr>
        <w:ind w:left="360"/>
        <w:jc w:val="both"/>
      </w:pPr>
      <w:r w:rsidRPr="00DA6D38">
        <w:t xml:space="preserve">A </w:t>
      </w:r>
      <w:r w:rsidR="00435A89" w:rsidRPr="00DA6D38">
        <w:t>sibling</w:t>
      </w:r>
      <w:r w:rsidR="00B7770E">
        <w:t xml:space="preserve"> with a close and continuing relationship with the adult.</w:t>
      </w:r>
    </w:p>
    <w:p w14:paraId="0AADC9AE" w14:textId="77777777" w:rsidR="00435A89" w:rsidRPr="00DA6D38" w:rsidRDefault="00DA6D38" w:rsidP="00DA6D38">
      <w:pPr>
        <w:pStyle w:val="ListParagraph"/>
        <w:numPr>
          <w:ilvl w:val="0"/>
          <w:numId w:val="18"/>
        </w:numPr>
        <w:ind w:left="360"/>
        <w:jc w:val="both"/>
      </w:pPr>
      <w:r w:rsidRPr="00DA6D38">
        <w:t xml:space="preserve">A </w:t>
      </w:r>
      <w:r w:rsidR="00435A89" w:rsidRPr="00DA6D38">
        <w:t>friend</w:t>
      </w:r>
      <w:r w:rsidR="00B7770E">
        <w:t xml:space="preserve"> with a close and continuing relationship with the adult.</w:t>
      </w:r>
    </w:p>
    <w:p w14:paraId="0AADC9AF" w14:textId="77777777" w:rsidR="00435A89" w:rsidRPr="00DA6D38" w:rsidRDefault="00BA5709" w:rsidP="00E966DB">
      <w:pPr>
        <w:pStyle w:val="Heading2"/>
      </w:pPr>
      <w:r>
        <w:t xml:space="preserve">The </w:t>
      </w:r>
      <w:r w:rsidRPr="00B7770E">
        <w:t>d</w:t>
      </w:r>
      <w:r w:rsidR="009C2556" w:rsidRPr="00B7770E">
        <w:t>ecision</w:t>
      </w:r>
      <w:r>
        <w:t>-</w:t>
      </w:r>
      <w:r w:rsidR="009C2556">
        <w:t>maker must be w</w:t>
      </w:r>
      <w:r w:rsidR="00435A89" w:rsidRPr="00DA6D38">
        <w:t xml:space="preserve">illing and able to make a decision </w:t>
      </w:r>
    </w:p>
    <w:p w14:paraId="0AADC9B0" w14:textId="77777777" w:rsidR="00435A89" w:rsidRPr="00DA6D38" w:rsidRDefault="00084125" w:rsidP="00DA6D38">
      <w:pPr>
        <w:pStyle w:val="Heading2"/>
        <w:jc w:val="both"/>
        <w:rPr>
          <w:rFonts w:ascii="Lato" w:eastAsia="Calibri" w:hAnsi="Lato" w:cs="Times New Roman"/>
          <w:color w:val="auto"/>
          <w:sz w:val="22"/>
          <w:szCs w:val="22"/>
        </w:rPr>
      </w:pPr>
      <w:r>
        <w:rPr>
          <w:rFonts w:ascii="Lato" w:eastAsia="Calibri" w:hAnsi="Lato" w:cs="Times New Roman"/>
          <w:color w:val="auto"/>
          <w:sz w:val="22"/>
          <w:szCs w:val="22"/>
        </w:rPr>
        <w:t xml:space="preserve">Section 9 states that a </w:t>
      </w:r>
      <w:r w:rsidR="00435A89" w:rsidRPr="00DA6D38">
        <w:rPr>
          <w:rFonts w:ascii="Lato" w:eastAsia="Calibri" w:hAnsi="Lato" w:cs="Times New Roman"/>
          <w:color w:val="auto"/>
          <w:sz w:val="22"/>
          <w:szCs w:val="22"/>
        </w:rPr>
        <w:t>person is willing and able</w:t>
      </w:r>
      <w:r w:rsidR="00B7770E">
        <w:rPr>
          <w:rFonts w:ascii="Lato" w:eastAsia="Calibri" w:hAnsi="Lato" w:cs="Times New Roman"/>
          <w:color w:val="auto"/>
          <w:sz w:val="22"/>
          <w:szCs w:val="22"/>
        </w:rPr>
        <w:t xml:space="preserve"> </w:t>
      </w:r>
      <w:r w:rsidR="00435A89" w:rsidRPr="00DA6D38">
        <w:rPr>
          <w:rFonts w:ascii="Lato" w:eastAsia="Calibri" w:hAnsi="Lato" w:cs="Times New Roman"/>
          <w:color w:val="auto"/>
          <w:sz w:val="22"/>
          <w:szCs w:val="22"/>
        </w:rPr>
        <w:t>to make a health care decision for an adult with impaired decision</w:t>
      </w:r>
      <w:r w:rsidR="00BA5709">
        <w:rPr>
          <w:rFonts w:ascii="Lato" w:eastAsia="Calibri" w:hAnsi="Lato" w:cs="Times New Roman"/>
          <w:color w:val="auto"/>
          <w:sz w:val="22"/>
          <w:szCs w:val="22"/>
        </w:rPr>
        <w:t>-</w:t>
      </w:r>
      <w:r w:rsidR="00435A89" w:rsidRPr="00DA6D38">
        <w:rPr>
          <w:rFonts w:ascii="Lato" w:eastAsia="Calibri" w:hAnsi="Lato" w:cs="Times New Roman"/>
          <w:color w:val="auto"/>
          <w:sz w:val="22"/>
          <w:szCs w:val="22"/>
        </w:rPr>
        <w:t>making capacity if th</w:t>
      </w:r>
      <w:r w:rsidR="00BA5709">
        <w:rPr>
          <w:rFonts w:ascii="Lato" w:eastAsia="Calibri" w:hAnsi="Lato" w:cs="Times New Roman"/>
          <w:color w:val="auto"/>
          <w:sz w:val="22"/>
          <w:szCs w:val="22"/>
        </w:rPr>
        <w:t>at</w:t>
      </w:r>
      <w:r w:rsidR="00435A89" w:rsidRPr="00DA6D38">
        <w:rPr>
          <w:rFonts w:ascii="Lato" w:eastAsia="Calibri" w:hAnsi="Lato" w:cs="Times New Roman"/>
          <w:color w:val="auto"/>
          <w:sz w:val="22"/>
          <w:szCs w:val="22"/>
        </w:rPr>
        <w:t xml:space="preserve"> person:</w:t>
      </w:r>
    </w:p>
    <w:p w14:paraId="0AADC9B1" w14:textId="77777777" w:rsidR="00435A89" w:rsidRPr="00DA6D38" w:rsidRDefault="00435A89" w:rsidP="00DA6D38">
      <w:pPr>
        <w:pStyle w:val="ListParagraph"/>
        <w:numPr>
          <w:ilvl w:val="0"/>
          <w:numId w:val="16"/>
        </w:numPr>
        <w:jc w:val="both"/>
      </w:pPr>
      <w:r w:rsidRPr="00DA6D38">
        <w:t>has capacity to make the decision; and</w:t>
      </w:r>
    </w:p>
    <w:p w14:paraId="0AADC9B2" w14:textId="77777777" w:rsidR="00435A89" w:rsidRPr="00DA6D38" w:rsidRDefault="00435A89" w:rsidP="00DA6D38">
      <w:pPr>
        <w:pStyle w:val="ListParagraph"/>
        <w:numPr>
          <w:ilvl w:val="0"/>
          <w:numId w:val="16"/>
        </w:numPr>
        <w:jc w:val="both"/>
      </w:pPr>
      <w:r w:rsidRPr="00DA6D38">
        <w:t>is reasonably available; and</w:t>
      </w:r>
    </w:p>
    <w:p w14:paraId="0AADC9B3" w14:textId="77777777" w:rsidR="00435A89" w:rsidRPr="00DA6D38" w:rsidRDefault="00435A89" w:rsidP="00DA6D38">
      <w:pPr>
        <w:pStyle w:val="ListParagraph"/>
        <w:numPr>
          <w:ilvl w:val="0"/>
          <w:numId w:val="16"/>
        </w:numPr>
        <w:jc w:val="both"/>
      </w:pPr>
      <w:r w:rsidRPr="00DA6D38">
        <w:t>is willing to make the decision; and</w:t>
      </w:r>
    </w:p>
    <w:p w14:paraId="0AADC9B4" w14:textId="77777777" w:rsidR="00435A89" w:rsidRPr="00DA6D38" w:rsidRDefault="00435A89" w:rsidP="00DA6D38">
      <w:pPr>
        <w:pStyle w:val="ListParagraph"/>
        <w:numPr>
          <w:ilvl w:val="0"/>
          <w:numId w:val="16"/>
        </w:numPr>
        <w:jc w:val="both"/>
      </w:pPr>
      <w:r w:rsidRPr="00DA6D38">
        <w:t>understands the obligation to act in accordance with the decision</w:t>
      </w:r>
      <w:r w:rsidR="00BA5709">
        <w:t>-</w:t>
      </w:r>
      <w:r w:rsidRPr="00DA6D38">
        <w:t>making principles; and</w:t>
      </w:r>
    </w:p>
    <w:p w14:paraId="0AADC9B5" w14:textId="77777777" w:rsidR="00435A89" w:rsidRPr="00DA6D38" w:rsidRDefault="00435A89" w:rsidP="00DA6D38">
      <w:pPr>
        <w:pStyle w:val="ListParagraph"/>
        <w:numPr>
          <w:ilvl w:val="0"/>
          <w:numId w:val="16"/>
        </w:numPr>
        <w:jc w:val="both"/>
      </w:pPr>
      <w:r w:rsidRPr="00DA6D38">
        <w:t>has the information reasonably needed to make a balanced decision; and</w:t>
      </w:r>
    </w:p>
    <w:p w14:paraId="0AADC9B6" w14:textId="77777777" w:rsidR="00435A89" w:rsidRPr="00DA6D38" w:rsidRDefault="00435A89" w:rsidP="00DA6D38">
      <w:pPr>
        <w:pStyle w:val="ListParagraph"/>
        <w:numPr>
          <w:ilvl w:val="0"/>
          <w:numId w:val="16"/>
        </w:numPr>
        <w:jc w:val="both"/>
      </w:pPr>
      <w:r w:rsidRPr="00DA6D38">
        <w:t>has adequate time to consider that information; and</w:t>
      </w:r>
    </w:p>
    <w:p w14:paraId="0AADC9B7" w14:textId="77777777" w:rsidR="00435A89" w:rsidRPr="00DA6D38" w:rsidRDefault="00435A89" w:rsidP="00DA6D38">
      <w:pPr>
        <w:pStyle w:val="ListParagraph"/>
        <w:numPr>
          <w:ilvl w:val="0"/>
          <w:numId w:val="16"/>
        </w:numPr>
        <w:jc w:val="both"/>
      </w:pPr>
      <w:r w:rsidRPr="00DA6D38">
        <w:t>understands the effect of making the decision; and</w:t>
      </w:r>
    </w:p>
    <w:p w14:paraId="0AADC9B8" w14:textId="77777777" w:rsidR="00435A89" w:rsidRPr="00DA6D38" w:rsidRDefault="00435A89" w:rsidP="003D3A2A">
      <w:pPr>
        <w:pStyle w:val="ListParagraph"/>
        <w:numPr>
          <w:ilvl w:val="0"/>
          <w:numId w:val="16"/>
        </w:numPr>
        <w:ind w:left="426" w:hanging="426"/>
        <w:jc w:val="both"/>
      </w:pPr>
      <w:proofErr w:type="gramStart"/>
      <w:r w:rsidRPr="00DA6D38">
        <w:t>is able to</w:t>
      </w:r>
      <w:proofErr w:type="gramEnd"/>
      <w:r w:rsidRPr="00DA6D38">
        <w:t xml:space="preserve"> make the decision voluntarily and without undue influence from any person.</w:t>
      </w:r>
    </w:p>
    <w:p w14:paraId="0AADC9B9" w14:textId="77777777" w:rsidR="00435A89" w:rsidRPr="00084125" w:rsidRDefault="00831145" w:rsidP="00B7770E">
      <w:pPr>
        <w:pStyle w:val="Heading1"/>
      </w:pPr>
      <w:r w:rsidRPr="00084125">
        <w:t>Wh</w:t>
      </w:r>
      <w:r w:rsidR="00BA5709" w:rsidRPr="00084125">
        <w:t>at happens if</w:t>
      </w:r>
      <w:r w:rsidR="009C2556" w:rsidRPr="00084125">
        <w:t xml:space="preserve"> the i</w:t>
      </w:r>
      <w:r w:rsidR="00DE42BA" w:rsidRPr="00084125">
        <w:t>dentified d</w:t>
      </w:r>
      <w:r w:rsidR="00435A89" w:rsidRPr="00084125">
        <w:t xml:space="preserve">ecision-maker </w:t>
      </w:r>
      <w:r w:rsidR="009C2556" w:rsidRPr="00084125">
        <w:t xml:space="preserve">is </w:t>
      </w:r>
      <w:r w:rsidR="00EF614C" w:rsidRPr="00084125">
        <w:t>not willing and able</w:t>
      </w:r>
      <w:r w:rsidR="009C2556" w:rsidRPr="00084125">
        <w:t>?</w:t>
      </w:r>
    </w:p>
    <w:p w14:paraId="0AADC9BA" w14:textId="77777777" w:rsidR="00FD2417" w:rsidRPr="002D511B" w:rsidRDefault="00B15194" w:rsidP="00B02843">
      <w:pPr>
        <w:jc w:val="both"/>
      </w:pPr>
      <w:r>
        <w:t>If there is a person appointed for an impaired adult as an adult guardian or health care decision</w:t>
      </w:r>
      <w:r w:rsidR="00BA5709">
        <w:t>-</w:t>
      </w:r>
      <w:r>
        <w:t xml:space="preserve">maker under an advance personal plan, and that person is </w:t>
      </w:r>
      <w:r w:rsidR="00435A89" w:rsidRPr="002D511B">
        <w:t xml:space="preserve">not willing and able to make a health care decision, that person must apply to </w:t>
      </w:r>
      <w:r w:rsidR="00800406">
        <w:t xml:space="preserve">the </w:t>
      </w:r>
      <w:r w:rsidR="00435A89" w:rsidRPr="002D511B">
        <w:t>N</w:t>
      </w:r>
      <w:r w:rsidR="00800406">
        <w:t xml:space="preserve">orthern </w:t>
      </w:r>
      <w:r w:rsidR="00435A89" w:rsidRPr="002D511B">
        <w:t>T</w:t>
      </w:r>
      <w:r w:rsidR="00800406">
        <w:t xml:space="preserve">erritory </w:t>
      </w:r>
      <w:r w:rsidR="00435A89" w:rsidRPr="002D511B">
        <w:t>C</w:t>
      </w:r>
      <w:r w:rsidR="00800406">
        <w:t xml:space="preserve">ivil and </w:t>
      </w:r>
      <w:r w:rsidR="00435A89" w:rsidRPr="002D511B">
        <w:t>A</w:t>
      </w:r>
      <w:r w:rsidR="00800406">
        <w:t xml:space="preserve">dministrative </w:t>
      </w:r>
      <w:r w:rsidR="00435A89" w:rsidRPr="002D511B">
        <w:t>T</w:t>
      </w:r>
      <w:r w:rsidR="00800406">
        <w:t>ribunal</w:t>
      </w:r>
      <w:r w:rsidR="00864A30" w:rsidRPr="002D511B">
        <w:t xml:space="preserve"> </w:t>
      </w:r>
      <w:r w:rsidR="00800406">
        <w:t xml:space="preserve">(NTCAT) </w:t>
      </w:r>
      <w:r w:rsidR="00864A30" w:rsidRPr="002D511B">
        <w:t>as soon as practicable</w:t>
      </w:r>
      <w:r w:rsidR="00DE42BA" w:rsidRPr="002D511B">
        <w:t>.</w:t>
      </w:r>
    </w:p>
    <w:p w14:paraId="0AADC9BB" w14:textId="77777777" w:rsidR="00B15194" w:rsidRDefault="006075A6" w:rsidP="00B02843">
      <w:pPr>
        <w:jc w:val="both"/>
      </w:pPr>
      <w:r w:rsidRPr="002D511B">
        <w:t>The Public Guardian is taken to be the health care decision</w:t>
      </w:r>
      <w:r w:rsidR="00800406">
        <w:t>-</w:t>
      </w:r>
      <w:r w:rsidRPr="002D511B">
        <w:t>maker for an adult if such an application is required but not made.</w:t>
      </w:r>
    </w:p>
    <w:p w14:paraId="0AADC9BC" w14:textId="77777777" w:rsidR="00B15194" w:rsidRPr="00DE42BA" w:rsidRDefault="00B15194" w:rsidP="00B02843">
      <w:pPr>
        <w:jc w:val="both"/>
      </w:pPr>
      <w:r>
        <w:t xml:space="preserve">If there is no one appointed </w:t>
      </w:r>
      <w:r w:rsidR="002C2B1E">
        <w:t xml:space="preserve">for the impaired adult as </w:t>
      </w:r>
      <w:r>
        <w:t>an adult guardian or health care decision</w:t>
      </w:r>
      <w:r w:rsidR="00800406">
        <w:t>-</w:t>
      </w:r>
      <w:r>
        <w:t>maker under an advance personal plan, then the next person in the hierarchy</w:t>
      </w:r>
      <w:r w:rsidR="00B7770E">
        <w:t xml:space="preserve"> </w:t>
      </w:r>
      <w:r>
        <w:t>who is willing and able can ma</w:t>
      </w:r>
      <w:r w:rsidR="00800406">
        <w:t>k</w:t>
      </w:r>
      <w:r>
        <w:t xml:space="preserve">e the decision. </w:t>
      </w:r>
    </w:p>
    <w:p w14:paraId="0AADC9BD" w14:textId="77777777" w:rsidR="004E75AD" w:rsidRPr="00407BB9" w:rsidRDefault="00831145" w:rsidP="00B7770E">
      <w:pPr>
        <w:pStyle w:val="Heading2"/>
        <w:rPr>
          <w:rFonts w:eastAsia="Times New Roman"/>
          <w:lang w:eastAsia="en-AU"/>
        </w:rPr>
      </w:pPr>
      <w:r w:rsidRPr="00E966DB">
        <w:t>Where</w:t>
      </w:r>
      <w:r w:rsidRPr="00084125">
        <w:rPr>
          <w:rFonts w:eastAsia="Times New Roman"/>
          <w:lang w:eastAsia="en-AU"/>
        </w:rPr>
        <w:t xml:space="preserve"> there are </w:t>
      </w:r>
      <w:r w:rsidR="00873179" w:rsidRPr="00084125">
        <w:rPr>
          <w:rFonts w:eastAsia="Times New Roman"/>
          <w:lang w:eastAsia="en-AU"/>
        </w:rPr>
        <w:t xml:space="preserve">multiple appointees </w:t>
      </w:r>
    </w:p>
    <w:p w14:paraId="0AADC9BE" w14:textId="77777777" w:rsidR="005C7395" w:rsidRDefault="004E75AD" w:rsidP="00407BB9">
      <w:pPr>
        <w:jc w:val="both"/>
        <w:rPr>
          <w:lang w:eastAsia="en-AU"/>
        </w:rPr>
      </w:pPr>
      <w:r w:rsidRPr="002D511B">
        <w:rPr>
          <w:lang w:eastAsia="en-AU"/>
        </w:rPr>
        <w:t xml:space="preserve">If </w:t>
      </w:r>
      <w:r w:rsidR="005C7395">
        <w:rPr>
          <w:lang w:eastAsia="en-AU"/>
        </w:rPr>
        <w:t xml:space="preserve">there is more than one heath care decision maker appointed under an Advance Personal Plan and/or with authority under the </w:t>
      </w:r>
      <w:r w:rsidR="003345E0" w:rsidRPr="00084125">
        <w:rPr>
          <w:i/>
          <w:lang w:eastAsia="en-AU"/>
        </w:rPr>
        <w:t>Guardianship</w:t>
      </w:r>
      <w:r w:rsidR="005C7395" w:rsidRPr="00084125">
        <w:rPr>
          <w:i/>
          <w:lang w:eastAsia="en-AU"/>
        </w:rPr>
        <w:t xml:space="preserve"> of Adults Act 2016</w:t>
      </w:r>
      <w:r w:rsidR="005C7395">
        <w:rPr>
          <w:lang w:eastAsia="en-AU"/>
        </w:rPr>
        <w:t>, the decision must be made in accordance with their appointment</w:t>
      </w:r>
      <w:r w:rsidR="00084125">
        <w:rPr>
          <w:lang w:eastAsia="en-AU"/>
        </w:rPr>
        <w:t xml:space="preserve"> </w:t>
      </w:r>
      <w:r w:rsidR="005C7395">
        <w:rPr>
          <w:lang w:eastAsia="en-AU"/>
        </w:rPr>
        <w:t>however:</w:t>
      </w:r>
    </w:p>
    <w:p w14:paraId="0AADC9BF" w14:textId="77777777" w:rsidR="005C7395" w:rsidRDefault="005C7395" w:rsidP="00084125">
      <w:pPr>
        <w:pStyle w:val="ListParagraph"/>
        <w:numPr>
          <w:ilvl w:val="0"/>
          <w:numId w:val="29"/>
        </w:numPr>
        <w:jc w:val="both"/>
        <w:rPr>
          <w:lang w:eastAsia="en-AU"/>
        </w:rPr>
      </w:pPr>
      <w:r>
        <w:rPr>
          <w:lang w:eastAsia="en-AU"/>
        </w:rPr>
        <w:t xml:space="preserve">if or one or the appointees is not </w:t>
      </w:r>
      <w:r w:rsidR="003345E0">
        <w:rPr>
          <w:lang w:eastAsia="en-AU"/>
        </w:rPr>
        <w:t>willing</w:t>
      </w:r>
      <w:r>
        <w:rPr>
          <w:lang w:eastAsia="en-AU"/>
        </w:rPr>
        <w:t xml:space="preserve"> and able to ma</w:t>
      </w:r>
      <w:r w:rsidR="00800406">
        <w:rPr>
          <w:lang w:eastAsia="en-AU"/>
        </w:rPr>
        <w:t>k</w:t>
      </w:r>
      <w:r>
        <w:rPr>
          <w:lang w:eastAsia="en-AU"/>
        </w:rPr>
        <w:t>e the decision the remaining person</w:t>
      </w:r>
      <w:r w:rsidR="00266DEF">
        <w:rPr>
          <w:lang w:eastAsia="en-AU"/>
        </w:rPr>
        <w:t>/</w:t>
      </w:r>
      <w:r>
        <w:rPr>
          <w:lang w:eastAsia="en-AU"/>
        </w:rPr>
        <w:t>s can make the decision *unless they are jointly appointed;</w:t>
      </w:r>
    </w:p>
    <w:p w14:paraId="0AADC9C0" w14:textId="77777777" w:rsidR="005C7395" w:rsidRDefault="005C7395" w:rsidP="00084125">
      <w:pPr>
        <w:pStyle w:val="ListParagraph"/>
        <w:numPr>
          <w:ilvl w:val="0"/>
          <w:numId w:val="29"/>
        </w:numPr>
        <w:jc w:val="both"/>
        <w:rPr>
          <w:lang w:eastAsia="en-AU"/>
        </w:rPr>
      </w:pPr>
      <w:r>
        <w:rPr>
          <w:lang w:eastAsia="en-AU"/>
        </w:rPr>
        <w:t>If 2 or more persons are severally appointed and agree to the decision, any one of them can make the decision;</w:t>
      </w:r>
    </w:p>
    <w:p w14:paraId="0AADC9C1" w14:textId="77777777" w:rsidR="005C7395" w:rsidRDefault="005C7395" w:rsidP="00084125">
      <w:pPr>
        <w:pStyle w:val="ListParagraph"/>
        <w:numPr>
          <w:ilvl w:val="0"/>
          <w:numId w:val="29"/>
        </w:numPr>
        <w:jc w:val="both"/>
        <w:rPr>
          <w:lang w:eastAsia="en-AU"/>
        </w:rPr>
      </w:pPr>
      <w:r>
        <w:rPr>
          <w:lang w:eastAsia="en-AU"/>
        </w:rPr>
        <w:t>If 2 or more person</w:t>
      </w:r>
      <w:r w:rsidR="00800406">
        <w:rPr>
          <w:lang w:eastAsia="en-AU"/>
        </w:rPr>
        <w:t>s</w:t>
      </w:r>
      <w:r>
        <w:rPr>
          <w:lang w:eastAsia="en-AU"/>
        </w:rPr>
        <w:t xml:space="preserve"> are jointly appointed and do not agree on the decision, n</w:t>
      </w:r>
      <w:r w:rsidR="00800406">
        <w:rPr>
          <w:lang w:eastAsia="en-AU"/>
        </w:rPr>
        <w:t>either</w:t>
      </w:r>
      <w:r>
        <w:rPr>
          <w:lang w:eastAsia="en-AU"/>
        </w:rPr>
        <w:t xml:space="preserve"> of them can make the decision (and a</w:t>
      </w:r>
      <w:r w:rsidR="003345E0">
        <w:rPr>
          <w:lang w:eastAsia="en-AU"/>
        </w:rPr>
        <w:t>n</w:t>
      </w:r>
      <w:r>
        <w:rPr>
          <w:lang w:eastAsia="en-AU"/>
        </w:rPr>
        <w:t xml:space="preserve"> application to NTCAT would be required).</w:t>
      </w:r>
    </w:p>
    <w:p w14:paraId="0AADC9C2" w14:textId="77777777" w:rsidR="00B223D3" w:rsidRPr="00C16C1C" w:rsidRDefault="009C6A1A" w:rsidP="00E966DB">
      <w:pPr>
        <w:pStyle w:val="Heading2"/>
      </w:pPr>
      <w:r>
        <w:t>N</w:t>
      </w:r>
      <w:r w:rsidR="00B223D3" w:rsidRPr="00C16C1C">
        <w:t>o identifiable decision-maker</w:t>
      </w:r>
    </w:p>
    <w:p w14:paraId="0AADC9C3" w14:textId="77777777" w:rsidR="009C6A1A" w:rsidRDefault="00FF0464" w:rsidP="00076C08">
      <w:pPr>
        <w:jc w:val="both"/>
        <w:rPr>
          <w:lang w:eastAsia="en-AU"/>
        </w:rPr>
      </w:pPr>
      <w:r>
        <w:rPr>
          <w:lang w:eastAsia="en-AU"/>
        </w:rPr>
        <w:t>If there is no appointed decision</w:t>
      </w:r>
      <w:r w:rsidR="00800406">
        <w:rPr>
          <w:lang w:eastAsia="en-AU"/>
        </w:rPr>
        <w:t>-</w:t>
      </w:r>
      <w:r>
        <w:rPr>
          <w:lang w:eastAsia="en-AU"/>
        </w:rPr>
        <w:t xml:space="preserve">maker </w:t>
      </w:r>
      <w:r w:rsidR="009C6A1A">
        <w:rPr>
          <w:lang w:eastAsia="en-AU"/>
        </w:rPr>
        <w:t xml:space="preserve">but </w:t>
      </w:r>
      <w:r w:rsidR="003E0FFF">
        <w:rPr>
          <w:lang w:eastAsia="en-AU"/>
        </w:rPr>
        <w:t>there are</w:t>
      </w:r>
      <w:r w:rsidR="009C6A1A">
        <w:rPr>
          <w:lang w:eastAsia="en-AU"/>
        </w:rPr>
        <w:t xml:space="preserve"> more than one potential decision</w:t>
      </w:r>
      <w:r w:rsidR="00800406">
        <w:rPr>
          <w:lang w:eastAsia="en-AU"/>
        </w:rPr>
        <w:t>-</w:t>
      </w:r>
      <w:r w:rsidR="009C6A1A">
        <w:rPr>
          <w:lang w:eastAsia="en-AU"/>
        </w:rPr>
        <w:t>maker</w:t>
      </w:r>
      <w:r w:rsidR="001A7691">
        <w:rPr>
          <w:lang w:eastAsia="en-AU"/>
        </w:rPr>
        <w:t>s</w:t>
      </w:r>
      <w:r w:rsidR="009C6A1A">
        <w:rPr>
          <w:lang w:eastAsia="en-AU"/>
        </w:rPr>
        <w:t xml:space="preserve"> under the hierarchy of decision</w:t>
      </w:r>
      <w:r w:rsidR="00800406">
        <w:rPr>
          <w:lang w:eastAsia="en-AU"/>
        </w:rPr>
        <w:t>-</w:t>
      </w:r>
      <w:r w:rsidR="009C6A1A">
        <w:rPr>
          <w:lang w:eastAsia="en-AU"/>
        </w:rPr>
        <w:t>makers, determining priority may take place by referring to guid</w:t>
      </w:r>
      <w:r w:rsidR="003C2204">
        <w:rPr>
          <w:lang w:eastAsia="en-AU"/>
        </w:rPr>
        <w:t>e</w:t>
      </w:r>
      <w:r w:rsidR="009C6A1A">
        <w:rPr>
          <w:lang w:eastAsia="en-AU"/>
        </w:rPr>
        <w:t>lin</w:t>
      </w:r>
      <w:r w:rsidR="003C2204">
        <w:rPr>
          <w:lang w:eastAsia="en-AU"/>
        </w:rPr>
        <w:t>e</w:t>
      </w:r>
      <w:r w:rsidR="009C6A1A">
        <w:rPr>
          <w:lang w:eastAsia="en-AU"/>
        </w:rPr>
        <w:t>s iss</w:t>
      </w:r>
      <w:r w:rsidR="003E0FFF">
        <w:rPr>
          <w:lang w:eastAsia="en-AU"/>
        </w:rPr>
        <w:t>u</w:t>
      </w:r>
      <w:r w:rsidR="009C6A1A">
        <w:rPr>
          <w:lang w:eastAsia="en-AU"/>
        </w:rPr>
        <w:t>ed by the Public Guardian</w:t>
      </w:r>
      <w:r w:rsidR="00627365">
        <w:rPr>
          <w:lang w:eastAsia="en-AU"/>
        </w:rPr>
        <w:t>.</w:t>
      </w:r>
    </w:p>
    <w:p w14:paraId="0AADC9C4" w14:textId="77777777" w:rsidR="009C6A1A" w:rsidRDefault="009C6A1A">
      <w:pPr>
        <w:jc w:val="both"/>
        <w:rPr>
          <w:lang w:eastAsia="en-AU"/>
        </w:rPr>
      </w:pPr>
      <w:r>
        <w:rPr>
          <w:lang w:eastAsia="en-AU"/>
        </w:rPr>
        <w:t>If t</w:t>
      </w:r>
      <w:r w:rsidR="003C2204">
        <w:rPr>
          <w:lang w:eastAsia="en-AU"/>
        </w:rPr>
        <w:t>here continues to be uncertaint</w:t>
      </w:r>
      <w:r>
        <w:rPr>
          <w:lang w:eastAsia="en-AU"/>
        </w:rPr>
        <w:t>y or a dispute, an application can be made to NTCAT</w:t>
      </w:r>
      <w:r w:rsidR="00627365">
        <w:rPr>
          <w:lang w:eastAsia="en-AU"/>
        </w:rPr>
        <w:t>.</w:t>
      </w:r>
      <w:r>
        <w:rPr>
          <w:lang w:eastAsia="en-AU"/>
        </w:rPr>
        <w:t xml:space="preserve"> </w:t>
      </w:r>
    </w:p>
    <w:p w14:paraId="0AADC9C5" w14:textId="77777777" w:rsidR="00B15194" w:rsidRDefault="009C6A1A">
      <w:pPr>
        <w:jc w:val="both"/>
        <w:rPr>
          <w:lang w:eastAsia="en-AU"/>
        </w:rPr>
      </w:pPr>
      <w:r>
        <w:rPr>
          <w:lang w:eastAsia="en-AU"/>
        </w:rPr>
        <w:t>If there is no identifiable decision</w:t>
      </w:r>
      <w:r w:rsidR="00800406">
        <w:rPr>
          <w:lang w:eastAsia="en-AU"/>
        </w:rPr>
        <w:t>-</w:t>
      </w:r>
      <w:r>
        <w:rPr>
          <w:lang w:eastAsia="en-AU"/>
        </w:rPr>
        <w:t xml:space="preserve">maker </w:t>
      </w:r>
      <w:r w:rsidR="003E0FFF">
        <w:rPr>
          <w:lang w:eastAsia="en-AU"/>
        </w:rPr>
        <w:t>at all, the Public Guardian can make the decision as the default decision</w:t>
      </w:r>
      <w:r w:rsidR="00800406">
        <w:rPr>
          <w:lang w:eastAsia="en-AU"/>
        </w:rPr>
        <w:t>-</w:t>
      </w:r>
      <w:r w:rsidR="003E0FFF">
        <w:rPr>
          <w:lang w:eastAsia="en-AU"/>
        </w:rPr>
        <w:t>maker or</w:t>
      </w:r>
      <w:r w:rsidR="00FF0464">
        <w:rPr>
          <w:lang w:eastAsia="en-AU"/>
        </w:rPr>
        <w:t xml:space="preserve"> an </w:t>
      </w:r>
      <w:r w:rsidR="00B15194">
        <w:rPr>
          <w:lang w:eastAsia="en-AU"/>
        </w:rPr>
        <w:t xml:space="preserve">application can be made to NTCAT to either </w:t>
      </w:r>
      <w:r w:rsidR="0027395C">
        <w:rPr>
          <w:lang w:eastAsia="en-AU"/>
        </w:rPr>
        <w:t xml:space="preserve">appoint </w:t>
      </w:r>
      <w:r w:rsidR="00FF0464">
        <w:rPr>
          <w:lang w:eastAsia="en-AU"/>
        </w:rPr>
        <w:t>a</w:t>
      </w:r>
      <w:r w:rsidR="003E0FFF">
        <w:rPr>
          <w:lang w:eastAsia="en-AU"/>
        </w:rPr>
        <w:t>n</w:t>
      </w:r>
      <w:r w:rsidR="00FF0464">
        <w:rPr>
          <w:lang w:eastAsia="en-AU"/>
        </w:rPr>
        <w:t xml:space="preserve"> appropriate</w:t>
      </w:r>
      <w:r w:rsidR="0027395C">
        <w:rPr>
          <w:lang w:eastAsia="en-AU"/>
        </w:rPr>
        <w:t xml:space="preserve"> health care decision</w:t>
      </w:r>
      <w:r w:rsidR="00800406">
        <w:rPr>
          <w:lang w:eastAsia="en-AU"/>
        </w:rPr>
        <w:t>-</w:t>
      </w:r>
      <w:r w:rsidR="0027395C">
        <w:rPr>
          <w:lang w:eastAsia="en-AU"/>
        </w:rPr>
        <w:t xml:space="preserve">maker or </w:t>
      </w:r>
      <w:r w:rsidR="00B15194">
        <w:rPr>
          <w:lang w:eastAsia="en-AU"/>
        </w:rPr>
        <w:t>make the decision</w:t>
      </w:r>
      <w:r w:rsidR="00627365">
        <w:rPr>
          <w:lang w:eastAsia="en-AU"/>
        </w:rPr>
        <w:t>.</w:t>
      </w:r>
      <w:r w:rsidR="00B15194">
        <w:rPr>
          <w:lang w:eastAsia="en-AU"/>
        </w:rPr>
        <w:t xml:space="preserve"> </w:t>
      </w:r>
    </w:p>
    <w:p w14:paraId="0AADC9C6" w14:textId="77777777" w:rsidR="002A2D23" w:rsidRPr="003D7071" w:rsidRDefault="009C2556">
      <w:pPr>
        <w:pStyle w:val="Heading1"/>
      </w:pPr>
      <w:r>
        <w:t xml:space="preserve">Specific </w:t>
      </w:r>
      <w:r w:rsidR="002A2D23">
        <w:t>healthcare decisions</w:t>
      </w:r>
    </w:p>
    <w:p w14:paraId="0AADC9C7" w14:textId="77777777" w:rsidR="002A2D23" w:rsidRDefault="009C2556" w:rsidP="002A2D23">
      <w:pPr>
        <w:jc w:val="both"/>
        <w:rPr>
          <w:rFonts w:eastAsia="Times New Roman"/>
          <w:lang w:eastAsia="en-AU"/>
        </w:rPr>
      </w:pPr>
      <w:r>
        <w:rPr>
          <w:color w:val="000000" w:themeColor="text1"/>
        </w:rPr>
        <w:t xml:space="preserve">The </w:t>
      </w:r>
      <w:r w:rsidR="002A2D23">
        <w:rPr>
          <w:color w:val="000000" w:themeColor="text1"/>
        </w:rPr>
        <w:t xml:space="preserve">Act puts </w:t>
      </w:r>
      <w:r w:rsidR="005C7395">
        <w:rPr>
          <w:color w:val="000000" w:themeColor="text1"/>
        </w:rPr>
        <w:t xml:space="preserve">express </w:t>
      </w:r>
      <w:r w:rsidR="002A2D23">
        <w:rPr>
          <w:color w:val="000000" w:themeColor="text1"/>
        </w:rPr>
        <w:t>limits on some types of health care decisions and clarifies the extent to which these decisions can be made</w:t>
      </w:r>
      <w:r>
        <w:rPr>
          <w:color w:val="000000" w:themeColor="text1"/>
        </w:rPr>
        <w:t xml:space="preserve"> by a health care decision</w:t>
      </w:r>
      <w:r w:rsidR="00800406">
        <w:rPr>
          <w:color w:val="000000" w:themeColor="text1"/>
        </w:rPr>
        <w:t>-</w:t>
      </w:r>
      <w:r>
        <w:rPr>
          <w:color w:val="000000" w:themeColor="text1"/>
        </w:rPr>
        <w:t>maker for an adult with impaired capacity</w:t>
      </w:r>
      <w:r w:rsidR="002A2D23">
        <w:rPr>
          <w:color w:val="000000" w:themeColor="text1"/>
        </w:rPr>
        <w:t xml:space="preserve">. </w:t>
      </w:r>
      <w:r>
        <w:rPr>
          <w:color w:val="000000" w:themeColor="text1"/>
        </w:rPr>
        <w:t xml:space="preserve"> It also allows for the administration of some health care for a person with impaired capacity, without consent. </w:t>
      </w:r>
    </w:p>
    <w:p w14:paraId="0AADC9C8" w14:textId="77777777" w:rsidR="002A2D23" w:rsidRPr="00E966DB" w:rsidRDefault="002A2D23" w:rsidP="00E966DB">
      <w:pPr>
        <w:pStyle w:val="Heading2"/>
      </w:pPr>
      <w:r w:rsidRPr="00E966DB">
        <w:t>Routine health care</w:t>
      </w:r>
    </w:p>
    <w:p w14:paraId="0AADC9C9" w14:textId="77777777" w:rsidR="002A2D23" w:rsidRDefault="002A2D23" w:rsidP="002A2D23">
      <w:pPr>
        <w:jc w:val="both"/>
        <w:rPr>
          <w:color w:val="000000" w:themeColor="text1"/>
          <w:lang w:eastAsia="en-AU"/>
        </w:rPr>
      </w:pPr>
      <w:r>
        <w:rPr>
          <w:color w:val="000000" w:themeColor="text1"/>
          <w:lang w:eastAsia="en-AU"/>
        </w:rPr>
        <w:t xml:space="preserve">There is an express ability for a health care provider to administer routine health care, such as </w:t>
      </w:r>
      <w:r>
        <w:rPr>
          <w:color w:val="000000" w:themeColor="text1"/>
          <w:lang w:eastAsia="en-AU"/>
        </w:rPr>
        <w:lastRenderedPageBreak/>
        <w:t>personal hygiene or grooming</w:t>
      </w:r>
      <w:r w:rsidRPr="00DA6D38">
        <w:rPr>
          <w:color w:val="000000" w:themeColor="text1"/>
          <w:lang w:eastAsia="en-AU"/>
        </w:rPr>
        <w:t>.</w:t>
      </w:r>
      <w:r w:rsidRPr="00DA6D38">
        <w:rPr>
          <w:rStyle w:val="FootnoteReference"/>
          <w:color w:val="000000" w:themeColor="text1"/>
          <w:lang w:eastAsia="en-AU"/>
        </w:rPr>
        <w:t xml:space="preserve"> </w:t>
      </w:r>
      <w:r w:rsidRPr="00DA6D38">
        <w:rPr>
          <w:color w:val="000000" w:themeColor="text1"/>
          <w:lang w:eastAsia="en-AU"/>
        </w:rPr>
        <w:t xml:space="preserve">This does not apply </w:t>
      </w:r>
      <w:r>
        <w:rPr>
          <w:color w:val="000000" w:themeColor="text1"/>
          <w:lang w:eastAsia="en-AU"/>
        </w:rPr>
        <w:t xml:space="preserve">in all circumstances </w:t>
      </w:r>
      <w:r w:rsidR="00800406">
        <w:rPr>
          <w:color w:val="000000" w:themeColor="text1"/>
          <w:lang w:eastAsia="en-AU"/>
        </w:rPr>
        <w:t>(</w:t>
      </w:r>
      <w:r>
        <w:rPr>
          <w:color w:val="000000" w:themeColor="text1"/>
          <w:lang w:eastAsia="en-AU"/>
        </w:rPr>
        <w:t xml:space="preserve">e.g. </w:t>
      </w:r>
      <w:r w:rsidRPr="00DA6D38">
        <w:rPr>
          <w:color w:val="000000" w:themeColor="text1"/>
          <w:lang w:eastAsia="en-AU"/>
        </w:rPr>
        <w:t xml:space="preserve">if it is objected to by the adult, consists of an ongoing course of treatment, or causes significant risk of </w:t>
      </w:r>
      <w:r>
        <w:rPr>
          <w:color w:val="000000" w:themeColor="text1"/>
          <w:lang w:eastAsia="en-AU"/>
        </w:rPr>
        <w:t>harm, pain</w:t>
      </w:r>
      <w:r w:rsidRPr="00DA6D38">
        <w:rPr>
          <w:color w:val="000000" w:themeColor="text1"/>
          <w:lang w:eastAsia="en-AU"/>
        </w:rPr>
        <w:t xml:space="preserve"> or distress</w:t>
      </w:r>
      <w:r w:rsidR="00800406">
        <w:rPr>
          <w:color w:val="000000" w:themeColor="text1"/>
          <w:lang w:eastAsia="en-AU"/>
        </w:rPr>
        <w:t>)</w:t>
      </w:r>
      <w:r w:rsidRPr="00DA6D38">
        <w:rPr>
          <w:color w:val="000000" w:themeColor="text1"/>
          <w:lang w:eastAsia="en-AU"/>
        </w:rPr>
        <w:t>.</w:t>
      </w:r>
    </w:p>
    <w:p w14:paraId="0AADC9CA" w14:textId="77777777" w:rsidR="002A2D23" w:rsidRDefault="002A2D23" w:rsidP="00E966DB">
      <w:pPr>
        <w:pStyle w:val="Heading2"/>
      </w:pPr>
      <w:r w:rsidRPr="00D60154">
        <w:t>Emergency situations</w:t>
      </w:r>
    </w:p>
    <w:p w14:paraId="0AADC9CB" w14:textId="77777777" w:rsidR="002A2D23" w:rsidRDefault="002A2D23" w:rsidP="002A2D23">
      <w:pPr>
        <w:jc w:val="both"/>
        <w:rPr>
          <w:lang w:eastAsia="en-AU"/>
        </w:rPr>
      </w:pPr>
      <w:r>
        <w:rPr>
          <w:lang w:eastAsia="en-AU"/>
        </w:rPr>
        <w:t>Consent is not required if a</w:t>
      </w:r>
      <w:r w:rsidRPr="00C16C1C">
        <w:rPr>
          <w:lang w:eastAsia="en-AU"/>
        </w:rPr>
        <w:t xml:space="preserve"> health care provider believe</w:t>
      </w:r>
      <w:r>
        <w:rPr>
          <w:lang w:eastAsia="en-AU"/>
        </w:rPr>
        <w:t>s on reasonable grounds that the health care</w:t>
      </w:r>
      <w:r w:rsidRPr="00C16C1C">
        <w:rPr>
          <w:lang w:eastAsia="en-AU"/>
        </w:rPr>
        <w:t xml:space="preserve"> is necessary and urgent</w:t>
      </w:r>
      <w:r>
        <w:rPr>
          <w:lang w:eastAsia="en-AU"/>
        </w:rPr>
        <w:t xml:space="preserve"> in order to save their life or prevent serious injury</w:t>
      </w:r>
      <w:r w:rsidRPr="00C16C1C">
        <w:rPr>
          <w:lang w:eastAsia="en-AU"/>
        </w:rPr>
        <w:t>, and it is not practicable to delay</w:t>
      </w:r>
      <w:r w:rsidR="00627365">
        <w:rPr>
          <w:lang w:eastAsia="en-AU"/>
        </w:rPr>
        <w:t xml:space="preserve"> in order to obtain</w:t>
      </w:r>
      <w:r>
        <w:rPr>
          <w:lang w:eastAsia="en-AU"/>
        </w:rPr>
        <w:t xml:space="preserve"> consent</w:t>
      </w:r>
      <w:r w:rsidRPr="00C16C1C">
        <w:rPr>
          <w:lang w:eastAsia="en-AU"/>
        </w:rPr>
        <w:t>.</w:t>
      </w:r>
    </w:p>
    <w:p w14:paraId="0AADC9CC" w14:textId="77777777" w:rsidR="002A2D23" w:rsidRPr="00C16C1C" w:rsidRDefault="002A2D23" w:rsidP="002A2D23">
      <w:pPr>
        <w:jc w:val="both"/>
        <w:rPr>
          <w:rFonts w:eastAsia="Times New Roman"/>
          <w:color w:val="2E74B5" w:themeColor="accent1" w:themeShade="BF"/>
          <w:lang w:eastAsia="en-AU"/>
        </w:rPr>
      </w:pPr>
      <w:r>
        <w:rPr>
          <w:lang w:eastAsia="en-AU"/>
        </w:rPr>
        <w:t xml:space="preserve">This applies to adults and children. </w:t>
      </w:r>
    </w:p>
    <w:p w14:paraId="0AADC9CD" w14:textId="77777777" w:rsidR="002A2D23" w:rsidRPr="00C16C1C" w:rsidRDefault="002A2D23" w:rsidP="00E966DB">
      <w:pPr>
        <w:pStyle w:val="Heading2"/>
      </w:pPr>
      <w:r w:rsidRPr="00C16C1C">
        <w:t>Palliative care</w:t>
      </w:r>
    </w:p>
    <w:p w14:paraId="0AADC9CE" w14:textId="77777777" w:rsidR="002A2D23" w:rsidRPr="00C16C1C" w:rsidRDefault="002A2D23" w:rsidP="002A2D23">
      <w:pPr>
        <w:jc w:val="both"/>
        <w:rPr>
          <w:lang w:eastAsia="en-AU"/>
        </w:rPr>
      </w:pPr>
      <w:r>
        <w:rPr>
          <w:lang w:eastAsia="en-AU"/>
        </w:rPr>
        <w:t>Palliative care can be administered to an adult with impaired capacity without the consent of the health care decision</w:t>
      </w:r>
      <w:r w:rsidR="00F93DEA">
        <w:rPr>
          <w:lang w:eastAsia="en-AU"/>
        </w:rPr>
        <w:t>-</w:t>
      </w:r>
      <w:r>
        <w:rPr>
          <w:lang w:eastAsia="en-AU"/>
        </w:rPr>
        <w:t>maker (</w:t>
      </w:r>
      <w:r w:rsidRPr="00C16C1C">
        <w:rPr>
          <w:lang w:eastAsia="en-AU"/>
        </w:rPr>
        <w:t xml:space="preserve">including </w:t>
      </w:r>
      <w:r>
        <w:rPr>
          <w:lang w:eastAsia="en-AU"/>
        </w:rPr>
        <w:t>if the decision</w:t>
      </w:r>
      <w:r w:rsidR="00F93DEA">
        <w:rPr>
          <w:lang w:eastAsia="en-AU"/>
        </w:rPr>
        <w:t>-</w:t>
      </w:r>
      <w:r>
        <w:rPr>
          <w:lang w:eastAsia="en-AU"/>
        </w:rPr>
        <w:t xml:space="preserve">maker objects) but only where </w:t>
      </w:r>
      <w:r w:rsidRPr="00C16C1C">
        <w:rPr>
          <w:lang w:eastAsia="en-AU"/>
        </w:rPr>
        <w:t>the adult</w:t>
      </w:r>
      <w:r>
        <w:rPr>
          <w:lang w:eastAsia="en-AU"/>
        </w:rPr>
        <w:t xml:space="preserve"> with impaired capacity</w:t>
      </w:r>
      <w:r w:rsidRPr="00C16C1C">
        <w:rPr>
          <w:lang w:eastAsia="en-AU"/>
        </w:rPr>
        <w:t xml:space="preserve">: </w:t>
      </w:r>
    </w:p>
    <w:p w14:paraId="0AADC9CF" w14:textId="77777777" w:rsidR="002A2D23" w:rsidRPr="00C16C1C" w:rsidRDefault="002A2D23" w:rsidP="002A2D23">
      <w:pPr>
        <w:pStyle w:val="ListParagraph"/>
        <w:numPr>
          <w:ilvl w:val="0"/>
          <w:numId w:val="25"/>
        </w:numPr>
        <w:jc w:val="both"/>
        <w:rPr>
          <w:lang w:eastAsia="en-AU"/>
        </w:rPr>
      </w:pPr>
      <w:r w:rsidRPr="00C16C1C">
        <w:rPr>
          <w:lang w:eastAsia="en-AU"/>
        </w:rPr>
        <w:t>has an active, progressive and advanced disease; and</w:t>
      </w:r>
    </w:p>
    <w:p w14:paraId="0AADC9D0" w14:textId="77777777" w:rsidR="002A2D23" w:rsidRPr="00C16C1C" w:rsidRDefault="002A2D23" w:rsidP="002A2D23">
      <w:pPr>
        <w:pStyle w:val="ListParagraph"/>
        <w:numPr>
          <w:ilvl w:val="0"/>
          <w:numId w:val="25"/>
        </w:numPr>
        <w:jc w:val="both"/>
        <w:rPr>
          <w:lang w:eastAsia="en-AU"/>
        </w:rPr>
      </w:pPr>
      <w:r w:rsidRPr="00C16C1C">
        <w:rPr>
          <w:lang w:eastAsia="en-AU"/>
        </w:rPr>
        <w:t>has little or no prospect of cure and is expected to die.</w:t>
      </w:r>
    </w:p>
    <w:p w14:paraId="0AADC9D1" w14:textId="77777777" w:rsidR="002A2D23" w:rsidRPr="00C16C1C" w:rsidRDefault="002A2D23" w:rsidP="002A2D23">
      <w:pPr>
        <w:jc w:val="both"/>
        <w:rPr>
          <w:lang w:eastAsia="en-AU"/>
        </w:rPr>
      </w:pPr>
      <w:r>
        <w:rPr>
          <w:lang w:eastAsia="en-AU"/>
        </w:rPr>
        <w:t>However, t</w:t>
      </w:r>
      <w:r w:rsidRPr="00C16C1C">
        <w:rPr>
          <w:lang w:eastAsia="en-AU"/>
        </w:rPr>
        <w:t>he health care provider must consult with the health care decision</w:t>
      </w:r>
      <w:r w:rsidR="00F93DEA">
        <w:rPr>
          <w:lang w:eastAsia="en-AU"/>
        </w:rPr>
        <w:t>-</w:t>
      </w:r>
      <w:r w:rsidRPr="00C16C1C">
        <w:rPr>
          <w:lang w:eastAsia="en-AU"/>
        </w:rPr>
        <w:t>maker before administering palliative care, and must have regard to any preferences and values of the impaired adult known to the health care provider.</w:t>
      </w:r>
    </w:p>
    <w:p w14:paraId="0AADC9D2" w14:textId="77777777" w:rsidR="002A2D23" w:rsidRPr="00DA6D38" w:rsidRDefault="002A2D23" w:rsidP="00E966DB">
      <w:pPr>
        <w:pStyle w:val="Heading2"/>
      </w:pPr>
      <w:r w:rsidRPr="00DA6D38">
        <w:t xml:space="preserve">Mental </w:t>
      </w:r>
      <w:r w:rsidR="00F93DEA">
        <w:t>h</w:t>
      </w:r>
      <w:r w:rsidRPr="00DA6D38">
        <w:t>ealth care</w:t>
      </w:r>
    </w:p>
    <w:p w14:paraId="0AADC9D3" w14:textId="77777777" w:rsidR="002A2D23" w:rsidRDefault="002A2D23" w:rsidP="002A2D23">
      <w:pPr>
        <w:jc w:val="both"/>
        <w:rPr>
          <w:color w:val="000000" w:themeColor="text1"/>
          <w:lang w:eastAsia="en-AU"/>
        </w:rPr>
      </w:pPr>
      <w:r w:rsidRPr="00DA6D38">
        <w:rPr>
          <w:color w:val="000000" w:themeColor="text1"/>
          <w:lang w:eastAsia="en-AU"/>
        </w:rPr>
        <w:t>A health care decision</w:t>
      </w:r>
      <w:r w:rsidR="00F93DEA">
        <w:rPr>
          <w:color w:val="000000" w:themeColor="text1"/>
          <w:lang w:eastAsia="en-AU"/>
        </w:rPr>
        <w:t>-</w:t>
      </w:r>
      <w:r w:rsidRPr="00DA6D38">
        <w:rPr>
          <w:color w:val="000000" w:themeColor="text1"/>
          <w:lang w:eastAsia="en-AU"/>
        </w:rPr>
        <w:t>maker has no authority regarding any treatment under the</w:t>
      </w:r>
      <w:r w:rsidRPr="00DA6D38">
        <w:rPr>
          <w:i/>
          <w:color w:val="000000" w:themeColor="text1"/>
          <w:lang w:eastAsia="en-AU"/>
        </w:rPr>
        <w:t xml:space="preserve"> Mental Health and Related Services Act 1998</w:t>
      </w:r>
      <w:r w:rsidRPr="00DA6D38">
        <w:rPr>
          <w:color w:val="000000" w:themeColor="text1"/>
          <w:lang w:eastAsia="en-AU"/>
        </w:rPr>
        <w:t xml:space="preserve"> for complex cognitive impairment or mental illness</w:t>
      </w:r>
      <w:r w:rsidR="00F93DEA">
        <w:rPr>
          <w:color w:val="000000" w:themeColor="text1"/>
          <w:lang w:eastAsia="en-AU"/>
        </w:rPr>
        <w:t>,</w:t>
      </w:r>
      <w:r w:rsidRPr="00DA6D38">
        <w:rPr>
          <w:color w:val="000000" w:themeColor="text1"/>
          <w:lang w:eastAsia="en-AU"/>
        </w:rPr>
        <w:t xml:space="preserve"> or of a mentally disturbed person</w:t>
      </w:r>
      <w:r w:rsidR="00084125">
        <w:rPr>
          <w:color w:val="000000" w:themeColor="text1"/>
          <w:lang w:eastAsia="en-AU"/>
        </w:rPr>
        <w:t xml:space="preserve">. </w:t>
      </w:r>
      <w:r>
        <w:rPr>
          <w:color w:val="000000" w:themeColor="text1"/>
          <w:lang w:eastAsia="en-AU"/>
        </w:rPr>
        <w:t>This may change with the proposed</w:t>
      </w:r>
      <w:r w:rsidR="00CB68E0">
        <w:rPr>
          <w:color w:val="000000" w:themeColor="text1"/>
          <w:lang w:eastAsia="en-AU"/>
        </w:rPr>
        <w:t xml:space="preserve"> new</w:t>
      </w:r>
      <w:r>
        <w:rPr>
          <w:color w:val="000000" w:themeColor="text1"/>
          <w:lang w:eastAsia="en-AU"/>
        </w:rPr>
        <w:t xml:space="preserve"> </w:t>
      </w:r>
      <w:r w:rsidRPr="00084125">
        <w:rPr>
          <w:color w:val="000000" w:themeColor="text1"/>
          <w:lang w:eastAsia="en-AU"/>
        </w:rPr>
        <w:t xml:space="preserve">Mental Health </w:t>
      </w:r>
      <w:r w:rsidR="00CB68E0" w:rsidRPr="00084125">
        <w:rPr>
          <w:color w:val="000000" w:themeColor="text1"/>
          <w:lang w:eastAsia="en-AU"/>
        </w:rPr>
        <w:t>Bill</w:t>
      </w:r>
      <w:r w:rsidR="00CB68E0" w:rsidRPr="003B097D">
        <w:rPr>
          <w:color w:val="000000" w:themeColor="text1"/>
          <w:lang w:eastAsia="en-AU"/>
        </w:rPr>
        <w:t xml:space="preserve"> </w:t>
      </w:r>
      <w:r w:rsidRPr="003B097D">
        <w:rPr>
          <w:color w:val="000000" w:themeColor="text1"/>
          <w:lang w:eastAsia="en-AU"/>
        </w:rPr>
        <w:t>2024</w:t>
      </w:r>
      <w:r w:rsidRPr="00084125">
        <w:rPr>
          <w:i/>
          <w:color w:val="000000" w:themeColor="text1"/>
          <w:lang w:eastAsia="en-AU"/>
        </w:rPr>
        <w:t>.</w:t>
      </w:r>
    </w:p>
    <w:p w14:paraId="0AADC9D4" w14:textId="77777777" w:rsidR="002A2D23" w:rsidRPr="00DA6D38" w:rsidRDefault="002A2D23" w:rsidP="002A2D23">
      <w:pPr>
        <w:jc w:val="both"/>
        <w:rPr>
          <w:color w:val="000000" w:themeColor="text1"/>
          <w:lang w:eastAsia="en-AU"/>
        </w:rPr>
      </w:pPr>
      <w:r>
        <w:rPr>
          <w:color w:val="000000" w:themeColor="text1"/>
          <w:lang w:eastAsia="en-AU"/>
        </w:rPr>
        <w:t>However, a health care decision</w:t>
      </w:r>
      <w:r w:rsidR="00F93DEA">
        <w:rPr>
          <w:color w:val="000000" w:themeColor="text1"/>
          <w:lang w:eastAsia="en-AU"/>
        </w:rPr>
        <w:t>-</w:t>
      </w:r>
      <w:r>
        <w:rPr>
          <w:color w:val="000000" w:themeColor="text1"/>
          <w:lang w:eastAsia="en-AU"/>
        </w:rPr>
        <w:t xml:space="preserve">maker for a patient under the </w:t>
      </w:r>
      <w:r w:rsidRPr="00C8535A">
        <w:rPr>
          <w:i/>
          <w:color w:val="000000" w:themeColor="text1"/>
          <w:lang w:eastAsia="en-AU"/>
        </w:rPr>
        <w:t>Mental Health and Related Services Act 1998</w:t>
      </w:r>
      <w:r>
        <w:rPr>
          <w:color w:val="000000" w:themeColor="text1"/>
          <w:lang w:eastAsia="en-AU"/>
        </w:rPr>
        <w:t xml:space="preserve"> can consent to other types of non-mental health care for that patient e.g. for a broken limb or antibiotics for an infection. </w:t>
      </w:r>
    </w:p>
    <w:p w14:paraId="0AADC9D5" w14:textId="77777777" w:rsidR="002A2D23" w:rsidRDefault="002A2D23" w:rsidP="00B7770E">
      <w:pPr>
        <w:pStyle w:val="Heading1"/>
      </w:pPr>
      <w:r>
        <w:t>Types of restricted health care</w:t>
      </w:r>
    </w:p>
    <w:p w14:paraId="0AADC9D6" w14:textId="77777777" w:rsidR="002A2D23" w:rsidRDefault="00084125" w:rsidP="002A2D23">
      <w:pPr>
        <w:jc w:val="both"/>
        <w:rPr>
          <w:lang w:eastAsia="en-AU"/>
        </w:rPr>
      </w:pPr>
      <w:r>
        <w:rPr>
          <w:lang w:eastAsia="en-AU"/>
        </w:rPr>
        <w:t>Section 30 of t</w:t>
      </w:r>
      <w:r w:rsidR="00CB68E0">
        <w:rPr>
          <w:lang w:eastAsia="en-AU"/>
        </w:rPr>
        <w:t>he Act provides that there a</w:t>
      </w:r>
      <w:r w:rsidR="00F93DEA">
        <w:rPr>
          <w:lang w:eastAsia="en-AU"/>
        </w:rPr>
        <w:t>re</w:t>
      </w:r>
      <w:r w:rsidR="00CB68E0">
        <w:rPr>
          <w:lang w:eastAsia="en-AU"/>
        </w:rPr>
        <w:t xml:space="preserve"> certain </w:t>
      </w:r>
      <w:r w:rsidR="002A2D23" w:rsidRPr="003D3A2A">
        <w:rPr>
          <w:lang w:eastAsia="en-AU"/>
        </w:rPr>
        <w:t>practices</w:t>
      </w:r>
      <w:r w:rsidR="00A93B34">
        <w:rPr>
          <w:lang w:eastAsia="en-AU"/>
        </w:rPr>
        <w:t xml:space="preserve"> </w:t>
      </w:r>
      <w:r w:rsidR="002A2D23" w:rsidRPr="003D3A2A">
        <w:rPr>
          <w:lang w:eastAsia="en-AU"/>
        </w:rPr>
        <w:t>that a health care decision</w:t>
      </w:r>
      <w:r w:rsidR="00F93DEA">
        <w:rPr>
          <w:lang w:eastAsia="en-AU"/>
        </w:rPr>
        <w:t>-</w:t>
      </w:r>
      <w:r w:rsidR="002A2D23" w:rsidRPr="003D3A2A">
        <w:rPr>
          <w:lang w:eastAsia="en-AU"/>
        </w:rPr>
        <w:t>maker has no authority to make a decision for</w:t>
      </w:r>
      <w:r w:rsidR="00CB68E0">
        <w:rPr>
          <w:lang w:eastAsia="en-AU"/>
        </w:rPr>
        <w:t xml:space="preserve">.  These include </w:t>
      </w:r>
      <w:r w:rsidR="002A2D23" w:rsidRPr="003D3A2A">
        <w:rPr>
          <w:lang w:eastAsia="en-AU"/>
        </w:rPr>
        <w:t>sterilisation, termination of pregnancy, electroconvulsive therapy, removal of non-generative tissue for transplant to another person</w:t>
      </w:r>
      <w:r w:rsidR="00F93DEA">
        <w:rPr>
          <w:lang w:eastAsia="en-AU"/>
        </w:rPr>
        <w:t>,</w:t>
      </w:r>
      <w:r w:rsidR="002A2D23" w:rsidRPr="003D3A2A">
        <w:rPr>
          <w:lang w:eastAsia="en-AU"/>
        </w:rPr>
        <w:t xml:space="preserve"> </w:t>
      </w:r>
      <w:r w:rsidR="002A2D23" w:rsidRPr="003D3A2A">
        <w:rPr>
          <w:lang w:eastAsia="en-AU"/>
        </w:rPr>
        <w:t xml:space="preserve">and special medical research/experimental health care.  </w:t>
      </w:r>
    </w:p>
    <w:p w14:paraId="0AADC9D7" w14:textId="77777777" w:rsidR="002A2D23" w:rsidRDefault="002A2D23" w:rsidP="002A2D23">
      <w:pPr>
        <w:jc w:val="both"/>
        <w:rPr>
          <w:lang w:eastAsia="en-AU"/>
        </w:rPr>
      </w:pPr>
      <w:r>
        <w:rPr>
          <w:lang w:eastAsia="en-AU"/>
        </w:rPr>
        <w:t>However, t</w:t>
      </w:r>
      <w:r>
        <w:t>his restriction doesn’t apply to sterilisation or termination of a pregnancy where the primary reason for the procedure is to treat a health condition and the procedure is necessary to prevent serious or irreversible damage to the adult’s health.</w:t>
      </w:r>
    </w:p>
    <w:p w14:paraId="0AADC9D8" w14:textId="77777777" w:rsidR="002A2D23" w:rsidRDefault="002A2D23" w:rsidP="002A2D23">
      <w:pPr>
        <w:jc w:val="both"/>
      </w:pPr>
      <w:r>
        <w:t>Generally, the listed treatments can only be consented to for an adult with impaired capacity by t</w:t>
      </w:r>
      <w:r w:rsidRPr="00EB593C">
        <w:t xml:space="preserve">he </w:t>
      </w:r>
      <w:r w:rsidR="006419BA">
        <w:t>NTCAT</w:t>
      </w:r>
      <w:r>
        <w:t>.</w:t>
      </w:r>
    </w:p>
    <w:p w14:paraId="0AADC9D9" w14:textId="77777777" w:rsidR="002A2D23" w:rsidRDefault="002A2D23" w:rsidP="00B7770E">
      <w:pPr>
        <w:pStyle w:val="Heading1"/>
      </w:pPr>
      <w:r>
        <w:t xml:space="preserve">Restrictive </w:t>
      </w:r>
      <w:r w:rsidR="008A0D88">
        <w:t>p</w:t>
      </w:r>
      <w:r>
        <w:t xml:space="preserve">ractices – limited consent </w:t>
      </w:r>
    </w:p>
    <w:p w14:paraId="0AADC9DA" w14:textId="77777777" w:rsidR="002A2D23" w:rsidRDefault="003345E0" w:rsidP="002A2D23">
      <w:pPr>
        <w:jc w:val="both"/>
        <w:rPr>
          <w:lang w:eastAsia="en-AU"/>
        </w:rPr>
      </w:pPr>
      <w:r>
        <w:rPr>
          <w:lang w:eastAsia="en-AU"/>
        </w:rPr>
        <w:t>Generally, h</w:t>
      </w:r>
      <w:r w:rsidR="002A2D23">
        <w:rPr>
          <w:lang w:eastAsia="en-AU"/>
        </w:rPr>
        <w:t>ealth care decision</w:t>
      </w:r>
      <w:r w:rsidR="00B55219">
        <w:rPr>
          <w:lang w:eastAsia="en-AU"/>
        </w:rPr>
        <w:t>-</w:t>
      </w:r>
      <w:r w:rsidR="002A2D23">
        <w:rPr>
          <w:lang w:eastAsia="en-AU"/>
        </w:rPr>
        <w:t xml:space="preserve">makers </w:t>
      </w:r>
      <w:r>
        <w:rPr>
          <w:lang w:eastAsia="en-AU"/>
        </w:rPr>
        <w:t>do no</w:t>
      </w:r>
      <w:r w:rsidR="00B55219">
        <w:rPr>
          <w:lang w:eastAsia="en-AU"/>
        </w:rPr>
        <w:t>t</w:t>
      </w:r>
      <w:r>
        <w:rPr>
          <w:lang w:eastAsia="en-AU"/>
        </w:rPr>
        <w:t xml:space="preserve"> have </w:t>
      </w:r>
      <w:r w:rsidR="002A2D23">
        <w:rPr>
          <w:lang w:eastAsia="en-AU"/>
        </w:rPr>
        <w:t>authority to consent to restrictive practices</w:t>
      </w:r>
      <w:r w:rsidR="00084125">
        <w:rPr>
          <w:lang w:eastAsia="en-AU"/>
        </w:rPr>
        <w:t xml:space="preserve">. </w:t>
      </w:r>
      <w:r w:rsidR="002A2D23">
        <w:rPr>
          <w:lang w:eastAsia="en-AU"/>
        </w:rPr>
        <w:t xml:space="preserve">Restrictive practices </w:t>
      </w:r>
      <w:r w:rsidR="00084125">
        <w:rPr>
          <w:lang w:eastAsia="en-AU"/>
        </w:rPr>
        <w:t>i</w:t>
      </w:r>
      <w:r w:rsidR="002A2D23">
        <w:rPr>
          <w:lang w:eastAsia="en-AU"/>
        </w:rPr>
        <w:t xml:space="preserve">n a health setting, can include anything from holding still a person’s arm to administer a vaccination to sedation. </w:t>
      </w:r>
    </w:p>
    <w:p w14:paraId="0AADC9DB" w14:textId="77777777" w:rsidR="002A2D23" w:rsidRDefault="002A2D23" w:rsidP="002A2D23">
      <w:pPr>
        <w:jc w:val="both"/>
        <w:rPr>
          <w:lang w:eastAsia="en-AU"/>
        </w:rPr>
      </w:pPr>
      <w:r>
        <w:rPr>
          <w:lang w:eastAsia="en-AU"/>
        </w:rPr>
        <w:t>However there is ability for health care decision</w:t>
      </w:r>
      <w:r w:rsidR="002E54AF">
        <w:rPr>
          <w:lang w:eastAsia="en-AU"/>
        </w:rPr>
        <w:t xml:space="preserve"> </w:t>
      </w:r>
      <w:r>
        <w:rPr>
          <w:lang w:eastAsia="en-AU"/>
        </w:rPr>
        <w:t>makers to consent to restrictive practices in some circumstances and subject to a range of safeguards, including that they must be the least r</w:t>
      </w:r>
      <w:r w:rsidR="006419BA">
        <w:rPr>
          <w:lang w:eastAsia="en-AU"/>
        </w:rPr>
        <w:t xml:space="preserve">estrictive </w:t>
      </w:r>
      <w:r>
        <w:rPr>
          <w:lang w:eastAsia="en-AU"/>
        </w:rPr>
        <w:t>method of treatment in the circumstances</w:t>
      </w:r>
      <w:r w:rsidR="006419BA">
        <w:rPr>
          <w:lang w:eastAsia="en-AU"/>
        </w:rPr>
        <w:t>.</w:t>
      </w:r>
    </w:p>
    <w:p w14:paraId="0AADC9DC" w14:textId="77777777" w:rsidR="00B223D3" w:rsidRPr="00DE42BA" w:rsidRDefault="00B223D3" w:rsidP="00B7770E">
      <w:pPr>
        <w:pStyle w:val="Heading1"/>
        <w:rPr>
          <w:color w:val="FF0000"/>
        </w:rPr>
      </w:pPr>
      <w:r w:rsidRPr="00F4230C">
        <w:t>Children</w:t>
      </w:r>
    </w:p>
    <w:p w14:paraId="0AADC9DD" w14:textId="77777777" w:rsidR="006D379B" w:rsidRDefault="00F4230C" w:rsidP="006D379B">
      <w:pPr>
        <w:jc w:val="both"/>
      </w:pPr>
      <w:r>
        <w:t xml:space="preserve">The Act does not apply to children, except in relation to emergencies. </w:t>
      </w:r>
    </w:p>
    <w:p w14:paraId="0AADC9DE" w14:textId="77777777" w:rsidR="006D379B" w:rsidRDefault="006D379B" w:rsidP="006D379B">
      <w:pPr>
        <w:jc w:val="both"/>
      </w:pPr>
      <w:r w:rsidRPr="006D379B">
        <w:t xml:space="preserve">Parents and guardians will continue to be the health care </w:t>
      </w:r>
      <w:r>
        <w:t>decision</w:t>
      </w:r>
      <w:r w:rsidR="008A0D88">
        <w:t>-</w:t>
      </w:r>
      <w:r>
        <w:t xml:space="preserve">maker for all children, </w:t>
      </w:r>
      <w:r w:rsidRPr="006D379B">
        <w:t xml:space="preserve">unless there are other court or tribunal orders in place.  However, the </w:t>
      </w:r>
      <w:r w:rsidRPr="006D379B">
        <w:rPr>
          <w:i/>
        </w:rPr>
        <w:t>Gillick principle</w:t>
      </w:r>
      <w:r w:rsidRPr="006D379B">
        <w:t xml:space="preserve"> wil</w:t>
      </w:r>
      <w:r>
        <w:t xml:space="preserve">l continue to apply. This </w:t>
      </w:r>
      <w:r w:rsidRPr="006D379B">
        <w:t>is a common law term that relates to children’s ability to consent to treatments and procedure</w:t>
      </w:r>
      <w:r>
        <w:t>s, depending on their level of understanding and maturity, and the nature and complexity of medical treatment.</w:t>
      </w:r>
    </w:p>
    <w:p w14:paraId="0AADC9DF" w14:textId="77777777" w:rsidR="00C63219" w:rsidRDefault="00F15DC2" w:rsidP="00B7770E">
      <w:pPr>
        <w:pStyle w:val="Heading1"/>
      </w:pPr>
      <w:r>
        <w:t>How will a health care decision</w:t>
      </w:r>
      <w:r w:rsidR="008A0D88">
        <w:t>-</w:t>
      </w:r>
      <w:r>
        <w:t>maker exercise their authority?</w:t>
      </w:r>
    </w:p>
    <w:p w14:paraId="0AADC9E0" w14:textId="77777777" w:rsidR="00EB4CA6" w:rsidRDefault="00EB4CA6" w:rsidP="00DE42BA">
      <w:pPr>
        <w:jc w:val="both"/>
        <w:rPr>
          <w:lang w:eastAsia="en-AU"/>
        </w:rPr>
      </w:pPr>
      <w:r>
        <w:rPr>
          <w:lang w:eastAsia="en-AU"/>
        </w:rPr>
        <w:t>There are clear decision making principles</w:t>
      </w:r>
      <w:r w:rsidR="00084125">
        <w:rPr>
          <w:lang w:eastAsia="en-AU"/>
        </w:rPr>
        <w:t xml:space="preserve"> set out in section 17</w:t>
      </w:r>
      <w:r>
        <w:rPr>
          <w:lang w:eastAsia="en-AU"/>
        </w:rPr>
        <w:t xml:space="preserve"> </w:t>
      </w:r>
      <w:r w:rsidR="00084125">
        <w:rPr>
          <w:lang w:eastAsia="en-AU"/>
        </w:rPr>
        <w:t xml:space="preserve">of </w:t>
      </w:r>
      <w:r>
        <w:rPr>
          <w:lang w:eastAsia="en-AU"/>
        </w:rPr>
        <w:t xml:space="preserve">the Act, which reflect supported substituted decision making. </w:t>
      </w:r>
      <w:r w:rsidR="0074030E">
        <w:rPr>
          <w:lang w:eastAsia="en-AU"/>
        </w:rPr>
        <w:t xml:space="preserve"> These pr</w:t>
      </w:r>
      <w:r w:rsidR="000C2393">
        <w:rPr>
          <w:lang w:eastAsia="en-AU"/>
        </w:rPr>
        <w:t>i</w:t>
      </w:r>
      <w:r w:rsidR="0074030E">
        <w:rPr>
          <w:lang w:eastAsia="en-AU"/>
        </w:rPr>
        <w:t xml:space="preserve">nciples are also reflected in the </w:t>
      </w:r>
      <w:r w:rsidR="0074030E" w:rsidRPr="000C2393">
        <w:rPr>
          <w:i/>
          <w:lang w:eastAsia="en-AU"/>
        </w:rPr>
        <w:t xml:space="preserve">Advance Personal Planning Act </w:t>
      </w:r>
      <w:r w:rsidR="0074030E" w:rsidRPr="006419BA">
        <w:rPr>
          <w:lang w:eastAsia="en-AU"/>
        </w:rPr>
        <w:t>2013</w:t>
      </w:r>
      <w:r w:rsidR="0074030E">
        <w:rPr>
          <w:lang w:eastAsia="en-AU"/>
        </w:rPr>
        <w:t xml:space="preserve"> for health care decision</w:t>
      </w:r>
      <w:r w:rsidR="008A0D88">
        <w:rPr>
          <w:lang w:eastAsia="en-AU"/>
        </w:rPr>
        <w:t>-</w:t>
      </w:r>
      <w:r w:rsidR="0074030E">
        <w:rPr>
          <w:lang w:eastAsia="en-AU"/>
        </w:rPr>
        <w:t>makers appointed under that Act.</w:t>
      </w:r>
    </w:p>
    <w:p w14:paraId="0AADC9E1" w14:textId="77777777" w:rsidR="00EB4CA6" w:rsidRDefault="00EB4CA6" w:rsidP="00DE42BA">
      <w:pPr>
        <w:jc w:val="both"/>
        <w:rPr>
          <w:lang w:eastAsia="en-AU"/>
        </w:rPr>
      </w:pPr>
      <w:r>
        <w:rPr>
          <w:lang w:eastAsia="en-AU"/>
        </w:rPr>
        <w:lastRenderedPageBreak/>
        <w:t>Before exercising their authority, a health care decision</w:t>
      </w:r>
      <w:r w:rsidR="008A0D88">
        <w:rPr>
          <w:lang w:eastAsia="en-AU"/>
        </w:rPr>
        <w:t>-</w:t>
      </w:r>
      <w:r>
        <w:rPr>
          <w:lang w:eastAsia="en-AU"/>
        </w:rPr>
        <w:t>maker must make reasonable efforts to use supports to assist the adult to make their own decision</w:t>
      </w:r>
      <w:r w:rsidR="006419BA">
        <w:rPr>
          <w:lang w:eastAsia="en-AU"/>
        </w:rPr>
        <w:t>.</w:t>
      </w:r>
    </w:p>
    <w:p w14:paraId="0AADC9E2" w14:textId="77777777" w:rsidR="00DE42BA" w:rsidRPr="00DE42BA" w:rsidRDefault="00DE42BA" w:rsidP="00DE42BA">
      <w:pPr>
        <w:jc w:val="both"/>
        <w:rPr>
          <w:lang w:eastAsia="en-AU"/>
        </w:rPr>
      </w:pPr>
      <w:r w:rsidRPr="00DE42BA">
        <w:rPr>
          <w:lang w:eastAsia="en-AU"/>
        </w:rPr>
        <w:t>T</w:t>
      </w:r>
      <w:r w:rsidR="00CB6A3E" w:rsidRPr="00DE42BA">
        <w:rPr>
          <w:lang w:eastAsia="en-AU"/>
        </w:rPr>
        <w:t>he health care decision maker must give effect to any advance care statement made by the adult.</w:t>
      </w:r>
      <w:r w:rsidRPr="00DE42BA">
        <w:rPr>
          <w:lang w:eastAsia="en-AU"/>
        </w:rPr>
        <w:t xml:space="preserve"> </w:t>
      </w:r>
    </w:p>
    <w:p w14:paraId="0AADC9E3" w14:textId="77777777" w:rsidR="005E4B3A" w:rsidRPr="00DE42BA" w:rsidRDefault="00CB6A3E" w:rsidP="00DE42BA">
      <w:pPr>
        <w:jc w:val="both"/>
        <w:rPr>
          <w:lang w:eastAsia="en-AU"/>
        </w:rPr>
      </w:pPr>
      <w:r w:rsidRPr="00DE42BA">
        <w:rPr>
          <w:lang w:eastAsia="en-AU"/>
        </w:rPr>
        <w:t>If no advance care statement was made, the health care decision</w:t>
      </w:r>
      <w:r w:rsidR="008A0D88">
        <w:rPr>
          <w:lang w:eastAsia="en-AU"/>
        </w:rPr>
        <w:t>-</w:t>
      </w:r>
      <w:r w:rsidRPr="00DE42BA">
        <w:rPr>
          <w:lang w:eastAsia="en-AU"/>
        </w:rPr>
        <w:t>maker must exercise their authority in the way the health care decision</w:t>
      </w:r>
      <w:r w:rsidR="008A0D88">
        <w:rPr>
          <w:lang w:eastAsia="en-AU"/>
        </w:rPr>
        <w:t>-</w:t>
      </w:r>
      <w:r w:rsidRPr="00DE42BA">
        <w:rPr>
          <w:lang w:eastAsia="en-AU"/>
        </w:rPr>
        <w:t>maker believes on reasonable grounds the adult would in the circumstances.</w:t>
      </w:r>
    </w:p>
    <w:p w14:paraId="0AADC9E4" w14:textId="77777777" w:rsidR="005E4B3A" w:rsidRPr="00DE42BA" w:rsidRDefault="002418B9" w:rsidP="00DE42BA">
      <w:pPr>
        <w:jc w:val="both"/>
        <w:rPr>
          <w:lang w:eastAsia="en-AU"/>
        </w:rPr>
      </w:pPr>
      <w:r w:rsidRPr="00DE42BA">
        <w:rPr>
          <w:lang w:eastAsia="en-AU"/>
        </w:rPr>
        <w:t>If they are unable to</w:t>
      </w:r>
      <w:r w:rsidR="00076C08">
        <w:rPr>
          <w:lang w:eastAsia="en-AU"/>
        </w:rPr>
        <w:t xml:space="preserve"> identify how the adult would have made the </w:t>
      </w:r>
      <w:r w:rsidRPr="00DE42BA">
        <w:rPr>
          <w:lang w:eastAsia="en-AU"/>
        </w:rPr>
        <w:t>decision,</w:t>
      </w:r>
      <w:r w:rsidR="005E4B3A" w:rsidRPr="00DE42BA">
        <w:rPr>
          <w:lang w:eastAsia="en-AU"/>
        </w:rPr>
        <w:t xml:space="preserve"> the decision</w:t>
      </w:r>
      <w:r w:rsidR="008A0D88">
        <w:rPr>
          <w:lang w:eastAsia="en-AU"/>
        </w:rPr>
        <w:t>-</w:t>
      </w:r>
      <w:r w:rsidR="005E4B3A" w:rsidRPr="00DE42BA">
        <w:rPr>
          <w:lang w:eastAsia="en-AU"/>
        </w:rPr>
        <w:t xml:space="preserve">maker must exercise authority in the way </w:t>
      </w:r>
      <w:r w:rsidR="00DE42BA">
        <w:rPr>
          <w:lang w:eastAsia="en-AU"/>
        </w:rPr>
        <w:t>they</w:t>
      </w:r>
      <w:r w:rsidR="005E4B3A" w:rsidRPr="00DE42BA">
        <w:rPr>
          <w:lang w:eastAsia="en-AU"/>
        </w:rPr>
        <w:t xml:space="preserve"> believe on reasonable grounds</w:t>
      </w:r>
      <w:r w:rsidR="00DE42BA">
        <w:rPr>
          <w:lang w:eastAsia="en-AU"/>
        </w:rPr>
        <w:t xml:space="preserve"> it</w:t>
      </w:r>
      <w:r w:rsidR="005E4B3A" w:rsidRPr="00DE42BA">
        <w:rPr>
          <w:lang w:eastAsia="en-AU"/>
        </w:rPr>
        <w:t xml:space="preserve"> is in the best interests of the adult. </w:t>
      </w:r>
    </w:p>
    <w:p w14:paraId="0AADC9E5" w14:textId="77777777" w:rsidR="005709BE" w:rsidRDefault="009516C6" w:rsidP="00B7770E">
      <w:pPr>
        <w:pStyle w:val="Heading1"/>
      </w:pPr>
      <w:r>
        <w:t xml:space="preserve">Role of </w:t>
      </w:r>
      <w:r w:rsidR="005709BE">
        <w:t>Public Guardian</w:t>
      </w:r>
    </w:p>
    <w:p w14:paraId="0AADC9E6" w14:textId="77777777" w:rsidR="00AA4AF0" w:rsidRPr="003D3A2A" w:rsidRDefault="00AA4AF0" w:rsidP="008765A0">
      <w:pPr>
        <w:spacing w:after="120"/>
        <w:jc w:val="both"/>
      </w:pPr>
      <w:r w:rsidRPr="003D3A2A">
        <w:t>The Pu</w:t>
      </w:r>
      <w:r w:rsidR="003D3A2A">
        <w:t>blic Guardian i</w:t>
      </w:r>
      <w:r w:rsidRPr="003D3A2A">
        <w:t>s the default decision</w:t>
      </w:r>
      <w:r w:rsidR="008A0D88">
        <w:t>-</w:t>
      </w:r>
      <w:r w:rsidRPr="003D3A2A">
        <w:t>maker, in circumstances where</w:t>
      </w:r>
      <w:r w:rsidR="009516C6">
        <w:t xml:space="preserve"> all the following apply</w:t>
      </w:r>
      <w:r w:rsidRPr="003D3A2A">
        <w:t>:</w:t>
      </w:r>
    </w:p>
    <w:p w14:paraId="0AADC9E7" w14:textId="77777777" w:rsidR="00AA4AF0" w:rsidRPr="003D3A2A" w:rsidRDefault="00AA4AF0" w:rsidP="00AA4AF0">
      <w:pPr>
        <w:pStyle w:val="ListParagraph"/>
        <w:numPr>
          <w:ilvl w:val="0"/>
          <w:numId w:val="27"/>
        </w:numPr>
      </w:pPr>
      <w:r w:rsidRPr="003D3A2A">
        <w:t xml:space="preserve">No </w:t>
      </w:r>
      <w:r w:rsidR="009516C6">
        <w:t xml:space="preserve">relevant </w:t>
      </w:r>
      <w:r w:rsidRPr="003D3A2A">
        <w:t xml:space="preserve">advance consent decision has been made; </w:t>
      </w:r>
      <w:r w:rsidR="009516C6">
        <w:t>and</w:t>
      </w:r>
    </w:p>
    <w:p w14:paraId="0AADC9E8" w14:textId="77777777" w:rsidR="00AA4AF0" w:rsidRPr="003D3A2A" w:rsidRDefault="00AA4AF0" w:rsidP="00AA4AF0">
      <w:pPr>
        <w:pStyle w:val="ListParagraph"/>
        <w:numPr>
          <w:ilvl w:val="0"/>
          <w:numId w:val="27"/>
        </w:numPr>
      </w:pPr>
      <w:r w:rsidRPr="003D3A2A">
        <w:t>There is no identifiable health care decision</w:t>
      </w:r>
      <w:r w:rsidR="008A0D88">
        <w:t>-</w:t>
      </w:r>
      <w:r w:rsidRPr="003D3A2A">
        <w:t>maker;</w:t>
      </w:r>
      <w:r w:rsidR="009516C6">
        <w:t xml:space="preserve"> and</w:t>
      </w:r>
    </w:p>
    <w:p w14:paraId="0AADC9E9" w14:textId="77777777" w:rsidR="00AA4AF0" w:rsidRPr="003D3A2A" w:rsidRDefault="00AA4AF0" w:rsidP="00AA4AF0">
      <w:pPr>
        <w:pStyle w:val="ListParagraph"/>
        <w:numPr>
          <w:ilvl w:val="0"/>
          <w:numId w:val="27"/>
        </w:numPr>
      </w:pPr>
      <w:r w:rsidRPr="003D3A2A">
        <w:t xml:space="preserve">No application </w:t>
      </w:r>
      <w:r w:rsidR="003D3A2A">
        <w:t>has been</w:t>
      </w:r>
      <w:r w:rsidRPr="003D3A2A">
        <w:t xml:space="preserve"> made to NTCAT</w:t>
      </w:r>
      <w:r w:rsidR="009516C6">
        <w:t xml:space="preserve">. </w:t>
      </w:r>
    </w:p>
    <w:p w14:paraId="0AADC9EA" w14:textId="77777777" w:rsidR="00B807F7" w:rsidRPr="003D3A2A" w:rsidRDefault="006419BA" w:rsidP="008765A0">
      <w:pPr>
        <w:jc w:val="both"/>
      </w:pPr>
      <w:r>
        <w:t>The Public Guardian</w:t>
      </w:r>
      <w:r w:rsidR="003D3A2A" w:rsidRPr="003D3A2A">
        <w:t xml:space="preserve"> </w:t>
      </w:r>
      <w:r>
        <w:t>also has authority where they</w:t>
      </w:r>
      <w:r w:rsidR="009516C6">
        <w:t xml:space="preserve"> </w:t>
      </w:r>
      <w:r>
        <w:t>have</w:t>
      </w:r>
      <w:r w:rsidR="003D3A2A" w:rsidRPr="003D3A2A">
        <w:t xml:space="preserve"> been appointed under the </w:t>
      </w:r>
      <w:r w:rsidR="003D3A2A" w:rsidRPr="008765A0">
        <w:rPr>
          <w:i/>
        </w:rPr>
        <w:t>Guardianship of Adults Act 2016</w:t>
      </w:r>
      <w:r w:rsidR="003D3A2A" w:rsidRPr="003D3A2A">
        <w:t xml:space="preserve"> or the </w:t>
      </w:r>
      <w:r w:rsidR="003D3A2A" w:rsidRPr="008765A0">
        <w:rPr>
          <w:i/>
        </w:rPr>
        <w:t>Advance Personal Planning Act 2013</w:t>
      </w:r>
      <w:r w:rsidR="008A0D88">
        <w:rPr>
          <w:i/>
        </w:rPr>
        <w:t>,</w:t>
      </w:r>
      <w:r w:rsidR="009516C6">
        <w:t xml:space="preserve"> or ordered to be the decision</w:t>
      </w:r>
      <w:r w:rsidR="008A0D88">
        <w:t>-</w:t>
      </w:r>
      <w:r w:rsidR="009516C6">
        <w:t>maker by NTCAT</w:t>
      </w:r>
      <w:r w:rsidR="003D3A2A" w:rsidRPr="00EE4FBD">
        <w:rPr>
          <w:i/>
        </w:rPr>
        <w:t>.</w:t>
      </w:r>
    </w:p>
    <w:p w14:paraId="0AADC9EB" w14:textId="77777777" w:rsidR="00B807F7" w:rsidRPr="003D3A2A" w:rsidRDefault="00B807F7" w:rsidP="00B807F7">
      <w:pPr>
        <w:pStyle w:val="Paragraph"/>
        <w:ind w:left="0" w:firstLine="0"/>
        <w:rPr>
          <w:rFonts w:ascii="Lato" w:hAnsi="Lato"/>
          <w:color w:val="5B9BD5" w:themeColor="accent1"/>
          <w:sz w:val="22"/>
          <w:szCs w:val="22"/>
        </w:rPr>
      </w:pPr>
      <w:r w:rsidRPr="003D3A2A">
        <w:rPr>
          <w:rFonts w:ascii="Lato" w:hAnsi="Lato"/>
          <w:sz w:val="22"/>
          <w:szCs w:val="22"/>
        </w:rPr>
        <w:t xml:space="preserve">The Public Guardian may also make guidelines to assist in interpreting and applying the Act. They are accessible from the </w:t>
      </w:r>
      <w:hyperlink r:id="rId12" w:history="1">
        <w:r w:rsidRPr="003D3A2A">
          <w:rPr>
            <w:rStyle w:val="Hyperlink"/>
            <w:rFonts w:ascii="Lato" w:hAnsi="Lato"/>
            <w:color w:val="auto"/>
            <w:sz w:val="22"/>
            <w:szCs w:val="22"/>
          </w:rPr>
          <w:t>Northern Territory Public Guardian and Trustee</w:t>
        </w:r>
      </w:hyperlink>
      <w:r w:rsidR="00082D6C">
        <w:rPr>
          <w:rStyle w:val="Hyperlink"/>
          <w:rFonts w:ascii="Lato" w:hAnsi="Lato"/>
          <w:color w:val="auto"/>
          <w:sz w:val="22"/>
          <w:szCs w:val="22"/>
        </w:rPr>
        <w:t>’s website.</w:t>
      </w:r>
    </w:p>
    <w:p w14:paraId="0AADC9EC" w14:textId="77777777" w:rsidR="00B223D3" w:rsidRDefault="00B223D3" w:rsidP="00B7770E">
      <w:pPr>
        <w:pStyle w:val="Heading1"/>
      </w:pPr>
      <w:r>
        <w:t>Advanced Personal Plan</w:t>
      </w:r>
      <w:r w:rsidR="00CB68E0">
        <w:t xml:space="preserve">s - Advance Care Statements and </w:t>
      </w:r>
      <w:r w:rsidR="00A93B34">
        <w:t xml:space="preserve">Advance Consent </w:t>
      </w:r>
      <w:r w:rsidR="00CB68E0">
        <w:t xml:space="preserve">Decisions </w:t>
      </w:r>
    </w:p>
    <w:p w14:paraId="0AADC9ED" w14:textId="77777777" w:rsidR="00CA1AEA" w:rsidRDefault="00CA1AEA" w:rsidP="00CA1AEA">
      <w:pPr>
        <w:jc w:val="both"/>
      </w:pPr>
      <w:r>
        <w:t xml:space="preserve">An advance personal plan can be made by an adult who has decision making capacity. </w:t>
      </w:r>
    </w:p>
    <w:p w14:paraId="0AADC9EE" w14:textId="77777777" w:rsidR="00CA1AEA" w:rsidRDefault="00CA1AEA" w:rsidP="00CA1AEA">
      <w:pPr>
        <w:shd w:val="clear" w:color="auto" w:fill="FFFFFF"/>
        <w:spacing w:after="0"/>
        <w:jc w:val="both"/>
        <w:rPr>
          <w:rFonts w:eastAsia="Times New Roman" w:cs="Arial"/>
          <w:lang w:eastAsia="en-AU"/>
        </w:rPr>
      </w:pPr>
      <w:r w:rsidRPr="007265E3">
        <w:t xml:space="preserve">A </w:t>
      </w:r>
      <w:r w:rsidRPr="007265E3">
        <w:rPr>
          <w:b/>
        </w:rPr>
        <w:t>decision</w:t>
      </w:r>
      <w:r w:rsidR="008A0D88">
        <w:rPr>
          <w:b/>
        </w:rPr>
        <w:t>-</w:t>
      </w:r>
      <w:r w:rsidRPr="007265E3">
        <w:rPr>
          <w:b/>
        </w:rPr>
        <w:t>maker</w:t>
      </w:r>
      <w:r w:rsidRPr="007265E3">
        <w:t xml:space="preserve"> can be appointed by the adult for </w:t>
      </w:r>
      <w:r w:rsidRPr="007265E3">
        <w:rPr>
          <w:rFonts w:eastAsia="Times New Roman" w:cs="Arial"/>
          <w:lang w:eastAsia="en-AU"/>
        </w:rPr>
        <w:t xml:space="preserve">any aspect of the adult's care and welfare </w:t>
      </w:r>
      <w:r>
        <w:rPr>
          <w:rFonts w:eastAsia="Times New Roman" w:cs="Arial"/>
          <w:lang w:eastAsia="en-AU"/>
        </w:rPr>
        <w:t xml:space="preserve">(including health care) and also for </w:t>
      </w:r>
      <w:r w:rsidRPr="007265E3">
        <w:rPr>
          <w:rFonts w:eastAsia="Times New Roman" w:cs="Arial"/>
          <w:lang w:eastAsia="en-AU"/>
        </w:rPr>
        <w:t>property and financial affairs</w:t>
      </w:r>
      <w:r>
        <w:rPr>
          <w:rFonts w:eastAsia="Times New Roman" w:cs="Arial"/>
          <w:lang w:eastAsia="en-AU"/>
        </w:rPr>
        <w:t xml:space="preserve">. </w:t>
      </w:r>
    </w:p>
    <w:p w14:paraId="0AADC9EF" w14:textId="77777777" w:rsidR="00CA1AEA" w:rsidRDefault="00CA1AEA" w:rsidP="00CA1AEA">
      <w:pPr>
        <w:shd w:val="clear" w:color="auto" w:fill="FFFFFF"/>
        <w:spacing w:after="0"/>
        <w:jc w:val="both"/>
        <w:rPr>
          <w:rFonts w:eastAsia="Times New Roman" w:cs="Arial"/>
          <w:lang w:eastAsia="en-AU"/>
        </w:rPr>
      </w:pPr>
    </w:p>
    <w:p w14:paraId="0AADC9F0" w14:textId="77777777" w:rsidR="00A56063" w:rsidRPr="00A56063" w:rsidRDefault="00A56063" w:rsidP="00A56063">
      <w:pPr>
        <w:jc w:val="both"/>
      </w:pPr>
      <w:r w:rsidRPr="00A56063">
        <w:t xml:space="preserve">An </w:t>
      </w:r>
      <w:r w:rsidRPr="00A56063">
        <w:rPr>
          <w:b/>
        </w:rPr>
        <w:t>advance care statement</w:t>
      </w:r>
      <w:r w:rsidRPr="00A56063">
        <w:t xml:space="preserve"> in an advance personal plan sets out the adult’s views, wishes and beliefs to guide a decision</w:t>
      </w:r>
      <w:r w:rsidR="008A0D88">
        <w:t>-</w:t>
      </w:r>
      <w:r w:rsidRPr="00A56063">
        <w:t xml:space="preserve">maker when making decisions for the adult once they have lost capacity. </w:t>
      </w:r>
    </w:p>
    <w:p w14:paraId="0AADC9F1" w14:textId="77777777" w:rsidR="00A56063" w:rsidRDefault="00A56063" w:rsidP="00A56063">
      <w:pPr>
        <w:jc w:val="both"/>
        <w:rPr>
          <w:lang w:eastAsia="en-AU"/>
        </w:rPr>
      </w:pPr>
      <w:r w:rsidRPr="00A56063">
        <w:t xml:space="preserve">An </w:t>
      </w:r>
      <w:r w:rsidRPr="00A56063">
        <w:rPr>
          <w:b/>
        </w:rPr>
        <w:t>advance consent decision</w:t>
      </w:r>
      <w:r w:rsidRPr="00A56063">
        <w:t xml:space="preserve"> has effect as if it were a health care decision made by a fully informed adult at the time.</w:t>
      </w:r>
      <w:r w:rsidRPr="00A56063">
        <w:rPr>
          <w:lang w:eastAsia="en-AU"/>
        </w:rPr>
        <w:t xml:space="preserve"> A health care provider has authority to administer health care to an impaired adult in accordance with </w:t>
      </w:r>
      <w:r w:rsidR="008A0D88">
        <w:rPr>
          <w:lang w:eastAsia="en-AU"/>
        </w:rPr>
        <w:t>that decision</w:t>
      </w:r>
      <w:r w:rsidRPr="00A56063">
        <w:rPr>
          <w:lang w:eastAsia="en-AU"/>
        </w:rPr>
        <w:t>.</w:t>
      </w:r>
      <w:r w:rsidRPr="00A56063">
        <w:rPr>
          <w:rStyle w:val="FootnoteReference"/>
          <w:lang w:eastAsia="en-AU"/>
        </w:rPr>
        <w:t xml:space="preserve"> </w:t>
      </w:r>
    </w:p>
    <w:p w14:paraId="0AADC9F2" w14:textId="77777777" w:rsidR="00831145" w:rsidRDefault="00CA1AEA" w:rsidP="00A56063">
      <w:pPr>
        <w:jc w:val="both"/>
      </w:pPr>
      <w:r>
        <w:t xml:space="preserve">A </w:t>
      </w:r>
      <w:r w:rsidR="00A56063" w:rsidRPr="00A56063">
        <w:t>health care decision</w:t>
      </w:r>
      <w:r w:rsidR="008A0D88">
        <w:t>-</w:t>
      </w:r>
      <w:r w:rsidR="00A56063" w:rsidRPr="00A56063">
        <w:t xml:space="preserve">maker must give effect to a relevant statement or decision unless exempted </w:t>
      </w:r>
      <w:r w:rsidR="0074030E">
        <w:t xml:space="preserve">under a </w:t>
      </w:r>
      <w:r w:rsidR="00A56063" w:rsidRPr="00A56063">
        <w:t xml:space="preserve">relevant NTCAT order. </w:t>
      </w:r>
    </w:p>
    <w:p w14:paraId="0AADC9F3" w14:textId="77777777" w:rsidR="00A56063" w:rsidRPr="00A56063" w:rsidRDefault="00A56063" w:rsidP="00A56063">
      <w:pPr>
        <w:jc w:val="both"/>
      </w:pPr>
      <w:r w:rsidRPr="00A56063">
        <w:t xml:space="preserve">The </w:t>
      </w:r>
      <w:r w:rsidR="00831145">
        <w:t xml:space="preserve">only time a </w:t>
      </w:r>
      <w:r w:rsidRPr="00A56063">
        <w:t>health care decision</w:t>
      </w:r>
      <w:r w:rsidR="0035007A">
        <w:t>-</w:t>
      </w:r>
      <w:r w:rsidRPr="00A56063">
        <w:t>maker</w:t>
      </w:r>
      <w:r w:rsidR="00173108">
        <w:t xml:space="preserve"> </w:t>
      </w:r>
      <w:r w:rsidRPr="00A56063">
        <w:t xml:space="preserve">is not required to comply </w:t>
      </w:r>
      <w:r w:rsidR="00831145">
        <w:t xml:space="preserve">with an advance care statement or advance care decision is </w:t>
      </w:r>
      <w:r w:rsidRPr="00A56063">
        <w:t>if it would be impracticable, unlawful, unreasonably burdensome on another person; or it would be so unreasonable as to justify overriding the wishes of the person with the impaired decision</w:t>
      </w:r>
      <w:r w:rsidR="0035007A">
        <w:t>-</w:t>
      </w:r>
      <w:r w:rsidRPr="00A56063">
        <w:t>making capacit</w:t>
      </w:r>
      <w:r>
        <w:t>y</w:t>
      </w:r>
      <w:r w:rsidRPr="00A56063">
        <w:t>.</w:t>
      </w:r>
    </w:p>
    <w:p w14:paraId="0AADC9F4" w14:textId="77777777" w:rsidR="00B223D3" w:rsidRDefault="00076CAC" w:rsidP="00B7770E">
      <w:pPr>
        <w:pStyle w:val="Heading1"/>
      </w:pPr>
      <w:r>
        <w:t>P</w:t>
      </w:r>
      <w:r w:rsidR="00B223D3">
        <w:t>ersonal and financial</w:t>
      </w:r>
      <w:r>
        <w:t xml:space="preserve"> decisions</w:t>
      </w:r>
    </w:p>
    <w:p w14:paraId="0AADC9F5" w14:textId="77777777" w:rsidR="00C34665" w:rsidRDefault="009516C6" w:rsidP="00A56063">
      <w:pPr>
        <w:jc w:val="both"/>
        <w:rPr>
          <w:lang w:eastAsia="en-AU"/>
        </w:rPr>
      </w:pPr>
      <w:r>
        <w:rPr>
          <w:lang w:eastAsia="en-AU"/>
        </w:rPr>
        <w:t>For adult guardians, o</w:t>
      </w:r>
      <w:r w:rsidR="00A56063" w:rsidRPr="00A56063">
        <w:rPr>
          <w:lang w:eastAsia="en-AU"/>
        </w:rPr>
        <w:t xml:space="preserve">ther personal </w:t>
      </w:r>
      <w:r>
        <w:rPr>
          <w:lang w:eastAsia="en-AU"/>
        </w:rPr>
        <w:t xml:space="preserve">and financial </w:t>
      </w:r>
      <w:r w:rsidR="00A56063" w:rsidRPr="00A56063">
        <w:rPr>
          <w:lang w:eastAsia="en-AU"/>
        </w:rPr>
        <w:t>decision</w:t>
      </w:r>
      <w:r w:rsidR="00A56063">
        <w:rPr>
          <w:lang w:eastAsia="en-AU"/>
        </w:rPr>
        <w:t xml:space="preserve">s </w:t>
      </w:r>
      <w:r w:rsidR="00CA1AEA">
        <w:rPr>
          <w:lang w:eastAsia="en-AU"/>
        </w:rPr>
        <w:t xml:space="preserve">are to </w:t>
      </w:r>
      <w:r w:rsidR="00A56063">
        <w:rPr>
          <w:lang w:eastAsia="en-AU"/>
        </w:rPr>
        <w:t>continue to be made</w:t>
      </w:r>
      <w:r w:rsidR="00A56063" w:rsidRPr="00A56063">
        <w:rPr>
          <w:lang w:eastAsia="en-AU"/>
        </w:rPr>
        <w:t xml:space="preserve"> in accordance with existing guardianship principles under the </w:t>
      </w:r>
      <w:r w:rsidR="00A56063" w:rsidRPr="00A56063">
        <w:rPr>
          <w:i/>
          <w:lang w:eastAsia="en-AU"/>
        </w:rPr>
        <w:t>Guardianship of Adults Act 2016</w:t>
      </w:r>
      <w:r>
        <w:rPr>
          <w:lang w:eastAsia="en-AU"/>
        </w:rPr>
        <w:t>.</w:t>
      </w:r>
    </w:p>
    <w:p w14:paraId="0AADC9F6" w14:textId="77777777" w:rsidR="009516C6" w:rsidRDefault="009516C6" w:rsidP="00A56063">
      <w:pPr>
        <w:jc w:val="both"/>
        <w:rPr>
          <w:lang w:eastAsia="en-AU"/>
        </w:rPr>
      </w:pPr>
      <w:r>
        <w:rPr>
          <w:lang w:eastAsia="en-AU"/>
        </w:rPr>
        <w:t>Decision</w:t>
      </w:r>
      <w:r w:rsidR="0035007A">
        <w:rPr>
          <w:lang w:eastAsia="en-AU"/>
        </w:rPr>
        <w:t>-</w:t>
      </w:r>
      <w:r>
        <w:rPr>
          <w:lang w:eastAsia="en-AU"/>
        </w:rPr>
        <w:t xml:space="preserve">makers appointed under an advance personal plan for other personal and financial decisions </w:t>
      </w:r>
      <w:r w:rsidR="00CA1AEA">
        <w:rPr>
          <w:lang w:eastAsia="en-AU"/>
        </w:rPr>
        <w:t>are to</w:t>
      </w:r>
      <w:r>
        <w:rPr>
          <w:lang w:eastAsia="en-AU"/>
        </w:rPr>
        <w:t xml:space="preserve"> continue to exercise their authority in accordance with the </w:t>
      </w:r>
      <w:r w:rsidRPr="00EE4FBD">
        <w:rPr>
          <w:i/>
          <w:lang w:eastAsia="en-AU"/>
        </w:rPr>
        <w:t>Advance Personal Planning Act</w:t>
      </w:r>
      <w:r>
        <w:rPr>
          <w:i/>
          <w:lang w:eastAsia="en-AU"/>
        </w:rPr>
        <w:t xml:space="preserve"> 2003</w:t>
      </w:r>
      <w:r>
        <w:rPr>
          <w:lang w:eastAsia="en-AU"/>
        </w:rPr>
        <w:t xml:space="preserve">.  These principles are consistent with the </w:t>
      </w:r>
      <w:r w:rsidRPr="00EE4FBD">
        <w:rPr>
          <w:i/>
          <w:lang w:eastAsia="en-AU"/>
        </w:rPr>
        <w:t>Health Care Decision Making Act 2023</w:t>
      </w:r>
      <w:r>
        <w:rPr>
          <w:lang w:eastAsia="en-AU"/>
        </w:rPr>
        <w:t>.</w:t>
      </w:r>
    </w:p>
    <w:p w14:paraId="0AADC9F7" w14:textId="77777777" w:rsidR="00C63219" w:rsidRDefault="0056120D" w:rsidP="00B7770E">
      <w:pPr>
        <w:pStyle w:val="Heading1"/>
      </w:pPr>
      <w:r>
        <w:t xml:space="preserve">Conflict </w:t>
      </w:r>
      <w:r w:rsidR="0035007A">
        <w:t>r</w:t>
      </w:r>
      <w:r>
        <w:t>esolution – NTCAT</w:t>
      </w:r>
    </w:p>
    <w:p w14:paraId="0AADC9F8" w14:textId="77777777" w:rsidR="00C34665" w:rsidRDefault="00363D0F" w:rsidP="00C34665">
      <w:pPr>
        <w:jc w:val="both"/>
        <w:rPr>
          <w:lang w:eastAsia="en-AU"/>
        </w:rPr>
      </w:pPr>
      <w:r>
        <w:rPr>
          <w:lang w:eastAsia="en-AU"/>
        </w:rPr>
        <w:t xml:space="preserve">Disputes can be resolved by application to the </w:t>
      </w:r>
      <w:r w:rsidR="00EB593C">
        <w:rPr>
          <w:lang w:eastAsia="en-AU"/>
        </w:rPr>
        <w:t>NTCAT</w:t>
      </w:r>
      <w:r w:rsidR="006419BA">
        <w:rPr>
          <w:lang w:eastAsia="en-AU"/>
        </w:rPr>
        <w:t>.</w:t>
      </w:r>
      <w:r w:rsidR="00EB593C">
        <w:rPr>
          <w:lang w:eastAsia="en-AU"/>
        </w:rPr>
        <w:t xml:space="preserve"> </w:t>
      </w:r>
      <w:r>
        <w:rPr>
          <w:lang w:eastAsia="en-AU"/>
        </w:rPr>
        <w:t xml:space="preserve">Applications </w:t>
      </w:r>
      <w:r w:rsidR="00A506A0">
        <w:rPr>
          <w:lang w:eastAsia="en-AU"/>
        </w:rPr>
        <w:t>may</w:t>
      </w:r>
      <w:r>
        <w:rPr>
          <w:lang w:eastAsia="en-AU"/>
        </w:rPr>
        <w:t xml:space="preserve"> be made by a health care provider, health care decision</w:t>
      </w:r>
      <w:r w:rsidR="0035007A">
        <w:rPr>
          <w:lang w:eastAsia="en-AU"/>
        </w:rPr>
        <w:t>-</w:t>
      </w:r>
      <w:r>
        <w:rPr>
          <w:lang w:eastAsia="en-AU"/>
        </w:rPr>
        <w:t>maker, the public guardian or another interested person</w:t>
      </w:r>
      <w:r w:rsidR="00A506A0">
        <w:rPr>
          <w:lang w:eastAsia="en-AU"/>
        </w:rPr>
        <w:t>:</w:t>
      </w:r>
    </w:p>
    <w:p w14:paraId="0AADC9F9" w14:textId="77777777" w:rsidR="001B418F" w:rsidRDefault="001B418F" w:rsidP="00B7770E">
      <w:pPr>
        <w:pStyle w:val="Heading1"/>
      </w:pPr>
      <w:r>
        <w:t xml:space="preserve">Criminal </w:t>
      </w:r>
      <w:r w:rsidR="0035007A">
        <w:t>o</w:t>
      </w:r>
      <w:r>
        <w:t>ffences</w:t>
      </w:r>
    </w:p>
    <w:p w14:paraId="0AADC9FA" w14:textId="77777777" w:rsidR="001B418F" w:rsidRPr="00E974FF" w:rsidRDefault="00872FC1" w:rsidP="00872FC1">
      <w:pPr>
        <w:jc w:val="both"/>
        <w:rPr>
          <w:color w:val="000000" w:themeColor="text1"/>
          <w:lang w:eastAsia="en-AU"/>
        </w:rPr>
      </w:pPr>
      <w:r w:rsidRPr="00E974FF">
        <w:rPr>
          <w:color w:val="000000" w:themeColor="text1"/>
          <w:lang w:eastAsia="en-AU"/>
        </w:rPr>
        <w:t>Various criminal offences have been created under the Act. These include</w:t>
      </w:r>
      <w:r w:rsidR="00E974FF" w:rsidRPr="00E974FF">
        <w:rPr>
          <w:color w:val="000000" w:themeColor="text1"/>
          <w:lang w:eastAsia="en-AU"/>
        </w:rPr>
        <w:t xml:space="preserve"> but are not limited to</w:t>
      </w:r>
      <w:r w:rsidRPr="00E974FF">
        <w:rPr>
          <w:color w:val="000000" w:themeColor="text1"/>
          <w:lang w:eastAsia="en-AU"/>
        </w:rPr>
        <w:t xml:space="preserve"> false representation, providing misleading information, </w:t>
      </w:r>
      <w:r w:rsidR="001B418F" w:rsidRPr="00E974FF">
        <w:rPr>
          <w:color w:val="000000" w:themeColor="text1"/>
          <w:lang w:eastAsia="en-AU"/>
        </w:rPr>
        <w:t>im</w:t>
      </w:r>
      <w:r w:rsidRPr="00E974FF">
        <w:rPr>
          <w:color w:val="000000" w:themeColor="text1"/>
          <w:lang w:eastAsia="en-AU"/>
        </w:rPr>
        <w:t>proper exercise of authority</w:t>
      </w:r>
      <w:r w:rsidR="00363D0F">
        <w:rPr>
          <w:color w:val="000000" w:themeColor="text1"/>
          <w:lang w:eastAsia="en-AU"/>
        </w:rPr>
        <w:t xml:space="preserve"> and </w:t>
      </w:r>
      <w:r w:rsidRPr="00E974FF">
        <w:rPr>
          <w:color w:val="000000" w:themeColor="text1"/>
          <w:lang w:eastAsia="en-AU"/>
        </w:rPr>
        <w:t>acting without authority.</w:t>
      </w:r>
    </w:p>
    <w:p w14:paraId="0AADC9FB" w14:textId="77777777" w:rsidR="00C16C1C" w:rsidRDefault="00C16C1C" w:rsidP="00B7770E">
      <w:pPr>
        <w:pStyle w:val="Heading1"/>
      </w:pPr>
      <w:r>
        <w:lastRenderedPageBreak/>
        <w:t xml:space="preserve">Other </w:t>
      </w:r>
      <w:r w:rsidR="0035007A">
        <w:t>l</w:t>
      </w:r>
      <w:r>
        <w:t>egislation</w:t>
      </w:r>
    </w:p>
    <w:p w14:paraId="0AADC9FC" w14:textId="77777777" w:rsidR="00A56063" w:rsidRPr="00A56063" w:rsidRDefault="00F4230C" w:rsidP="00F4230C">
      <w:pPr>
        <w:jc w:val="both"/>
      </w:pPr>
      <w:r>
        <w:t>The Act brings together all health care</w:t>
      </w:r>
      <w:r w:rsidRPr="00F4230C">
        <w:t xml:space="preserve"> decision</w:t>
      </w:r>
      <w:r w:rsidR="0035007A">
        <w:t>-</w:t>
      </w:r>
      <w:r w:rsidRPr="00F4230C">
        <w:t xml:space="preserve">making provisions from </w:t>
      </w:r>
      <w:r w:rsidR="00EE4FBD">
        <w:t xml:space="preserve">the following Acts: the                          </w:t>
      </w:r>
      <w:r w:rsidRPr="00F4230C">
        <w:rPr>
          <w:i/>
        </w:rPr>
        <w:t>Advance Personal Planning Act 2013</w:t>
      </w:r>
      <w:r w:rsidRPr="00F4230C">
        <w:t xml:space="preserve">, the </w:t>
      </w:r>
      <w:r w:rsidRPr="00F4230C">
        <w:rPr>
          <w:i/>
        </w:rPr>
        <w:t>Guardianship of Adults Act 2016</w:t>
      </w:r>
      <w:r w:rsidRPr="00F4230C">
        <w:t xml:space="preserve">, and the </w:t>
      </w:r>
      <w:r w:rsidRPr="00F4230C">
        <w:rPr>
          <w:i/>
        </w:rPr>
        <w:t>Transplantation and Anatomy Act 1979</w:t>
      </w:r>
      <w:r w:rsidR="009516C6">
        <w:t xml:space="preserve">, as well as the </w:t>
      </w:r>
      <w:r w:rsidR="009516C6" w:rsidRPr="00BD73DA">
        <w:rPr>
          <w:i/>
          <w:lang w:eastAsia="en-AU"/>
        </w:rPr>
        <w:t>Emergency Medical Operations Act 1973</w:t>
      </w:r>
      <w:r w:rsidR="009516C6">
        <w:rPr>
          <w:i/>
          <w:lang w:eastAsia="en-AU"/>
        </w:rPr>
        <w:t xml:space="preserve">, </w:t>
      </w:r>
      <w:r w:rsidR="009516C6">
        <w:rPr>
          <w:lang w:eastAsia="en-AU"/>
        </w:rPr>
        <w:t>which is being repealed</w:t>
      </w:r>
      <w:r>
        <w:t>.</w:t>
      </w:r>
    </w:p>
    <w:p w14:paraId="0AADC9FD" w14:textId="77777777" w:rsidR="00C63219" w:rsidRDefault="00AC1B8B" w:rsidP="00B7770E">
      <w:pPr>
        <w:pStyle w:val="Heading1"/>
      </w:pPr>
      <w:r>
        <w:t>F</w:t>
      </w:r>
      <w:r w:rsidR="00C63219">
        <w:t>urther information</w:t>
      </w:r>
    </w:p>
    <w:p w14:paraId="0AADC9FE" w14:textId="77777777" w:rsidR="00202D04" w:rsidRDefault="00E974FF" w:rsidP="00202D04">
      <w:pPr>
        <w:spacing w:after="120"/>
        <w:rPr>
          <w:lang w:eastAsia="en-AU"/>
        </w:rPr>
      </w:pPr>
      <w:r w:rsidRPr="00202D04">
        <w:rPr>
          <w:b/>
          <w:lang w:eastAsia="en-AU"/>
        </w:rPr>
        <w:t>Members of the public</w:t>
      </w:r>
      <w:r>
        <w:rPr>
          <w:lang w:eastAsia="en-AU"/>
        </w:rPr>
        <w:t xml:space="preserve"> </w:t>
      </w:r>
    </w:p>
    <w:p w14:paraId="0AADC9FF" w14:textId="77777777" w:rsidR="002E54AF" w:rsidRDefault="00202D04" w:rsidP="00202D04">
      <w:pPr>
        <w:spacing w:after="120"/>
        <w:rPr>
          <w:lang w:eastAsia="en-AU"/>
        </w:rPr>
      </w:pPr>
      <w:r>
        <w:rPr>
          <w:lang w:eastAsia="en-AU"/>
        </w:rPr>
        <w:t xml:space="preserve">Website </w:t>
      </w:r>
      <w:r w:rsidR="00E974FF">
        <w:rPr>
          <w:lang w:eastAsia="en-AU"/>
        </w:rPr>
        <w:t xml:space="preserve">– </w:t>
      </w:r>
      <w:hyperlink r:id="rId13" w:history="1">
        <w:r w:rsidR="002E54AF" w:rsidRPr="00404BB2">
          <w:rPr>
            <w:rStyle w:val="Hyperlink"/>
            <w:lang w:eastAsia="en-AU"/>
          </w:rPr>
          <w:t>https://pgt.nt.gov.au/</w:t>
        </w:r>
      </w:hyperlink>
    </w:p>
    <w:p w14:paraId="0AADCA00" w14:textId="77777777" w:rsidR="00202D04" w:rsidRDefault="00202D04" w:rsidP="00202D04">
      <w:pPr>
        <w:spacing w:after="120"/>
      </w:pPr>
      <w:r>
        <w:t>Phone – 1800 810 979</w:t>
      </w:r>
    </w:p>
    <w:p w14:paraId="0AADCA01" w14:textId="77777777" w:rsidR="002E54AF" w:rsidRPr="00084125" w:rsidRDefault="00202D04" w:rsidP="00202D04">
      <w:pPr>
        <w:spacing w:after="120"/>
        <w:rPr>
          <w:color w:val="0000FF"/>
          <w:u w:val="single"/>
        </w:rPr>
      </w:pPr>
      <w:r>
        <w:t xml:space="preserve">Email – </w:t>
      </w:r>
      <w:hyperlink r:id="rId14" w:history="1">
        <w:r w:rsidRPr="00693253">
          <w:rPr>
            <w:rStyle w:val="Hyperlink"/>
          </w:rPr>
          <w:t>public.guardian@nt.gov.au</w:t>
        </w:r>
      </w:hyperlink>
    </w:p>
    <w:p w14:paraId="0AADCA02" w14:textId="77777777" w:rsidR="002E54AF" w:rsidRDefault="002E54AF" w:rsidP="00076CAC">
      <w:pPr>
        <w:spacing w:before="240" w:after="120"/>
        <w:rPr>
          <w:b/>
          <w:lang w:eastAsia="en-AU"/>
        </w:rPr>
      </w:pPr>
      <w:r>
        <w:rPr>
          <w:b/>
          <w:lang w:eastAsia="en-AU"/>
        </w:rPr>
        <w:t>[insert AGD website link]</w:t>
      </w:r>
    </w:p>
    <w:p w14:paraId="0AADCA03" w14:textId="77777777" w:rsidR="00202D04" w:rsidRDefault="00202D04" w:rsidP="00076CAC">
      <w:pPr>
        <w:spacing w:before="240" w:after="120"/>
        <w:rPr>
          <w:lang w:eastAsia="en-AU"/>
        </w:rPr>
      </w:pPr>
      <w:r w:rsidRPr="00202D04">
        <w:rPr>
          <w:b/>
          <w:lang w:eastAsia="en-AU"/>
        </w:rPr>
        <w:t>Health care providers</w:t>
      </w:r>
      <w:r>
        <w:rPr>
          <w:lang w:eastAsia="en-AU"/>
        </w:rPr>
        <w:t xml:space="preserve"> </w:t>
      </w:r>
    </w:p>
    <w:p w14:paraId="0AADCA04" w14:textId="77777777" w:rsidR="002E54AF" w:rsidRPr="00084125" w:rsidRDefault="002E54AF" w:rsidP="00084125">
      <w:pPr>
        <w:spacing w:after="0"/>
        <w:rPr>
          <w:rFonts w:ascii="Calibri" w:eastAsiaTheme="minorHAnsi" w:hAnsi="Calibri"/>
          <w:color w:val="1F497D"/>
        </w:rPr>
      </w:pPr>
      <w:r w:rsidRPr="00084125">
        <w:t>Website</w:t>
      </w:r>
      <w:r>
        <w:rPr>
          <w:color w:val="1F497D"/>
        </w:rPr>
        <w:t xml:space="preserve">: </w:t>
      </w:r>
      <w:hyperlink r:id="rId15" w:history="1">
        <w:r>
          <w:rPr>
            <w:rStyle w:val="Hyperlink"/>
          </w:rPr>
          <w:t>https://health.nt.gov.au/</w:t>
        </w:r>
      </w:hyperlink>
      <w:r w:rsidRPr="00084125">
        <w:rPr>
          <w:color w:val="1F497D"/>
        </w:rPr>
        <w:t xml:space="preserve"> </w:t>
      </w:r>
    </w:p>
    <w:p w14:paraId="0AADCA05" w14:textId="77777777" w:rsidR="00202D04" w:rsidRDefault="002E54AF" w:rsidP="00670DF6">
      <w:r w:rsidRPr="00E974FF" w:rsidDel="002E54AF">
        <w:rPr>
          <w:color w:val="FF0000"/>
          <w:lang w:eastAsia="en-AU"/>
        </w:rPr>
        <w:t xml:space="preserve"> </w:t>
      </w:r>
    </w:p>
    <w:p w14:paraId="0AADCA06" w14:textId="77777777" w:rsidR="00AC1B8B" w:rsidRPr="004A439A" w:rsidRDefault="00AC1B8B" w:rsidP="004A439A">
      <w:pPr>
        <w:tabs>
          <w:tab w:val="left" w:pos="1603"/>
        </w:tabs>
        <w:jc w:val="both"/>
        <w:rPr>
          <w:rFonts w:ascii="Lato Semibold" w:eastAsia="Times New Roman" w:hAnsi="Lato Semibold"/>
          <w:sz w:val="36"/>
          <w:szCs w:val="32"/>
          <w:lang w:eastAsia="en-AU"/>
        </w:rPr>
        <w:sectPr w:rsidR="00AC1B8B" w:rsidRPr="004A439A" w:rsidSect="00AC1B8B">
          <w:type w:val="continuous"/>
          <w:pgSz w:w="11906" w:h="16838" w:code="9"/>
          <w:pgMar w:top="794" w:right="794" w:bottom="794" w:left="794" w:header="794" w:footer="349" w:gutter="0"/>
          <w:cols w:num="2" w:space="708"/>
          <w:titlePg/>
          <w:docGrid w:linePitch="360"/>
        </w:sectPr>
      </w:pPr>
    </w:p>
    <w:p w14:paraId="0AADCA07" w14:textId="77777777" w:rsidR="00EE2EA1" w:rsidRDefault="00EE2EA1" w:rsidP="00C63219"/>
    <w:sectPr w:rsidR="00EE2EA1" w:rsidSect="00AC1B8B">
      <w:type w:val="continuous"/>
      <w:pgSz w:w="11906" w:h="16838" w:code="9"/>
      <w:pgMar w:top="794" w:right="794" w:bottom="794" w:left="794" w:header="794" w:footer="3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DCA0A" w14:textId="77777777" w:rsidR="005500DE" w:rsidRDefault="005500DE" w:rsidP="00C63219">
      <w:pPr>
        <w:spacing w:after="0"/>
      </w:pPr>
      <w:r>
        <w:separator/>
      </w:r>
    </w:p>
  </w:endnote>
  <w:endnote w:type="continuationSeparator" w:id="0">
    <w:p w14:paraId="0AADCA0B" w14:textId="77777777" w:rsidR="005500DE" w:rsidRDefault="005500DE" w:rsidP="00C632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CA0D" w14:textId="77777777" w:rsidR="00EE2EA1" w:rsidRDefault="00EE2EA1"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14:paraId="0AADCA10" w14:textId="77777777" w:rsidTr="001D258A">
      <w:trPr>
        <w:cantSplit/>
        <w:trHeight w:hRule="exact" w:val="567"/>
      </w:trPr>
      <w:tc>
        <w:tcPr>
          <w:tcW w:w="10318" w:type="dxa"/>
          <w:vAlign w:val="bottom"/>
        </w:tcPr>
        <w:p w14:paraId="0AADCA0E" w14:textId="6E5D9A1E" w:rsidR="00EE2EA1" w:rsidRPr="00750D2F" w:rsidRDefault="00B0080C" w:rsidP="00996655">
          <w:pPr>
            <w:spacing w:after="0"/>
            <w:rPr>
              <w:rStyle w:val="PageNumber"/>
            </w:rPr>
          </w:pPr>
          <w:r w:rsidRPr="00750D2F">
            <w:rPr>
              <w:rStyle w:val="PageNumber"/>
            </w:rPr>
            <w:t xml:space="preserve">Department of </w:t>
          </w:r>
          <w:sdt>
            <w:sdtPr>
              <w:rPr>
                <w:rStyle w:val="PageNumber"/>
                <w:b/>
              </w:rPr>
              <w:alias w:val="Company"/>
              <w:tag w:val=""/>
              <w:id w:val="310921806"/>
              <w:placeholder>
                <w:docPart w:val="6B1C10714AEA46ECA4008873A67B862B"/>
              </w:placeholder>
              <w:dataBinding w:prefixMappings="xmlns:ns0='http://schemas.openxmlformats.org/officeDocument/2006/extended-properties' " w:xpath="/ns0:Properties[1]/ns0:Company[1]" w:storeItemID="{6668398D-A668-4E3E-A5EB-62B293D839F1}"/>
              <w15:color w:val="000000"/>
              <w:text w:multiLine="1"/>
            </w:sdtPr>
            <w:sdtEndPr>
              <w:rPr>
                <w:rStyle w:val="PageNumber"/>
              </w:rPr>
            </w:sdtEndPr>
            <w:sdtContent>
              <w:r w:rsidR="00322CCE">
                <w:rPr>
                  <w:rStyle w:val="PageNumber"/>
                  <w:b/>
                </w:rPr>
                <w:t>THE ATTORNEY GENERAL AND JUSTICE</w:t>
              </w:r>
            </w:sdtContent>
          </w:sdt>
        </w:p>
        <w:p w14:paraId="0AADCA0F" w14:textId="77777777" w:rsidR="00EE2EA1" w:rsidRPr="00AC4488" w:rsidRDefault="00B0080C"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966DB">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966DB">
            <w:rPr>
              <w:rStyle w:val="PageNumber"/>
              <w:noProof/>
            </w:rPr>
            <w:t>5</w:t>
          </w:r>
          <w:r w:rsidRPr="00AC4488">
            <w:rPr>
              <w:rStyle w:val="PageNumber"/>
            </w:rPr>
            <w:fldChar w:fldCharType="end"/>
          </w:r>
        </w:p>
      </w:tc>
    </w:tr>
  </w:tbl>
  <w:p w14:paraId="0AADCA11" w14:textId="77777777" w:rsidR="00EE2EA1" w:rsidRPr="00996655" w:rsidRDefault="00EE2EA1"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CA13" w14:textId="77777777" w:rsidR="00EE2EA1" w:rsidRDefault="00EE2EA1"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0AADCA17" w14:textId="77777777" w:rsidTr="008921B4">
      <w:trPr>
        <w:cantSplit/>
        <w:trHeight w:hRule="exact" w:val="1134"/>
      </w:trPr>
      <w:tc>
        <w:tcPr>
          <w:tcW w:w="7767" w:type="dxa"/>
          <w:vAlign w:val="bottom"/>
        </w:tcPr>
        <w:p w14:paraId="0AADCA14" w14:textId="77777777" w:rsidR="00EE2EA1" w:rsidRPr="00901430" w:rsidRDefault="00B0080C" w:rsidP="00C0326E">
          <w:pPr>
            <w:spacing w:after="0"/>
            <w:rPr>
              <w:rStyle w:val="PageNumber"/>
            </w:rPr>
          </w:pPr>
          <w:r>
            <w:rPr>
              <w:rStyle w:val="PageNumber"/>
            </w:rPr>
            <w:t xml:space="preserve">Department of </w:t>
          </w:r>
          <w:r w:rsidRPr="005B7565">
            <w:rPr>
              <w:rStyle w:val="PageNumber"/>
            </w:rPr>
            <w:t xml:space="preserve">the </w:t>
          </w:r>
          <w:r w:rsidRPr="005B7565">
            <w:rPr>
              <w:rStyle w:val="PageNumber"/>
              <w:b/>
            </w:rPr>
            <w:t>ATTORNEY-GENERAL and JUSTICE</w:t>
          </w:r>
        </w:p>
        <w:p w14:paraId="0AADCA15" w14:textId="77777777" w:rsidR="00EE2EA1" w:rsidRPr="00CE30CF" w:rsidRDefault="00B0080C"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E966DB">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E966DB">
            <w:rPr>
              <w:rStyle w:val="PageNumber"/>
              <w:noProof/>
            </w:rPr>
            <w:t>5</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0AADCA16" w14:textId="77777777" w:rsidR="00EE2EA1" w:rsidRPr="001E14EB" w:rsidRDefault="00B0080C" w:rsidP="00C0326E">
          <w:pPr>
            <w:spacing w:after="0"/>
            <w:jc w:val="right"/>
          </w:pPr>
          <w:r>
            <w:rPr>
              <w:noProof/>
              <w:lang w:eastAsia="en-AU"/>
            </w:rPr>
            <w:drawing>
              <wp:inline distT="0" distB="0" distL="0" distR="0" wp14:anchorId="0AADCA19" wp14:editId="0AADCA1A">
                <wp:extent cx="1572479" cy="561600"/>
                <wp:effectExtent l="0" t="0" r="889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AADCA18" w14:textId="77777777" w:rsidR="00EE2EA1" w:rsidRPr="00661BE1" w:rsidRDefault="00EE2EA1"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CA08" w14:textId="77777777" w:rsidR="005500DE" w:rsidRDefault="005500DE" w:rsidP="00C63219">
      <w:pPr>
        <w:spacing w:after="0"/>
      </w:pPr>
      <w:r>
        <w:separator/>
      </w:r>
    </w:p>
  </w:footnote>
  <w:footnote w:type="continuationSeparator" w:id="0">
    <w:p w14:paraId="0AADCA09" w14:textId="77777777" w:rsidR="005500DE" w:rsidRDefault="005500DE" w:rsidP="00C632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CA0C" w14:textId="77777777" w:rsidR="00EE2EA1" w:rsidRPr="00162207" w:rsidRDefault="00C363A7" w:rsidP="00996655">
    <w:pPr>
      <w:pStyle w:val="Header"/>
      <w:tabs>
        <w:tab w:val="clear" w:pos="9638"/>
        <w:tab w:val="right" w:pos="10318"/>
      </w:tabs>
      <w:jc w:val="right"/>
    </w:pPr>
    <w:sdt>
      <w:sdtPr>
        <w:alias w:val="Title"/>
        <w:tag w:val="Title"/>
        <w:id w:val="-1014609639"/>
        <w:dataBinding w:prefixMappings="xmlns:ns0='http://purl.org/dc/elements/1.1/' xmlns:ns1='http://schemas.openxmlformats.org/package/2006/metadata/core-properties' " w:xpath="/ns1:coreProperties[1]/ns0:title[1]" w:storeItemID="{6C3C8BC8-F283-45AE-878A-BAB7291924A1}"/>
        <w:text/>
      </w:sdtPr>
      <w:sdtEndPr/>
      <w:sdtContent>
        <w:r w:rsidR="00B15194">
          <w:t>Health Care Decision Making for Adults with Impaired Decision Making Capacity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CA12" w14:textId="77777777" w:rsidR="00EE2EA1" w:rsidRPr="00AC1B8B" w:rsidRDefault="00B0080C" w:rsidP="00EB164C">
    <w:pPr>
      <w:pStyle w:val="Subtitle"/>
      <w:rPr>
        <w:sz w:val="32"/>
      </w:rPr>
    </w:pPr>
    <w:r w:rsidRPr="00AC1B8B">
      <w:rPr>
        <w:sz w:val="32"/>
      </w:rPr>
      <w:t>Fact sheet</w:t>
    </w:r>
    <w:r w:rsidR="00C63219" w:rsidRPr="00AC1B8B">
      <w:rPr>
        <w:sz w:val="32"/>
      </w:rPr>
      <w:t xml:space="preserve"> for Legal Practitioners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ECA"/>
    <w:multiLevelType w:val="hybridMultilevel"/>
    <w:tmpl w:val="45AC6994"/>
    <w:lvl w:ilvl="0" w:tplc="B67068F4">
      <w:start w:val="1"/>
      <w:numFmt w:val="lowerRoman"/>
      <w:lvlText w:val="(%1)"/>
      <w:lvlJc w:val="left"/>
      <w:pPr>
        <w:ind w:left="360" w:hanging="360"/>
      </w:pPr>
      <w:rPr>
        <w:rFonts w:ascii="Calibri" w:eastAsia="Calibri" w:hAnsi="Calibri" w:cs="Calibri" w:hint="default"/>
        <w:b w:val="0"/>
        <w:bCs/>
        <w:i w:val="0"/>
        <w:iCs w:val="0"/>
        <w:spacing w:val="0"/>
        <w:w w:val="10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5C2190"/>
    <w:multiLevelType w:val="hybridMultilevel"/>
    <w:tmpl w:val="3BBCF9B6"/>
    <w:lvl w:ilvl="0" w:tplc="71F426AC">
      <w:start w:val="1"/>
      <w:numFmt w:val="bullet"/>
      <w:lvlText w:val=""/>
      <w:lvlJc w:val="left"/>
      <w:pPr>
        <w:ind w:left="720" w:hanging="360"/>
      </w:pPr>
      <w:rPr>
        <w:rFonts w:ascii="Symbol" w:hAnsi="Symbol" w:hint="default"/>
      </w:rPr>
    </w:lvl>
    <w:lvl w:ilvl="1" w:tplc="1152D97C">
      <w:start w:val="1"/>
      <w:numFmt w:val="bullet"/>
      <w:lvlText w:val="o"/>
      <w:lvlJc w:val="left"/>
      <w:pPr>
        <w:ind w:left="1440" w:hanging="360"/>
      </w:pPr>
      <w:rPr>
        <w:rFonts w:ascii="Courier New" w:hAnsi="Courier New" w:hint="default"/>
      </w:rPr>
    </w:lvl>
    <w:lvl w:ilvl="2" w:tplc="F2764454">
      <w:start w:val="1"/>
      <w:numFmt w:val="bullet"/>
      <w:lvlText w:val=""/>
      <w:lvlJc w:val="left"/>
      <w:pPr>
        <w:ind w:left="2160" w:hanging="360"/>
      </w:pPr>
      <w:rPr>
        <w:rFonts w:ascii="Wingdings" w:hAnsi="Wingdings" w:hint="default"/>
      </w:rPr>
    </w:lvl>
    <w:lvl w:ilvl="3" w:tplc="E15C0BF0">
      <w:start w:val="1"/>
      <w:numFmt w:val="bullet"/>
      <w:lvlText w:val=""/>
      <w:lvlJc w:val="left"/>
      <w:pPr>
        <w:ind w:left="2880" w:hanging="360"/>
      </w:pPr>
      <w:rPr>
        <w:rFonts w:ascii="Symbol" w:hAnsi="Symbol" w:hint="default"/>
      </w:rPr>
    </w:lvl>
    <w:lvl w:ilvl="4" w:tplc="6BAE7A66">
      <w:start w:val="1"/>
      <w:numFmt w:val="bullet"/>
      <w:lvlText w:val="o"/>
      <w:lvlJc w:val="left"/>
      <w:pPr>
        <w:ind w:left="3600" w:hanging="360"/>
      </w:pPr>
      <w:rPr>
        <w:rFonts w:ascii="Courier New" w:hAnsi="Courier New" w:hint="default"/>
      </w:rPr>
    </w:lvl>
    <w:lvl w:ilvl="5" w:tplc="FA985752">
      <w:start w:val="1"/>
      <w:numFmt w:val="bullet"/>
      <w:lvlText w:val=""/>
      <w:lvlJc w:val="left"/>
      <w:pPr>
        <w:ind w:left="4320" w:hanging="360"/>
      </w:pPr>
      <w:rPr>
        <w:rFonts w:ascii="Wingdings" w:hAnsi="Wingdings" w:hint="default"/>
      </w:rPr>
    </w:lvl>
    <w:lvl w:ilvl="6" w:tplc="7122C87C">
      <w:start w:val="1"/>
      <w:numFmt w:val="bullet"/>
      <w:lvlText w:val=""/>
      <w:lvlJc w:val="left"/>
      <w:pPr>
        <w:ind w:left="5040" w:hanging="360"/>
      </w:pPr>
      <w:rPr>
        <w:rFonts w:ascii="Symbol" w:hAnsi="Symbol" w:hint="default"/>
      </w:rPr>
    </w:lvl>
    <w:lvl w:ilvl="7" w:tplc="B80429D0">
      <w:start w:val="1"/>
      <w:numFmt w:val="bullet"/>
      <w:lvlText w:val="o"/>
      <w:lvlJc w:val="left"/>
      <w:pPr>
        <w:ind w:left="5760" w:hanging="360"/>
      </w:pPr>
      <w:rPr>
        <w:rFonts w:ascii="Courier New" w:hAnsi="Courier New" w:hint="default"/>
      </w:rPr>
    </w:lvl>
    <w:lvl w:ilvl="8" w:tplc="82CC57C2">
      <w:start w:val="1"/>
      <w:numFmt w:val="bullet"/>
      <w:lvlText w:val=""/>
      <w:lvlJc w:val="left"/>
      <w:pPr>
        <w:ind w:left="6480" w:hanging="360"/>
      </w:pPr>
      <w:rPr>
        <w:rFonts w:ascii="Wingdings" w:hAnsi="Wingdings" w:hint="default"/>
      </w:rPr>
    </w:lvl>
  </w:abstractNum>
  <w:abstractNum w:abstractNumId="2" w15:restartNumberingAfterBreak="0">
    <w:nsid w:val="05541C92"/>
    <w:multiLevelType w:val="hybridMultilevel"/>
    <w:tmpl w:val="9D50A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896F06"/>
    <w:multiLevelType w:val="hybridMultilevel"/>
    <w:tmpl w:val="43AEF2F4"/>
    <w:lvl w:ilvl="0" w:tplc="DAC0841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F42B02"/>
    <w:multiLevelType w:val="hybridMultilevel"/>
    <w:tmpl w:val="4B3827DC"/>
    <w:lvl w:ilvl="0" w:tplc="019E606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E030FDB"/>
    <w:multiLevelType w:val="hybridMultilevel"/>
    <w:tmpl w:val="0DCCA0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2293A13"/>
    <w:multiLevelType w:val="hybridMultilevel"/>
    <w:tmpl w:val="AF92F6F0"/>
    <w:lvl w:ilvl="0" w:tplc="5428D9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3A3A4B"/>
    <w:multiLevelType w:val="hybridMultilevel"/>
    <w:tmpl w:val="26667A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651FAE"/>
    <w:multiLevelType w:val="hybridMultilevel"/>
    <w:tmpl w:val="3698F7A8"/>
    <w:lvl w:ilvl="0" w:tplc="AA3062FE">
      <w:numFmt w:val="bullet"/>
      <w:lvlText w:val="•"/>
      <w:lvlJc w:val="left"/>
      <w:pPr>
        <w:ind w:left="1080" w:hanging="72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5E6B09"/>
    <w:multiLevelType w:val="hybridMultilevel"/>
    <w:tmpl w:val="F0A20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E9185B"/>
    <w:multiLevelType w:val="hybridMultilevel"/>
    <w:tmpl w:val="573C1508"/>
    <w:lvl w:ilvl="0" w:tplc="F04C3DB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DCC2B7C"/>
    <w:multiLevelType w:val="multilevel"/>
    <w:tmpl w:val="800E076A"/>
    <w:styleLink w:val="OPCNumbering"/>
    <w:lvl w:ilvl="0">
      <w:start w:val="1"/>
      <w:numFmt w:val="decimal"/>
      <w:pStyle w:val="SectionHeading"/>
      <w:lvlText w:val="%1"/>
      <w:lvlJc w:val="left"/>
      <w:pPr>
        <w:tabs>
          <w:tab w:val="num" w:pos="0"/>
        </w:tabs>
        <w:ind w:left="720" w:hanging="72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15:restartNumberingAfterBreak="0">
    <w:nsid w:val="384A2C53"/>
    <w:multiLevelType w:val="hybridMultilevel"/>
    <w:tmpl w:val="3006C180"/>
    <w:lvl w:ilvl="0" w:tplc="019E606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B309D7"/>
    <w:multiLevelType w:val="hybridMultilevel"/>
    <w:tmpl w:val="90D849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C92F83"/>
    <w:multiLevelType w:val="hybridMultilevel"/>
    <w:tmpl w:val="E0C6B05C"/>
    <w:lvl w:ilvl="0" w:tplc="019E606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4BE706B"/>
    <w:multiLevelType w:val="hybridMultilevel"/>
    <w:tmpl w:val="3164510E"/>
    <w:lvl w:ilvl="0" w:tplc="EE4ED24A">
      <w:start w:val="1"/>
      <w:numFmt w:val="lowerRoman"/>
      <w:lvlText w:val="(%1)"/>
      <w:lvlJc w:val="left"/>
      <w:pPr>
        <w:ind w:left="360" w:hanging="360"/>
      </w:pPr>
      <w:rPr>
        <w:rFonts w:ascii="Calibri" w:eastAsia="Calibri" w:hAnsi="Calibri" w:cs="Calibri" w:hint="default"/>
        <w:b w:val="0"/>
        <w:bCs/>
        <w:i w:val="0"/>
        <w:iCs w:val="0"/>
        <w:spacing w:val="0"/>
        <w:w w:val="10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4F238B2"/>
    <w:multiLevelType w:val="hybridMultilevel"/>
    <w:tmpl w:val="7D3869CA"/>
    <w:lvl w:ilvl="0" w:tplc="019E606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1D378E"/>
    <w:multiLevelType w:val="hybridMultilevel"/>
    <w:tmpl w:val="2390D62C"/>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5F46274"/>
    <w:multiLevelType w:val="hybridMultilevel"/>
    <w:tmpl w:val="AA90EC1E"/>
    <w:lvl w:ilvl="0" w:tplc="AA3062FE">
      <w:numFmt w:val="bullet"/>
      <w:lvlText w:val="•"/>
      <w:lvlJc w:val="left"/>
      <w:pPr>
        <w:ind w:left="720" w:hanging="720"/>
      </w:pPr>
      <w:rPr>
        <w:rFonts w:ascii="Lato" w:eastAsia="Calibri" w:hAnsi="La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5782113"/>
    <w:multiLevelType w:val="hybridMultilevel"/>
    <w:tmpl w:val="F5EA9722"/>
    <w:lvl w:ilvl="0" w:tplc="019E60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4E61C1B"/>
    <w:multiLevelType w:val="hybridMultilevel"/>
    <w:tmpl w:val="4122397E"/>
    <w:lvl w:ilvl="0" w:tplc="2192599C">
      <w:start w:val="1"/>
      <w:numFmt w:val="lowerLetter"/>
      <w:lvlText w:val="(%1)"/>
      <w:lvlJc w:val="left"/>
      <w:pPr>
        <w:ind w:left="720" w:hanging="6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1" w15:restartNumberingAfterBreak="0">
    <w:nsid w:val="6A587C5F"/>
    <w:multiLevelType w:val="hybridMultilevel"/>
    <w:tmpl w:val="DC16F03C"/>
    <w:lvl w:ilvl="0" w:tplc="C45218B4">
      <w:start w:val="1"/>
      <w:numFmt w:val="lowerRoman"/>
      <w:lvlText w:val="(%1)"/>
      <w:lvlJc w:val="left"/>
      <w:pPr>
        <w:ind w:left="720" w:hanging="360"/>
      </w:pPr>
      <w:rPr>
        <w:rFonts w:ascii="Calibri" w:eastAsia="Calibri" w:hAnsi="Calibri" w:cs="Calibri" w:hint="default"/>
        <w:b w:val="0"/>
        <w:bCs/>
        <w:i w:val="0"/>
        <w:iCs w:val="0"/>
        <w:spacing w:val="0"/>
        <w:w w:val="10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A8155F"/>
    <w:multiLevelType w:val="hybridMultilevel"/>
    <w:tmpl w:val="07AEE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933B1A"/>
    <w:multiLevelType w:val="hybridMultilevel"/>
    <w:tmpl w:val="3DA6551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61F5F7D"/>
    <w:multiLevelType w:val="hybridMultilevel"/>
    <w:tmpl w:val="FB047D3E"/>
    <w:lvl w:ilvl="0" w:tplc="0C09000F">
      <w:start w:val="1"/>
      <w:numFmt w:val="decimal"/>
      <w:lvlText w:val="%1."/>
      <w:lvlJc w:val="left"/>
      <w:pPr>
        <w:ind w:left="720" w:hanging="360"/>
      </w:pPr>
    </w:lvl>
    <w:lvl w:ilvl="1" w:tplc="321A582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633497C"/>
    <w:multiLevelType w:val="hybridMultilevel"/>
    <w:tmpl w:val="B2E0C150"/>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6590B3A"/>
    <w:multiLevelType w:val="hybridMultilevel"/>
    <w:tmpl w:val="ECE25A70"/>
    <w:lvl w:ilvl="0" w:tplc="D33C1A5A">
      <w:start w:val="1"/>
      <w:numFmt w:val="lowerRoman"/>
      <w:lvlText w:val="(%1)"/>
      <w:lvlJc w:val="left"/>
      <w:pPr>
        <w:ind w:left="360" w:hanging="360"/>
      </w:pPr>
      <w:rPr>
        <w:rFonts w:ascii="Calibri" w:eastAsia="Calibri" w:hAnsi="Calibri" w:cs="Calibri" w:hint="default"/>
        <w:b w:val="0"/>
        <w:bCs/>
        <w:i w:val="0"/>
        <w:iCs w:val="0"/>
        <w:spacing w:val="0"/>
        <w:w w:val="10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81D408A"/>
    <w:multiLevelType w:val="hybridMultilevel"/>
    <w:tmpl w:val="71ECE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3A018C"/>
    <w:multiLevelType w:val="hybridMultilevel"/>
    <w:tmpl w:val="318053B6"/>
    <w:lvl w:ilvl="0" w:tplc="019E60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A672036"/>
    <w:multiLevelType w:val="hybridMultilevel"/>
    <w:tmpl w:val="26667A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5295080">
    <w:abstractNumId w:val="1"/>
  </w:num>
  <w:num w:numId="2" w16cid:durableId="2036076353">
    <w:abstractNumId w:val="27"/>
  </w:num>
  <w:num w:numId="3" w16cid:durableId="286814420">
    <w:abstractNumId w:val="13"/>
  </w:num>
  <w:num w:numId="4" w16cid:durableId="1767994176">
    <w:abstractNumId w:val="24"/>
  </w:num>
  <w:num w:numId="5" w16cid:durableId="916015969">
    <w:abstractNumId w:val="22"/>
  </w:num>
  <w:num w:numId="6" w16cid:durableId="1402487998">
    <w:abstractNumId w:val="8"/>
  </w:num>
  <w:num w:numId="7" w16cid:durableId="162749108">
    <w:abstractNumId w:val="18"/>
  </w:num>
  <w:num w:numId="8" w16cid:durableId="1926918871">
    <w:abstractNumId w:val="9"/>
  </w:num>
  <w:num w:numId="9" w16cid:durableId="77990301">
    <w:abstractNumId w:val="17"/>
  </w:num>
  <w:num w:numId="10" w16cid:durableId="28070192">
    <w:abstractNumId w:val="12"/>
  </w:num>
  <w:num w:numId="11" w16cid:durableId="1836530083">
    <w:abstractNumId w:val="28"/>
  </w:num>
  <w:num w:numId="12" w16cid:durableId="1940750170">
    <w:abstractNumId w:val="7"/>
  </w:num>
  <w:num w:numId="13" w16cid:durableId="245310507">
    <w:abstractNumId w:val="6"/>
  </w:num>
  <w:num w:numId="14" w16cid:durableId="466969750">
    <w:abstractNumId w:val="4"/>
  </w:num>
  <w:num w:numId="15" w16cid:durableId="1725640947">
    <w:abstractNumId w:val="19"/>
  </w:num>
  <w:num w:numId="16" w16cid:durableId="1536312513">
    <w:abstractNumId w:val="26"/>
  </w:num>
  <w:num w:numId="17" w16cid:durableId="1275551747">
    <w:abstractNumId w:val="10"/>
  </w:num>
  <w:num w:numId="18" w16cid:durableId="1385104373">
    <w:abstractNumId w:val="29"/>
  </w:num>
  <w:num w:numId="19" w16cid:durableId="530147017">
    <w:abstractNumId w:val="2"/>
  </w:num>
  <w:num w:numId="20" w16cid:durableId="826554344">
    <w:abstractNumId w:val="21"/>
  </w:num>
  <w:num w:numId="21" w16cid:durableId="688527049">
    <w:abstractNumId w:val="3"/>
  </w:num>
  <w:num w:numId="22" w16cid:durableId="1924295977">
    <w:abstractNumId w:val="11"/>
  </w:num>
  <w:num w:numId="23" w16cid:durableId="1816485544">
    <w:abstractNumId w:val="14"/>
  </w:num>
  <w:num w:numId="24" w16cid:durableId="723796501">
    <w:abstractNumId w:val="25"/>
  </w:num>
  <w:num w:numId="25" w16cid:durableId="1178428828">
    <w:abstractNumId w:val="16"/>
  </w:num>
  <w:num w:numId="26" w16cid:durableId="839076061">
    <w:abstractNumId w:val="20"/>
  </w:num>
  <w:num w:numId="27" w16cid:durableId="177894417">
    <w:abstractNumId w:val="15"/>
  </w:num>
  <w:num w:numId="28" w16cid:durableId="2102407495">
    <w:abstractNumId w:val="0"/>
  </w:num>
  <w:num w:numId="29" w16cid:durableId="532426441">
    <w:abstractNumId w:val="23"/>
  </w:num>
  <w:num w:numId="30" w16cid:durableId="536820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19"/>
    <w:rsid w:val="00002C4D"/>
    <w:rsid w:val="000063CC"/>
    <w:rsid w:val="00076C08"/>
    <w:rsid w:val="00076CAC"/>
    <w:rsid w:val="00082D6C"/>
    <w:rsid w:val="00084125"/>
    <w:rsid w:val="00096F73"/>
    <w:rsid w:val="000C2393"/>
    <w:rsid w:val="000D21F8"/>
    <w:rsid w:val="000D53C7"/>
    <w:rsid w:val="00144A9F"/>
    <w:rsid w:val="00161E74"/>
    <w:rsid w:val="00163AB7"/>
    <w:rsid w:val="00173108"/>
    <w:rsid w:val="00184804"/>
    <w:rsid w:val="001A7691"/>
    <w:rsid w:val="001B418F"/>
    <w:rsid w:val="001E7026"/>
    <w:rsid w:val="00202D04"/>
    <w:rsid w:val="002238DF"/>
    <w:rsid w:val="002418B9"/>
    <w:rsid w:val="00266DEF"/>
    <w:rsid w:val="0027395C"/>
    <w:rsid w:val="00285658"/>
    <w:rsid w:val="002A2D23"/>
    <w:rsid w:val="002A4499"/>
    <w:rsid w:val="002B0992"/>
    <w:rsid w:val="002C2B1E"/>
    <w:rsid w:val="002D511B"/>
    <w:rsid w:val="002D7BB2"/>
    <w:rsid w:val="002E54AF"/>
    <w:rsid w:val="002F5F75"/>
    <w:rsid w:val="002F6A92"/>
    <w:rsid w:val="00301DD0"/>
    <w:rsid w:val="00306130"/>
    <w:rsid w:val="00322CCE"/>
    <w:rsid w:val="003345E0"/>
    <w:rsid w:val="003379DD"/>
    <w:rsid w:val="0035007A"/>
    <w:rsid w:val="0035567E"/>
    <w:rsid w:val="00363D0F"/>
    <w:rsid w:val="0037622A"/>
    <w:rsid w:val="00395409"/>
    <w:rsid w:val="003B097D"/>
    <w:rsid w:val="003C2204"/>
    <w:rsid w:val="003D3A2A"/>
    <w:rsid w:val="003D7071"/>
    <w:rsid w:val="003E0FFF"/>
    <w:rsid w:val="003E60E2"/>
    <w:rsid w:val="003F09F4"/>
    <w:rsid w:val="003F4092"/>
    <w:rsid w:val="00405003"/>
    <w:rsid w:val="00407BB9"/>
    <w:rsid w:val="00435A89"/>
    <w:rsid w:val="00473BB9"/>
    <w:rsid w:val="00485E9B"/>
    <w:rsid w:val="004965E8"/>
    <w:rsid w:val="004A439A"/>
    <w:rsid w:val="004B3290"/>
    <w:rsid w:val="004B4AB5"/>
    <w:rsid w:val="004B5483"/>
    <w:rsid w:val="004D0AD2"/>
    <w:rsid w:val="004D26A6"/>
    <w:rsid w:val="004E75AD"/>
    <w:rsid w:val="004F1C68"/>
    <w:rsid w:val="00533797"/>
    <w:rsid w:val="005500DE"/>
    <w:rsid w:val="00555CCD"/>
    <w:rsid w:val="00555DCD"/>
    <w:rsid w:val="0056120D"/>
    <w:rsid w:val="0057067B"/>
    <w:rsid w:val="005709BE"/>
    <w:rsid w:val="005B3AA4"/>
    <w:rsid w:val="005C7395"/>
    <w:rsid w:val="005E4B3A"/>
    <w:rsid w:val="006075A6"/>
    <w:rsid w:val="00627365"/>
    <w:rsid w:val="00640B9D"/>
    <w:rsid w:val="006419BA"/>
    <w:rsid w:val="00670DF6"/>
    <w:rsid w:val="0069203C"/>
    <w:rsid w:val="006A383D"/>
    <w:rsid w:val="006A6558"/>
    <w:rsid w:val="006A7E54"/>
    <w:rsid w:val="006B5E62"/>
    <w:rsid w:val="006D379B"/>
    <w:rsid w:val="007007A8"/>
    <w:rsid w:val="0074030E"/>
    <w:rsid w:val="0074284B"/>
    <w:rsid w:val="007762B3"/>
    <w:rsid w:val="00800406"/>
    <w:rsid w:val="00800C37"/>
    <w:rsid w:val="008037DC"/>
    <w:rsid w:val="00831145"/>
    <w:rsid w:val="0085581E"/>
    <w:rsid w:val="00864A30"/>
    <w:rsid w:val="00872FC1"/>
    <w:rsid w:val="00873179"/>
    <w:rsid w:val="008765A0"/>
    <w:rsid w:val="008A0D88"/>
    <w:rsid w:val="008A338F"/>
    <w:rsid w:val="008C0D98"/>
    <w:rsid w:val="008D6E84"/>
    <w:rsid w:val="008E3B34"/>
    <w:rsid w:val="008F0AD3"/>
    <w:rsid w:val="008F40EF"/>
    <w:rsid w:val="008F625C"/>
    <w:rsid w:val="008F74F5"/>
    <w:rsid w:val="009516C6"/>
    <w:rsid w:val="00982A78"/>
    <w:rsid w:val="00982B51"/>
    <w:rsid w:val="00991DCC"/>
    <w:rsid w:val="009C13D8"/>
    <w:rsid w:val="009C1964"/>
    <w:rsid w:val="009C2556"/>
    <w:rsid w:val="009C6A1A"/>
    <w:rsid w:val="009E2886"/>
    <w:rsid w:val="00A10B7B"/>
    <w:rsid w:val="00A2172E"/>
    <w:rsid w:val="00A37053"/>
    <w:rsid w:val="00A41614"/>
    <w:rsid w:val="00A506A0"/>
    <w:rsid w:val="00A56063"/>
    <w:rsid w:val="00A6572B"/>
    <w:rsid w:val="00A93B34"/>
    <w:rsid w:val="00AA4AF0"/>
    <w:rsid w:val="00AC1B8B"/>
    <w:rsid w:val="00AD371E"/>
    <w:rsid w:val="00AF725E"/>
    <w:rsid w:val="00B0080C"/>
    <w:rsid w:val="00B02843"/>
    <w:rsid w:val="00B136FA"/>
    <w:rsid w:val="00B15194"/>
    <w:rsid w:val="00B223D3"/>
    <w:rsid w:val="00B55219"/>
    <w:rsid w:val="00B56A95"/>
    <w:rsid w:val="00B7770E"/>
    <w:rsid w:val="00B807F7"/>
    <w:rsid w:val="00B872E2"/>
    <w:rsid w:val="00BA5709"/>
    <w:rsid w:val="00BD6972"/>
    <w:rsid w:val="00C16C1C"/>
    <w:rsid w:val="00C33437"/>
    <w:rsid w:val="00C34665"/>
    <w:rsid w:val="00C35B38"/>
    <w:rsid w:val="00C363A7"/>
    <w:rsid w:val="00C3673A"/>
    <w:rsid w:val="00C374EF"/>
    <w:rsid w:val="00C63219"/>
    <w:rsid w:val="00C8535A"/>
    <w:rsid w:val="00CA1AEA"/>
    <w:rsid w:val="00CA3FE6"/>
    <w:rsid w:val="00CA6FC0"/>
    <w:rsid w:val="00CB60AB"/>
    <w:rsid w:val="00CB68E0"/>
    <w:rsid w:val="00CB6A3E"/>
    <w:rsid w:val="00CE4A87"/>
    <w:rsid w:val="00D014B9"/>
    <w:rsid w:val="00D023E7"/>
    <w:rsid w:val="00D04F2E"/>
    <w:rsid w:val="00D15F2C"/>
    <w:rsid w:val="00D221E0"/>
    <w:rsid w:val="00D40609"/>
    <w:rsid w:val="00D60154"/>
    <w:rsid w:val="00D94B1D"/>
    <w:rsid w:val="00DA6D38"/>
    <w:rsid w:val="00DB335E"/>
    <w:rsid w:val="00DC7F38"/>
    <w:rsid w:val="00DE42BA"/>
    <w:rsid w:val="00E01D51"/>
    <w:rsid w:val="00E0298A"/>
    <w:rsid w:val="00E80258"/>
    <w:rsid w:val="00E84D53"/>
    <w:rsid w:val="00E85E09"/>
    <w:rsid w:val="00E91AC3"/>
    <w:rsid w:val="00E966DB"/>
    <w:rsid w:val="00E974FF"/>
    <w:rsid w:val="00EB4591"/>
    <w:rsid w:val="00EB4CA6"/>
    <w:rsid w:val="00EB593C"/>
    <w:rsid w:val="00EB63E9"/>
    <w:rsid w:val="00EC08DC"/>
    <w:rsid w:val="00ED139E"/>
    <w:rsid w:val="00EE2EA1"/>
    <w:rsid w:val="00EE4FBD"/>
    <w:rsid w:val="00EF0A65"/>
    <w:rsid w:val="00EF614C"/>
    <w:rsid w:val="00F15DC2"/>
    <w:rsid w:val="00F35335"/>
    <w:rsid w:val="00F35B45"/>
    <w:rsid w:val="00F4230C"/>
    <w:rsid w:val="00F50AE8"/>
    <w:rsid w:val="00F52D22"/>
    <w:rsid w:val="00F53338"/>
    <w:rsid w:val="00F93DEA"/>
    <w:rsid w:val="00FA2282"/>
    <w:rsid w:val="00FD2417"/>
    <w:rsid w:val="00FD3FCB"/>
    <w:rsid w:val="00FF04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ADC98F"/>
  <w15:chartTrackingRefBased/>
  <w15:docId w15:val="{29EB8396-1284-4DF6-9153-10EE991E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219"/>
    <w:pPr>
      <w:spacing w:after="200" w:line="240" w:lineRule="auto"/>
    </w:pPr>
    <w:rPr>
      <w:rFonts w:ascii="Lato" w:eastAsia="Calibri" w:hAnsi="Lato" w:cs="Times New Roman"/>
    </w:rPr>
  </w:style>
  <w:style w:type="paragraph" w:styleId="Heading1">
    <w:name w:val="heading 1"/>
    <w:basedOn w:val="Normal"/>
    <w:next w:val="Normal"/>
    <w:link w:val="Heading1Char"/>
    <w:autoRedefine/>
    <w:uiPriority w:val="2"/>
    <w:qFormat/>
    <w:rsid w:val="00B7770E"/>
    <w:pPr>
      <w:keepNext/>
      <w:keepLines/>
      <w:spacing w:after="240"/>
      <w:jc w:val="both"/>
      <w:outlineLvl w:val="0"/>
    </w:pPr>
    <w:rPr>
      <w:rFonts w:ascii="Lato Semibold" w:eastAsia="Times New Roman" w:hAnsi="Lato Semibold"/>
      <w:color w:val="1F1F5F"/>
      <w:kern w:val="32"/>
      <w:sz w:val="28"/>
      <w:szCs w:val="28"/>
      <w:lang w:eastAsia="en-AU"/>
    </w:rPr>
  </w:style>
  <w:style w:type="paragraph" w:styleId="Heading2">
    <w:name w:val="heading 2"/>
    <w:basedOn w:val="Normal"/>
    <w:next w:val="Normal"/>
    <w:link w:val="Heading2Char"/>
    <w:uiPriority w:val="9"/>
    <w:unhideWhenUsed/>
    <w:qFormat/>
    <w:rsid w:val="00B223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7770E"/>
    <w:rPr>
      <w:rFonts w:ascii="Lato Semibold" w:eastAsia="Times New Roman" w:hAnsi="Lato Semibold" w:cs="Times New Roman"/>
      <w:color w:val="1F1F5F"/>
      <w:kern w:val="32"/>
      <w:sz w:val="28"/>
      <w:szCs w:val="28"/>
      <w:lang w:eastAsia="en-AU"/>
    </w:rPr>
  </w:style>
  <w:style w:type="paragraph" w:styleId="Title">
    <w:name w:val="Title"/>
    <w:basedOn w:val="Normal"/>
    <w:next w:val="Normal"/>
    <w:link w:val="TitleChar"/>
    <w:qFormat/>
    <w:rsid w:val="00C63219"/>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C63219"/>
    <w:rPr>
      <w:rFonts w:ascii="Lato Semibold" w:eastAsia="Times New Roman" w:hAnsi="Lato Semibold" w:cs="Times New Roman"/>
      <w:bCs/>
      <w:color w:val="1F1F5F"/>
      <w:kern w:val="32"/>
      <w:sz w:val="60"/>
      <w:szCs w:val="64"/>
    </w:rPr>
  </w:style>
  <w:style w:type="paragraph" w:styleId="Header">
    <w:name w:val="header"/>
    <w:aliases w:val="Page header"/>
    <w:basedOn w:val="Normal"/>
    <w:next w:val="Normal"/>
    <w:link w:val="HeaderChar"/>
    <w:uiPriority w:val="8"/>
    <w:rsid w:val="00C63219"/>
    <w:pPr>
      <w:tabs>
        <w:tab w:val="right" w:pos="9638"/>
      </w:tabs>
      <w:spacing w:after="240"/>
    </w:pPr>
  </w:style>
  <w:style w:type="character" w:customStyle="1" w:styleId="HeaderChar">
    <w:name w:val="Header Char"/>
    <w:aliases w:val="Page header Char"/>
    <w:basedOn w:val="DefaultParagraphFont"/>
    <w:link w:val="Header"/>
    <w:uiPriority w:val="8"/>
    <w:rsid w:val="00C63219"/>
    <w:rPr>
      <w:rFonts w:ascii="Lato" w:eastAsia="Calibri" w:hAnsi="Lato" w:cs="Times New Roman"/>
    </w:rPr>
  </w:style>
  <w:style w:type="paragraph" w:styleId="Footer">
    <w:name w:val="footer"/>
    <w:basedOn w:val="Normal"/>
    <w:link w:val="FooterChar"/>
    <w:uiPriority w:val="99"/>
    <w:semiHidden/>
    <w:rsid w:val="00C63219"/>
    <w:pPr>
      <w:tabs>
        <w:tab w:val="center" w:pos="4513"/>
        <w:tab w:val="right" w:pos="9026"/>
      </w:tabs>
      <w:spacing w:after="0"/>
    </w:pPr>
  </w:style>
  <w:style w:type="character" w:customStyle="1" w:styleId="FooterChar">
    <w:name w:val="Footer Char"/>
    <w:basedOn w:val="DefaultParagraphFont"/>
    <w:link w:val="Footer"/>
    <w:uiPriority w:val="99"/>
    <w:semiHidden/>
    <w:rsid w:val="00C63219"/>
    <w:rPr>
      <w:rFonts w:ascii="Lato" w:eastAsia="Calibri" w:hAnsi="Lato" w:cs="Times New Roman"/>
    </w:rPr>
  </w:style>
  <w:style w:type="paragraph" w:customStyle="1" w:styleId="Subtitle">
    <w:name w:val="Sub title"/>
    <w:basedOn w:val="Normal"/>
    <w:uiPriority w:val="1"/>
    <w:rsid w:val="00C63219"/>
    <w:pPr>
      <w:numPr>
        <w:ilvl w:val="1"/>
      </w:numPr>
      <w:spacing w:after="160"/>
      <w:jc w:val="right"/>
    </w:pPr>
    <w:rPr>
      <w:rFonts w:asciiTheme="majorHAnsi" w:eastAsia="Times New Roman" w:hAnsiTheme="majorHAnsi"/>
      <w:color w:val="ED7D31" w:themeColor="accent2"/>
      <w:sz w:val="40"/>
    </w:rPr>
  </w:style>
  <w:style w:type="character" w:styleId="PlaceholderText">
    <w:name w:val="Placeholder Text"/>
    <w:basedOn w:val="DefaultParagraphFont"/>
    <w:uiPriority w:val="99"/>
    <w:semiHidden/>
    <w:rsid w:val="00C63219"/>
    <w:rPr>
      <w:color w:val="808080"/>
    </w:rPr>
  </w:style>
  <w:style w:type="paragraph" w:styleId="ListParagraph">
    <w:name w:val="List Paragraph"/>
    <w:basedOn w:val="BlockText"/>
    <w:uiPriority w:val="34"/>
    <w:qFormat/>
    <w:rsid w:val="00C63219"/>
    <w:pPr>
      <w:pBdr>
        <w:top w:val="none" w:sz="0" w:space="0" w:color="auto"/>
        <w:left w:val="none" w:sz="0" w:space="0" w:color="auto"/>
        <w:bottom w:val="none" w:sz="0" w:space="0" w:color="auto"/>
        <w:right w:val="none" w:sz="0" w:space="0" w:color="auto"/>
      </w:pBdr>
      <w:spacing w:after="120"/>
      <w:ind w:left="0" w:right="0"/>
    </w:pPr>
    <w:rPr>
      <w:rFonts w:ascii="Lato" w:hAnsi="Lato" w:cs="Times New Roman"/>
      <w:i w:val="0"/>
      <w:color w:val="auto"/>
    </w:rPr>
  </w:style>
  <w:style w:type="character" w:styleId="PageNumber">
    <w:name w:val="page number"/>
    <w:aliases w:val="Page number"/>
    <w:basedOn w:val="DefaultParagraphFont"/>
    <w:uiPriority w:val="8"/>
    <w:rsid w:val="00C63219"/>
    <w:rPr>
      <w:rFonts w:ascii="Lato" w:hAnsi="Lato"/>
      <w:sz w:val="19"/>
    </w:rPr>
  </w:style>
  <w:style w:type="paragraph" w:customStyle="1" w:styleId="Hidden">
    <w:name w:val="Hidden"/>
    <w:basedOn w:val="Normal"/>
    <w:uiPriority w:val="9"/>
    <w:rsid w:val="00C63219"/>
    <w:pPr>
      <w:spacing w:after="0"/>
    </w:pPr>
    <w:rPr>
      <w:sz w:val="2"/>
      <w:szCs w:val="2"/>
    </w:rPr>
  </w:style>
  <w:style w:type="paragraph" w:styleId="BlockText">
    <w:name w:val="Block Text"/>
    <w:basedOn w:val="Normal"/>
    <w:uiPriority w:val="99"/>
    <w:semiHidden/>
    <w:unhideWhenUsed/>
    <w:rsid w:val="00C6321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alloonText">
    <w:name w:val="Balloon Text"/>
    <w:basedOn w:val="Normal"/>
    <w:link w:val="BalloonTextChar"/>
    <w:uiPriority w:val="99"/>
    <w:semiHidden/>
    <w:unhideWhenUsed/>
    <w:rsid w:val="00F15D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DC2"/>
    <w:rPr>
      <w:rFonts w:ascii="Segoe UI" w:eastAsia="Calibri" w:hAnsi="Segoe UI" w:cs="Segoe UI"/>
      <w:sz w:val="18"/>
      <w:szCs w:val="18"/>
    </w:rPr>
  </w:style>
  <w:style w:type="character" w:customStyle="1" w:styleId="Heading2Char">
    <w:name w:val="Heading 2 Char"/>
    <w:basedOn w:val="DefaultParagraphFont"/>
    <w:link w:val="Heading2"/>
    <w:uiPriority w:val="9"/>
    <w:rsid w:val="00B223D3"/>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4B5483"/>
    <w:pPr>
      <w:spacing w:after="0"/>
    </w:pPr>
    <w:rPr>
      <w:sz w:val="20"/>
      <w:szCs w:val="20"/>
    </w:rPr>
  </w:style>
  <w:style w:type="character" w:customStyle="1" w:styleId="FootnoteTextChar">
    <w:name w:val="Footnote Text Char"/>
    <w:basedOn w:val="DefaultParagraphFont"/>
    <w:link w:val="FootnoteText"/>
    <w:uiPriority w:val="99"/>
    <w:semiHidden/>
    <w:rsid w:val="004B5483"/>
    <w:rPr>
      <w:rFonts w:ascii="Lato" w:eastAsia="Calibri" w:hAnsi="Lato" w:cs="Times New Roman"/>
      <w:sz w:val="20"/>
      <w:szCs w:val="20"/>
    </w:rPr>
  </w:style>
  <w:style w:type="character" w:styleId="FootnoteReference">
    <w:name w:val="footnote reference"/>
    <w:basedOn w:val="DefaultParagraphFont"/>
    <w:uiPriority w:val="99"/>
    <w:semiHidden/>
    <w:unhideWhenUsed/>
    <w:rsid w:val="004B5483"/>
    <w:rPr>
      <w:vertAlign w:val="superscript"/>
    </w:rPr>
  </w:style>
  <w:style w:type="paragraph" w:customStyle="1" w:styleId="Paragraph">
    <w:name w:val="Paragraph"/>
    <w:basedOn w:val="Normal"/>
    <w:link w:val="ParagraphChar"/>
    <w:rsid w:val="005709BE"/>
    <w:pPr>
      <w:widowControl w:val="0"/>
      <w:spacing w:after="240"/>
      <w:ind w:left="1667" w:hanging="567"/>
      <w:jc w:val="both"/>
    </w:pPr>
    <w:rPr>
      <w:rFonts w:ascii="Helvetica" w:eastAsia="Times New Roman" w:hAnsi="Helvetica"/>
      <w:sz w:val="24"/>
      <w:szCs w:val="24"/>
      <w:lang w:eastAsia="en-AU"/>
    </w:rPr>
  </w:style>
  <w:style w:type="paragraph" w:customStyle="1" w:styleId="Subsection">
    <w:name w:val="Subsection"/>
    <w:basedOn w:val="Normal"/>
    <w:link w:val="SubsectionChar"/>
    <w:rsid w:val="005709BE"/>
    <w:pPr>
      <w:widowControl w:val="0"/>
      <w:tabs>
        <w:tab w:val="right" w:pos="902"/>
      </w:tabs>
      <w:spacing w:after="240"/>
      <w:ind w:left="1100" w:hanging="1100"/>
      <w:jc w:val="both"/>
    </w:pPr>
    <w:rPr>
      <w:rFonts w:ascii="Helvetica" w:eastAsia="Times New Roman" w:hAnsi="Helvetica"/>
      <w:sz w:val="24"/>
      <w:szCs w:val="24"/>
      <w:lang w:eastAsia="en-AU"/>
    </w:rPr>
  </w:style>
  <w:style w:type="character" w:customStyle="1" w:styleId="ParagraphChar">
    <w:name w:val="Paragraph Char"/>
    <w:link w:val="Paragraph"/>
    <w:locked/>
    <w:rsid w:val="005709BE"/>
    <w:rPr>
      <w:rFonts w:ascii="Helvetica" w:eastAsia="Times New Roman" w:hAnsi="Helvetica" w:cs="Times New Roman"/>
      <w:sz w:val="24"/>
      <w:szCs w:val="24"/>
      <w:lang w:eastAsia="en-AU"/>
    </w:rPr>
  </w:style>
  <w:style w:type="character" w:customStyle="1" w:styleId="SubsectionChar">
    <w:name w:val="Subsection Char"/>
    <w:link w:val="Subsection"/>
    <w:rsid w:val="005709BE"/>
    <w:rPr>
      <w:rFonts w:ascii="Helvetica" w:eastAsia="Times New Roman" w:hAnsi="Helvetica" w:cs="Times New Roman"/>
      <w:sz w:val="24"/>
      <w:szCs w:val="24"/>
      <w:lang w:eastAsia="en-AU"/>
    </w:rPr>
  </w:style>
  <w:style w:type="numbering" w:customStyle="1" w:styleId="OPCNumbering">
    <w:name w:val="OPC Numbering"/>
    <w:rsid w:val="00800C37"/>
    <w:pPr>
      <w:numPr>
        <w:numId w:val="22"/>
      </w:numPr>
    </w:pPr>
  </w:style>
  <w:style w:type="paragraph" w:customStyle="1" w:styleId="Sectiontext">
    <w:name w:val="Section text"/>
    <w:basedOn w:val="Normal"/>
    <w:link w:val="SectiontextChar"/>
    <w:rsid w:val="00800C37"/>
    <w:pPr>
      <w:widowControl w:val="0"/>
      <w:spacing w:after="240"/>
      <w:ind w:left="1100"/>
      <w:jc w:val="both"/>
    </w:pPr>
    <w:rPr>
      <w:rFonts w:ascii="Helvetica" w:eastAsia="Times New Roman" w:hAnsi="Helvetica"/>
      <w:sz w:val="24"/>
      <w:szCs w:val="24"/>
      <w:lang w:eastAsia="en-AU"/>
    </w:rPr>
  </w:style>
  <w:style w:type="character" w:customStyle="1" w:styleId="SectiontextChar">
    <w:name w:val="Section text Char"/>
    <w:link w:val="Sectiontext"/>
    <w:rsid w:val="00800C37"/>
    <w:rPr>
      <w:rFonts w:ascii="Helvetica" w:eastAsia="Times New Roman" w:hAnsi="Helvetica" w:cs="Times New Roman"/>
      <w:sz w:val="24"/>
      <w:szCs w:val="24"/>
      <w:lang w:eastAsia="en-AU"/>
    </w:rPr>
  </w:style>
  <w:style w:type="paragraph" w:customStyle="1" w:styleId="SectionHeading">
    <w:name w:val="Section Heading"/>
    <w:basedOn w:val="Normal"/>
    <w:next w:val="Sectiontext"/>
    <w:rsid w:val="00800C37"/>
    <w:pPr>
      <w:keepNext/>
      <w:keepLines/>
      <w:widowControl w:val="0"/>
      <w:numPr>
        <w:numId w:val="22"/>
      </w:numPr>
      <w:tabs>
        <w:tab w:val="left" w:pos="1100"/>
      </w:tabs>
      <w:spacing w:after="240"/>
      <w:outlineLvl w:val="4"/>
    </w:pPr>
    <w:rPr>
      <w:rFonts w:ascii="Helvetica" w:eastAsia="Times New Roman" w:hAnsi="Helvetica"/>
      <w:b/>
      <w:sz w:val="24"/>
      <w:szCs w:val="24"/>
      <w:lang w:eastAsia="en-AU"/>
    </w:rPr>
  </w:style>
  <w:style w:type="character" w:styleId="Hyperlink">
    <w:name w:val="Hyperlink"/>
    <w:basedOn w:val="DefaultParagraphFont"/>
    <w:uiPriority w:val="99"/>
    <w:unhideWhenUsed/>
    <w:rsid w:val="00B807F7"/>
    <w:rPr>
      <w:color w:val="0000FF"/>
      <w:u w:val="single"/>
    </w:rPr>
  </w:style>
  <w:style w:type="character" w:styleId="CommentReference">
    <w:name w:val="annotation reference"/>
    <w:basedOn w:val="DefaultParagraphFont"/>
    <w:uiPriority w:val="99"/>
    <w:semiHidden/>
    <w:unhideWhenUsed/>
    <w:rsid w:val="002D511B"/>
    <w:rPr>
      <w:sz w:val="16"/>
      <w:szCs w:val="16"/>
    </w:rPr>
  </w:style>
  <w:style w:type="paragraph" w:styleId="CommentText">
    <w:name w:val="annotation text"/>
    <w:basedOn w:val="Normal"/>
    <w:link w:val="CommentTextChar"/>
    <w:uiPriority w:val="99"/>
    <w:semiHidden/>
    <w:unhideWhenUsed/>
    <w:rsid w:val="002D511B"/>
    <w:rPr>
      <w:sz w:val="20"/>
      <w:szCs w:val="20"/>
    </w:rPr>
  </w:style>
  <w:style w:type="character" w:customStyle="1" w:styleId="CommentTextChar">
    <w:name w:val="Comment Text Char"/>
    <w:basedOn w:val="DefaultParagraphFont"/>
    <w:link w:val="CommentText"/>
    <w:uiPriority w:val="99"/>
    <w:semiHidden/>
    <w:rsid w:val="002D511B"/>
    <w:rPr>
      <w:rFonts w:ascii="Lato" w:eastAsia="Calibri" w:hAnsi="Lato" w:cs="Times New Roman"/>
      <w:sz w:val="20"/>
      <w:szCs w:val="20"/>
    </w:rPr>
  </w:style>
  <w:style w:type="paragraph" w:styleId="CommentSubject">
    <w:name w:val="annotation subject"/>
    <w:basedOn w:val="CommentText"/>
    <w:next w:val="CommentText"/>
    <w:link w:val="CommentSubjectChar"/>
    <w:uiPriority w:val="99"/>
    <w:semiHidden/>
    <w:unhideWhenUsed/>
    <w:rsid w:val="002D511B"/>
    <w:rPr>
      <w:b/>
      <w:bCs/>
    </w:rPr>
  </w:style>
  <w:style w:type="character" w:customStyle="1" w:styleId="CommentSubjectChar">
    <w:name w:val="Comment Subject Char"/>
    <w:basedOn w:val="CommentTextChar"/>
    <w:link w:val="CommentSubject"/>
    <w:uiPriority w:val="99"/>
    <w:semiHidden/>
    <w:rsid w:val="002D511B"/>
    <w:rPr>
      <w:rFonts w:ascii="Lato" w:eastAsia="Calibri" w:hAnsi="Lato" w:cs="Times New Roman"/>
      <w:b/>
      <w:bCs/>
      <w:sz w:val="20"/>
      <w:szCs w:val="20"/>
    </w:rPr>
  </w:style>
  <w:style w:type="paragraph" w:styleId="EndnoteText">
    <w:name w:val="endnote text"/>
    <w:basedOn w:val="Normal"/>
    <w:link w:val="EndnoteTextChar"/>
    <w:uiPriority w:val="99"/>
    <w:semiHidden/>
    <w:unhideWhenUsed/>
    <w:rsid w:val="00C35B38"/>
    <w:pPr>
      <w:spacing w:after="0"/>
    </w:pPr>
    <w:rPr>
      <w:sz w:val="20"/>
      <w:szCs w:val="20"/>
    </w:rPr>
  </w:style>
  <w:style w:type="character" w:customStyle="1" w:styleId="EndnoteTextChar">
    <w:name w:val="Endnote Text Char"/>
    <w:basedOn w:val="DefaultParagraphFont"/>
    <w:link w:val="EndnoteText"/>
    <w:uiPriority w:val="99"/>
    <w:semiHidden/>
    <w:rsid w:val="00C35B38"/>
    <w:rPr>
      <w:rFonts w:ascii="Lato" w:eastAsia="Calibri" w:hAnsi="Lato" w:cs="Times New Roman"/>
      <w:sz w:val="20"/>
      <w:szCs w:val="20"/>
    </w:rPr>
  </w:style>
  <w:style w:type="character" w:styleId="EndnoteReference">
    <w:name w:val="endnote reference"/>
    <w:basedOn w:val="DefaultParagraphFont"/>
    <w:uiPriority w:val="99"/>
    <w:semiHidden/>
    <w:unhideWhenUsed/>
    <w:rsid w:val="00C35B38"/>
    <w:rPr>
      <w:vertAlign w:val="superscript"/>
    </w:rPr>
  </w:style>
  <w:style w:type="paragraph" w:styleId="Revision">
    <w:name w:val="Revision"/>
    <w:hidden/>
    <w:uiPriority w:val="99"/>
    <w:semiHidden/>
    <w:rsid w:val="003379DD"/>
    <w:pPr>
      <w:spacing w:after="0" w:line="240" w:lineRule="auto"/>
    </w:pPr>
    <w:rPr>
      <w:rFonts w:ascii="Lato" w:eastAsia="Calibri" w:hAnsi="Lato"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8905">
      <w:bodyDiv w:val="1"/>
      <w:marLeft w:val="0"/>
      <w:marRight w:val="0"/>
      <w:marTop w:val="0"/>
      <w:marBottom w:val="0"/>
      <w:divBdr>
        <w:top w:val="none" w:sz="0" w:space="0" w:color="auto"/>
        <w:left w:val="none" w:sz="0" w:space="0" w:color="auto"/>
        <w:bottom w:val="none" w:sz="0" w:space="0" w:color="auto"/>
        <w:right w:val="none" w:sz="0" w:space="0" w:color="auto"/>
      </w:divBdr>
      <w:divsChild>
        <w:div w:id="1322468129">
          <w:marLeft w:val="0"/>
          <w:marRight w:val="0"/>
          <w:marTop w:val="15"/>
          <w:marBottom w:val="0"/>
          <w:divBdr>
            <w:top w:val="single" w:sz="48" w:space="0" w:color="auto"/>
            <w:left w:val="single" w:sz="48" w:space="0" w:color="auto"/>
            <w:bottom w:val="single" w:sz="48" w:space="0" w:color="auto"/>
            <w:right w:val="single" w:sz="48" w:space="0" w:color="auto"/>
          </w:divBdr>
          <w:divsChild>
            <w:div w:id="855777584">
              <w:marLeft w:val="0"/>
              <w:marRight w:val="0"/>
              <w:marTop w:val="0"/>
              <w:marBottom w:val="0"/>
              <w:divBdr>
                <w:top w:val="none" w:sz="0" w:space="0" w:color="auto"/>
                <w:left w:val="none" w:sz="0" w:space="0" w:color="auto"/>
                <w:bottom w:val="none" w:sz="0" w:space="0" w:color="auto"/>
                <w:right w:val="none" w:sz="0" w:space="0" w:color="auto"/>
              </w:divBdr>
              <w:divsChild>
                <w:div w:id="445317957">
                  <w:marLeft w:val="0"/>
                  <w:marRight w:val="0"/>
                  <w:marTop w:val="0"/>
                  <w:marBottom w:val="0"/>
                  <w:divBdr>
                    <w:top w:val="none" w:sz="0" w:space="0" w:color="auto"/>
                    <w:left w:val="none" w:sz="0" w:space="0" w:color="auto"/>
                    <w:bottom w:val="none" w:sz="0" w:space="0" w:color="auto"/>
                    <w:right w:val="none" w:sz="0" w:space="0" w:color="auto"/>
                  </w:divBdr>
                </w:div>
                <w:div w:id="212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14123">
      <w:bodyDiv w:val="1"/>
      <w:marLeft w:val="0"/>
      <w:marRight w:val="0"/>
      <w:marTop w:val="0"/>
      <w:marBottom w:val="0"/>
      <w:divBdr>
        <w:top w:val="none" w:sz="0" w:space="0" w:color="auto"/>
        <w:left w:val="none" w:sz="0" w:space="0" w:color="auto"/>
        <w:bottom w:val="none" w:sz="0" w:space="0" w:color="auto"/>
        <w:right w:val="none" w:sz="0" w:space="0" w:color="auto"/>
      </w:divBdr>
    </w:div>
    <w:div w:id="784152610">
      <w:bodyDiv w:val="1"/>
      <w:marLeft w:val="0"/>
      <w:marRight w:val="0"/>
      <w:marTop w:val="0"/>
      <w:marBottom w:val="0"/>
      <w:divBdr>
        <w:top w:val="none" w:sz="0" w:space="0" w:color="auto"/>
        <w:left w:val="none" w:sz="0" w:space="0" w:color="auto"/>
        <w:bottom w:val="none" w:sz="0" w:space="0" w:color="auto"/>
        <w:right w:val="none" w:sz="0" w:space="0" w:color="auto"/>
      </w:divBdr>
      <w:divsChild>
        <w:div w:id="1483500761">
          <w:marLeft w:val="0"/>
          <w:marRight w:val="0"/>
          <w:marTop w:val="15"/>
          <w:marBottom w:val="0"/>
          <w:divBdr>
            <w:top w:val="single" w:sz="48" w:space="0" w:color="auto"/>
            <w:left w:val="single" w:sz="48" w:space="0" w:color="auto"/>
            <w:bottom w:val="single" w:sz="48" w:space="0" w:color="auto"/>
            <w:right w:val="single" w:sz="48" w:space="0" w:color="auto"/>
          </w:divBdr>
          <w:divsChild>
            <w:div w:id="493573902">
              <w:marLeft w:val="0"/>
              <w:marRight w:val="0"/>
              <w:marTop w:val="0"/>
              <w:marBottom w:val="0"/>
              <w:divBdr>
                <w:top w:val="none" w:sz="0" w:space="0" w:color="auto"/>
                <w:left w:val="none" w:sz="0" w:space="0" w:color="auto"/>
                <w:bottom w:val="none" w:sz="0" w:space="0" w:color="auto"/>
                <w:right w:val="none" w:sz="0" w:space="0" w:color="auto"/>
              </w:divBdr>
              <w:divsChild>
                <w:div w:id="1106853833">
                  <w:marLeft w:val="0"/>
                  <w:marRight w:val="0"/>
                  <w:marTop w:val="0"/>
                  <w:marBottom w:val="0"/>
                  <w:divBdr>
                    <w:top w:val="none" w:sz="0" w:space="0" w:color="auto"/>
                    <w:left w:val="none" w:sz="0" w:space="0" w:color="auto"/>
                    <w:bottom w:val="none" w:sz="0" w:space="0" w:color="auto"/>
                    <w:right w:val="none" w:sz="0" w:space="0" w:color="auto"/>
                  </w:divBdr>
                </w:div>
                <w:div w:id="16725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gt.nt.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gt.nt.gov.a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ealth.nt.gov.a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ublic.guardian@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1C10714AEA46ECA4008873A67B862B"/>
        <w:category>
          <w:name w:val="General"/>
          <w:gallery w:val="placeholder"/>
        </w:category>
        <w:types>
          <w:type w:val="bbPlcHdr"/>
        </w:types>
        <w:behaviors>
          <w:behavior w:val="content"/>
        </w:behaviors>
        <w:guid w:val="{A2E79FBF-8E85-4F86-9DD7-B63AA7F292A2}"/>
      </w:docPartPr>
      <w:docPartBody>
        <w:p w:rsidR="00952921" w:rsidRDefault="00B51349" w:rsidP="00B51349">
          <w:pPr>
            <w:pStyle w:val="6B1C10714AEA46ECA4008873A67B862B"/>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349"/>
    <w:rsid w:val="0027609A"/>
    <w:rsid w:val="002B1BF7"/>
    <w:rsid w:val="002D68E2"/>
    <w:rsid w:val="00316F35"/>
    <w:rsid w:val="00387E17"/>
    <w:rsid w:val="004E2700"/>
    <w:rsid w:val="00502572"/>
    <w:rsid w:val="005B7F70"/>
    <w:rsid w:val="005C10ED"/>
    <w:rsid w:val="00610694"/>
    <w:rsid w:val="006D4D83"/>
    <w:rsid w:val="007D2002"/>
    <w:rsid w:val="008A6CE8"/>
    <w:rsid w:val="0094715D"/>
    <w:rsid w:val="00952921"/>
    <w:rsid w:val="00A20B9B"/>
    <w:rsid w:val="00A90FF6"/>
    <w:rsid w:val="00A937F1"/>
    <w:rsid w:val="00B51349"/>
    <w:rsid w:val="00D9203F"/>
    <w:rsid w:val="00F94804"/>
    <w:rsid w:val="00FF74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349"/>
    <w:rPr>
      <w:color w:val="808080"/>
    </w:rPr>
  </w:style>
  <w:style w:type="paragraph" w:customStyle="1" w:styleId="6B1C10714AEA46ECA4008873A67B862B">
    <w:name w:val="6B1C10714AEA46ECA4008873A67B862B"/>
    <w:rsid w:val="00B51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5D7DE-3E97-4677-A333-0D5DCDBC2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2384</Words>
  <Characters>12546</Characters>
  <Application>Microsoft Office Word</Application>
  <DocSecurity>0</DocSecurity>
  <Lines>369</Lines>
  <Paragraphs>138</Paragraphs>
  <ScaleCrop>false</ScaleCrop>
  <HeadingPairs>
    <vt:vector size="2" baseType="variant">
      <vt:variant>
        <vt:lpstr>Title</vt:lpstr>
      </vt:variant>
      <vt:variant>
        <vt:i4>1</vt:i4>
      </vt:variant>
    </vt:vector>
  </HeadingPairs>
  <TitlesOfParts>
    <vt:vector size="1" baseType="lpstr">
      <vt:lpstr>Health Care Decision Making for Adults with Impaired Decision Making Capacity</vt:lpstr>
    </vt:vector>
  </TitlesOfParts>
  <Company>THE ATTORNEY GENERAL AND JUSTICE</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Decision Making for Adults with Impaired Decision Making Capacity</dc:title>
  <dc:subject/>
  <dc:creator>Northern Territory Government</dc:creator>
  <cp:keywords/>
  <dc:description/>
  <cp:lastModifiedBy>Marlene Woods</cp:lastModifiedBy>
  <cp:revision>6</cp:revision>
  <cp:lastPrinted>2024-01-12T04:26:00Z</cp:lastPrinted>
  <dcterms:created xsi:type="dcterms:W3CDTF">2024-07-22T23:23:00Z</dcterms:created>
  <dcterms:modified xsi:type="dcterms:W3CDTF">2024-07-23T04:47:00Z</dcterms:modified>
</cp:coreProperties>
</file>