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5FC73" w14:textId="6D3B56C2" w:rsidR="009D0EB5" w:rsidRPr="002437B1" w:rsidRDefault="00416F6D" w:rsidP="002437B1">
      <w:pPr>
        <w:rPr>
          <w:b/>
        </w:rPr>
      </w:pPr>
      <w:r>
        <w:rPr>
          <w:b/>
        </w:rPr>
        <w:t>September</w:t>
      </w:r>
      <w:r w:rsidR="002437B1" w:rsidRPr="002437B1">
        <w:rPr>
          <w:b/>
        </w:rPr>
        <w:t xml:space="preserve"> 201</w:t>
      </w:r>
      <w:r w:rsidR="002E1007">
        <w:rPr>
          <w:b/>
        </w:rPr>
        <w:t>8</w:t>
      </w:r>
    </w:p>
    <w:p w14:paraId="26F2B6E6" w14:textId="77777777" w:rsidR="002437B1" w:rsidRDefault="002437B1" w:rsidP="002437B1"/>
    <w:p w14:paraId="485F5757" w14:textId="77777777" w:rsidR="007441F6" w:rsidRDefault="007441F6" w:rsidP="007441F6">
      <w:pPr>
        <w:pStyle w:val="Default"/>
      </w:pPr>
    </w:p>
    <w:p w14:paraId="4A357715" w14:textId="77777777" w:rsidR="00CF0D42" w:rsidRDefault="00CF0D42" w:rsidP="007441F6">
      <w:pPr>
        <w:pStyle w:val="Default"/>
      </w:pPr>
    </w:p>
    <w:p w14:paraId="002649AF" w14:textId="77777777" w:rsidR="00CF0D42" w:rsidRDefault="00CF0D42" w:rsidP="007441F6">
      <w:pPr>
        <w:pStyle w:val="Default"/>
      </w:pPr>
    </w:p>
    <w:p w14:paraId="71516265" w14:textId="77777777" w:rsidR="00CF0D42" w:rsidRDefault="00CF0D42" w:rsidP="00EE23BB">
      <w:pPr>
        <w:jc w:val="center"/>
        <w:rPr>
          <w:sz w:val="44"/>
          <w:szCs w:val="44"/>
        </w:rPr>
      </w:pPr>
      <w:r w:rsidRPr="00CF0D42">
        <w:rPr>
          <w:sz w:val="44"/>
          <w:szCs w:val="44"/>
        </w:rPr>
        <w:t xml:space="preserve">Options </w:t>
      </w:r>
      <w:r w:rsidR="007441F6" w:rsidRPr="00CF0D42">
        <w:rPr>
          <w:sz w:val="44"/>
          <w:szCs w:val="44"/>
        </w:rPr>
        <w:t xml:space="preserve">for the </w:t>
      </w:r>
      <w:r w:rsidR="00EE23BB" w:rsidRPr="00CF0D42">
        <w:rPr>
          <w:sz w:val="44"/>
          <w:szCs w:val="44"/>
        </w:rPr>
        <w:t xml:space="preserve">implementation </w:t>
      </w:r>
    </w:p>
    <w:p w14:paraId="24D96549" w14:textId="5A38A597" w:rsidR="003B7D38" w:rsidRDefault="007441F6" w:rsidP="00EE23BB">
      <w:pPr>
        <w:jc w:val="center"/>
        <w:rPr>
          <w:sz w:val="44"/>
          <w:szCs w:val="44"/>
        </w:rPr>
      </w:pPr>
      <w:r w:rsidRPr="00CF0D42">
        <w:rPr>
          <w:sz w:val="44"/>
          <w:szCs w:val="44"/>
        </w:rPr>
        <w:t xml:space="preserve">in the Northern Territory </w:t>
      </w:r>
    </w:p>
    <w:p w14:paraId="7D7EDA6A" w14:textId="430F6D46" w:rsidR="00EE23BB" w:rsidRPr="00CF0D42" w:rsidRDefault="007441F6" w:rsidP="00EE23BB">
      <w:pPr>
        <w:jc w:val="center"/>
        <w:rPr>
          <w:sz w:val="44"/>
          <w:szCs w:val="44"/>
        </w:rPr>
      </w:pPr>
      <w:r w:rsidRPr="00CF0D42">
        <w:rPr>
          <w:sz w:val="44"/>
          <w:szCs w:val="44"/>
        </w:rPr>
        <w:t xml:space="preserve">of the civil litigation reforms recommended by the </w:t>
      </w:r>
    </w:p>
    <w:p w14:paraId="0CA690E1" w14:textId="068E1709" w:rsidR="007441F6" w:rsidRPr="00CF0D42" w:rsidRDefault="007441F6" w:rsidP="00EE23BB">
      <w:pPr>
        <w:jc w:val="center"/>
        <w:rPr>
          <w:sz w:val="44"/>
          <w:szCs w:val="44"/>
        </w:rPr>
      </w:pPr>
      <w:r w:rsidRPr="00CF0D42">
        <w:rPr>
          <w:sz w:val="44"/>
          <w:szCs w:val="44"/>
        </w:rPr>
        <w:t>Royal Commission into Institutional Responses to Child Sexual Abuse</w:t>
      </w:r>
    </w:p>
    <w:p w14:paraId="6D10CD45" w14:textId="77777777" w:rsidR="002437B1" w:rsidRDefault="002437B1" w:rsidP="002437B1"/>
    <w:p w14:paraId="3E47BD29" w14:textId="77777777" w:rsidR="002E1007" w:rsidRDefault="002E1007" w:rsidP="007441F6">
      <w:pPr>
        <w:pStyle w:val="Default"/>
        <w:rPr>
          <w:b/>
          <w:bCs/>
        </w:rPr>
      </w:pPr>
    </w:p>
    <w:p w14:paraId="6130924D" w14:textId="77777777" w:rsidR="002E1007" w:rsidRDefault="002E1007" w:rsidP="007441F6">
      <w:pPr>
        <w:pStyle w:val="Default"/>
        <w:rPr>
          <w:b/>
          <w:bCs/>
        </w:rPr>
      </w:pPr>
    </w:p>
    <w:p w14:paraId="1F698DF5" w14:textId="77777777" w:rsidR="002E1007" w:rsidRDefault="002E1007" w:rsidP="007441F6">
      <w:pPr>
        <w:pStyle w:val="Default"/>
        <w:rPr>
          <w:b/>
          <w:bCs/>
        </w:rPr>
      </w:pPr>
    </w:p>
    <w:p w14:paraId="2F77BEC1" w14:textId="77777777" w:rsidR="002E1007" w:rsidRDefault="002E1007" w:rsidP="007441F6">
      <w:pPr>
        <w:pStyle w:val="Default"/>
        <w:rPr>
          <w:b/>
          <w:bCs/>
        </w:rPr>
      </w:pPr>
    </w:p>
    <w:p w14:paraId="1FDDC848" w14:textId="77777777" w:rsidR="002E1007" w:rsidRDefault="002E1007" w:rsidP="007441F6">
      <w:pPr>
        <w:pStyle w:val="Default"/>
        <w:rPr>
          <w:b/>
          <w:bCs/>
        </w:rPr>
      </w:pPr>
    </w:p>
    <w:p w14:paraId="07E98D66" w14:textId="77777777" w:rsidR="00CC5EAB" w:rsidRDefault="00CC5EAB" w:rsidP="007441F6">
      <w:pPr>
        <w:pStyle w:val="Default"/>
        <w:rPr>
          <w:b/>
          <w:bCs/>
        </w:rPr>
      </w:pPr>
    </w:p>
    <w:p w14:paraId="25E236CE" w14:textId="77777777" w:rsidR="00CC5EAB" w:rsidRDefault="00CC5EAB" w:rsidP="007441F6">
      <w:pPr>
        <w:pStyle w:val="Default"/>
        <w:rPr>
          <w:b/>
          <w:bCs/>
        </w:rPr>
      </w:pPr>
    </w:p>
    <w:p w14:paraId="725D51E0" w14:textId="77777777" w:rsidR="00CC5EAB" w:rsidRDefault="00CC5EAB" w:rsidP="007441F6">
      <w:pPr>
        <w:pStyle w:val="Default"/>
        <w:rPr>
          <w:b/>
          <w:bCs/>
        </w:rPr>
      </w:pPr>
    </w:p>
    <w:p w14:paraId="011B04CD" w14:textId="77777777" w:rsidR="00CC5EAB" w:rsidRDefault="00CC5EAB" w:rsidP="007441F6">
      <w:pPr>
        <w:pStyle w:val="Default"/>
        <w:rPr>
          <w:b/>
          <w:bCs/>
        </w:rPr>
      </w:pPr>
    </w:p>
    <w:p w14:paraId="0493DADB" w14:textId="77777777" w:rsidR="00CC5EAB" w:rsidRDefault="00CC5EAB" w:rsidP="007441F6">
      <w:pPr>
        <w:pStyle w:val="Default"/>
        <w:rPr>
          <w:b/>
          <w:bCs/>
        </w:rPr>
      </w:pPr>
    </w:p>
    <w:p w14:paraId="389FBF7C" w14:textId="77777777" w:rsidR="007441F6" w:rsidRPr="00CF0D42" w:rsidRDefault="007441F6" w:rsidP="007441F6">
      <w:pPr>
        <w:pStyle w:val="Default"/>
        <w:rPr>
          <w:sz w:val="20"/>
          <w:szCs w:val="20"/>
        </w:rPr>
      </w:pPr>
      <w:r w:rsidRPr="00CF0D42">
        <w:rPr>
          <w:b/>
          <w:bCs/>
          <w:sz w:val="20"/>
          <w:szCs w:val="20"/>
        </w:rPr>
        <w:t xml:space="preserve">Disclaimer: </w:t>
      </w:r>
    </w:p>
    <w:p w14:paraId="628541C1" w14:textId="77777777" w:rsidR="002E1007" w:rsidRPr="00CF0D42" w:rsidRDefault="002E1007" w:rsidP="007441F6">
      <w:pPr>
        <w:pStyle w:val="Default"/>
        <w:rPr>
          <w:sz w:val="20"/>
          <w:szCs w:val="20"/>
        </w:rPr>
      </w:pPr>
    </w:p>
    <w:p w14:paraId="6381D5C8" w14:textId="168CD209" w:rsidR="007441F6" w:rsidRPr="00CF0D42" w:rsidRDefault="007441F6" w:rsidP="002E1007">
      <w:pPr>
        <w:pStyle w:val="Default"/>
        <w:jc w:val="both"/>
        <w:rPr>
          <w:sz w:val="20"/>
          <w:szCs w:val="20"/>
        </w:rPr>
      </w:pPr>
      <w:r w:rsidRPr="00CF0D42">
        <w:rPr>
          <w:sz w:val="20"/>
          <w:szCs w:val="20"/>
        </w:rPr>
        <w:t xml:space="preserve">The material presented in this issues paper and the discussion of possible actions or options for reform </w:t>
      </w:r>
      <w:r w:rsidRPr="00CF0D42">
        <w:rPr>
          <w:b/>
          <w:bCs/>
          <w:sz w:val="20"/>
          <w:szCs w:val="20"/>
        </w:rPr>
        <w:t xml:space="preserve">do not </w:t>
      </w:r>
      <w:r w:rsidRPr="00CF0D42">
        <w:rPr>
          <w:sz w:val="20"/>
          <w:szCs w:val="20"/>
        </w:rPr>
        <w:t xml:space="preserve">represent </w:t>
      </w:r>
      <w:r w:rsidR="002E1007" w:rsidRPr="00CF0D42">
        <w:rPr>
          <w:sz w:val="20"/>
          <w:szCs w:val="20"/>
        </w:rPr>
        <w:t xml:space="preserve">Northern Territory </w:t>
      </w:r>
      <w:r w:rsidRPr="00CF0D42">
        <w:rPr>
          <w:sz w:val="20"/>
          <w:szCs w:val="20"/>
        </w:rPr>
        <w:t xml:space="preserve">Government policy. They are presented for the purposes of promoting discussion only. </w:t>
      </w:r>
    </w:p>
    <w:p w14:paraId="33626E93" w14:textId="77777777" w:rsidR="002E1007" w:rsidRPr="00CF0D42" w:rsidRDefault="002E1007" w:rsidP="002E1007">
      <w:pPr>
        <w:pStyle w:val="Default"/>
        <w:jc w:val="both"/>
        <w:rPr>
          <w:sz w:val="20"/>
          <w:szCs w:val="20"/>
        </w:rPr>
      </w:pPr>
    </w:p>
    <w:p w14:paraId="06F33C6A" w14:textId="1F643656" w:rsidR="002437B1" w:rsidRPr="00CF0D42" w:rsidRDefault="007441F6" w:rsidP="002E1007">
      <w:pPr>
        <w:jc w:val="both"/>
        <w:rPr>
          <w:sz w:val="20"/>
          <w:szCs w:val="20"/>
        </w:rPr>
      </w:pPr>
      <w:r w:rsidRPr="00CF0D42">
        <w:rPr>
          <w:sz w:val="20"/>
          <w:szCs w:val="20"/>
        </w:rPr>
        <w:lastRenderedPageBreak/>
        <w:t xml:space="preserve">The </w:t>
      </w:r>
      <w:r w:rsidR="002E1007" w:rsidRPr="00CF0D42">
        <w:rPr>
          <w:sz w:val="20"/>
          <w:szCs w:val="20"/>
        </w:rPr>
        <w:t>Northern Territory m</w:t>
      </w:r>
      <w:r w:rsidRPr="00CF0D42">
        <w:rPr>
          <w:sz w:val="20"/>
          <w:szCs w:val="20"/>
        </w:rPr>
        <w:t xml:space="preserve">akes no statements, representations or warranties about the accuracy, completeness or reliability of any information contained in this publication. The </w:t>
      </w:r>
      <w:r w:rsidR="002E1007" w:rsidRPr="00CF0D42">
        <w:rPr>
          <w:sz w:val="20"/>
          <w:szCs w:val="20"/>
        </w:rPr>
        <w:t xml:space="preserve">Northern Territory </w:t>
      </w:r>
      <w:r w:rsidRPr="00CF0D42">
        <w:rPr>
          <w:sz w:val="20"/>
          <w:szCs w:val="20"/>
        </w:rPr>
        <w:t>disclaims all responsibility and liability (including liability in negligence) for all expenses, losses, damages and costs incurred as a result of the information being inaccurate or incomplete in any way and for any reason reliance was placed on such information.</w:t>
      </w:r>
    </w:p>
    <w:p w14:paraId="4D2F0AE9" w14:textId="77777777" w:rsidR="002437B1" w:rsidRPr="002437B1" w:rsidRDefault="002437B1" w:rsidP="002437B1"/>
    <w:p w14:paraId="20C25E3E" w14:textId="77777777" w:rsidR="002437B1" w:rsidRPr="002E1007" w:rsidRDefault="002437B1" w:rsidP="002E1007">
      <w:pPr>
        <w:spacing w:after="60"/>
        <w:rPr>
          <w:bCs/>
          <w:sz w:val="24"/>
          <w:szCs w:val="24"/>
          <w:lang w:val="en-US"/>
        </w:rPr>
      </w:pPr>
      <w:r w:rsidRPr="002E1007">
        <w:rPr>
          <w:bCs/>
          <w:sz w:val="24"/>
          <w:szCs w:val="24"/>
          <w:lang w:val="en-US"/>
        </w:rPr>
        <w:t>Legal Policy</w:t>
      </w:r>
    </w:p>
    <w:p w14:paraId="5BA642F1" w14:textId="77777777" w:rsidR="002437B1" w:rsidRPr="002E1007" w:rsidRDefault="002437B1" w:rsidP="002E1007">
      <w:pPr>
        <w:spacing w:after="60"/>
        <w:rPr>
          <w:sz w:val="24"/>
          <w:szCs w:val="24"/>
          <w:lang w:val="en-US"/>
        </w:rPr>
      </w:pPr>
      <w:r w:rsidRPr="002E1007">
        <w:rPr>
          <w:sz w:val="24"/>
          <w:szCs w:val="24"/>
          <w:lang w:val="en-US"/>
        </w:rPr>
        <w:t xml:space="preserve">Department of the Attorney-General and Justice </w:t>
      </w:r>
    </w:p>
    <w:p w14:paraId="3773A5B8" w14:textId="77777777" w:rsidR="002437B1" w:rsidRPr="002E1007" w:rsidRDefault="002437B1" w:rsidP="002E1007">
      <w:pPr>
        <w:spacing w:after="60"/>
        <w:rPr>
          <w:sz w:val="24"/>
          <w:szCs w:val="24"/>
          <w:lang w:val="en-US"/>
        </w:rPr>
      </w:pPr>
      <w:r w:rsidRPr="002E1007">
        <w:rPr>
          <w:sz w:val="24"/>
          <w:szCs w:val="24"/>
          <w:lang w:val="en-US"/>
        </w:rPr>
        <w:t>GPO Box 1722, DARWIN  NT  0801</w:t>
      </w:r>
    </w:p>
    <w:p w14:paraId="7CEF2617" w14:textId="2C8C37D8" w:rsidR="002437B1" w:rsidRPr="002E1007" w:rsidRDefault="002437B1" w:rsidP="002E1007">
      <w:pPr>
        <w:spacing w:after="60"/>
        <w:rPr>
          <w:sz w:val="24"/>
          <w:szCs w:val="24"/>
          <w:lang w:val="en-US"/>
        </w:rPr>
      </w:pPr>
      <w:r w:rsidRPr="002E1007">
        <w:rPr>
          <w:sz w:val="24"/>
          <w:szCs w:val="24"/>
          <w:lang w:val="en-US"/>
        </w:rPr>
        <w:t>Telephone: (08) 8935 7</w:t>
      </w:r>
      <w:r w:rsidR="001D7353">
        <w:rPr>
          <w:sz w:val="24"/>
          <w:szCs w:val="24"/>
          <w:lang w:val="en-US"/>
        </w:rPr>
        <w:t>668</w:t>
      </w:r>
      <w:r w:rsidRPr="002E1007">
        <w:rPr>
          <w:sz w:val="24"/>
          <w:szCs w:val="24"/>
          <w:lang w:val="en-US"/>
        </w:rPr>
        <w:t xml:space="preserve"> Facsimile: (08) 8935 7662 </w:t>
      </w:r>
    </w:p>
    <w:p w14:paraId="7D95395C" w14:textId="77777777" w:rsidR="002437B1" w:rsidRPr="002E1007" w:rsidRDefault="0055091E" w:rsidP="00D64A17">
      <w:pPr>
        <w:spacing w:after="0"/>
        <w:rPr>
          <w:sz w:val="24"/>
          <w:szCs w:val="24"/>
        </w:rPr>
      </w:pPr>
      <w:hyperlink r:id="rId8" w:history="1">
        <w:r w:rsidR="002437B1" w:rsidRPr="002E1007">
          <w:rPr>
            <w:rStyle w:val="Hyperlink"/>
            <w:sz w:val="24"/>
            <w:szCs w:val="24"/>
            <w:lang w:val="en-US"/>
          </w:rPr>
          <w:t>http://www.nt.gov.au/justice</w:t>
        </w:r>
      </w:hyperlink>
    </w:p>
    <w:p w14:paraId="60C68C1C" w14:textId="77777777" w:rsidR="002437B1" w:rsidRDefault="002437B1">
      <w:r>
        <w:br w:type="page"/>
      </w:r>
    </w:p>
    <w:p w14:paraId="3BF9FA98" w14:textId="77777777" w:rsidR="002437B1" w:rsidRDefault="002437B1" w:rsidP="002437B1">
      <w:pPr>
        <w:jc w:val="center"/>
      </w:pPr>
    </w:p>
    <w:p w14:paraId="000F6CB1" w14:textId="77777777" w:rsidR="002437B1" w:rsidRDefault="002437B1" w:rsidP="002437B1">
      <w:pPr>
        <w:jc w:val="center"/>
      </w:pPr>
    </w:p>
    <w:p w14:paraId="6AC9831D" w14:textId="77777777" w:rsidR="002437B1" w:rsidRDefault="002437B1" w:rsidP="002437B1">
      <w:pPr>
        <w:jc w:val="center"/>
      </w:pPr>
    </w:p>
    <w:p w14:paraId="4FB7CDF2" w14:textId="77777777" w:rsidR="002437B1" w:rsidRDefault="002437B1" w:rsidP="002437B1">
      <w:pPr>
        <w:jc w:val="center"/>
      </w:pPr>
    </w:p>
    <w:p w14:paraId="59649F72" w14:textId="77777777" w:rsidR="002437B1" w:rsidRPr="002437B1" w:rsidRDefault="002437B1" w:rsidP="002437B1">
      <w:pPr>
        <w:jc w:val="center"/>
      </w:pPr>
      <w:r w:rsidRPr="002437B1">
        <w:t>THIS PAGE INTENTIONALLY LEFT BLANK</w:t>
      </w:r>
    </w:p>
    <w:p w14:paraId="0445ACCA" w14:textId="77777777" w:rsidR="002437B1" w:rsidRDefault="002437B1">
      <w:r>
        <w:br w:type="page"/>
      </w:r>
    </w:p>
    <w:p w14:paraId="3732FB17" w14:textId="77777777" w:rsidR="002437B1" w:rsidRPr="002437B1" w:rsidRDefault="002437B1" w:rsidP="002437B1">
      <w:pPr>
        <w:pStyle w:val="Heading1"/>
      </w:pPr>
      <w:bookmarkStart w:id="0" w:name="_Toc507689294"/>
      <w:bookmarkStart w:id="1" w:name="_GoBack"/>
      <w:r w:rsidRPr="002437B1">
        <w:lastRenderedPageBreak/>
        <w:t>MAKING A COMMENT</w:t>
      </w:r>
      <w:bookmarkEnd w:id="0"/>
      <w:r w:rsidRPr="002437B1">
        <w:t xml:space="preserve"> </w:t>
      </w:r>
    </w:p>
    <w:bookmarkEnd w:id="1"/>
    <w:p w14:paraId="6CD17E43" w14:textId="0DDC773D" w:rsidR="00CC5EAB" w:rsidRPr="002D6A2C" w:rsidRDefault="00CC5EAB" w:rsidP="00CC5EAB">
      <w:pPr>
        <w:spacing w:after="0"/>
        <w:jc w:val="both"/>
        <w:rPr>
          <w:sz w:val="24"/>
          <w:szCs w:val="24"/>
        </w:rPr>
      </w:pPr>
      <w:r w:rsidRPr="002D6A2C">
        <w:rPr>
          <w:sz w:val="24"/>
          <w:szCs w:val="24"/>
        </w:rPr>
        <w:t xml:space="preserve">The Department of the Attorney-General and Justice is seeking your comments on </w:t>
      </w:r>
      <w:r w:rsidR="002437B1" w:rsidRPr="002D6A2C">
        <w:rPr>
          <w:sz w:val="24"/>
          <w:szCs w:val="24"/>
        </w:rPr>
        <w:t xml:space="preserve">proposed options </w:t>
      </w:r>
      <w:r w:rsidRPr="002D6A2C">
        <w:rPr>
          <w:sz w:val="24"/>
          <w:szCs w:val="24"/>
        </w:rPr>
        <w:t xml:space="preserve">for the implementation in the Northern </w:t>
      </w:r>
      <w:r w:rsidR="0074365C">
        <w:rPr>
          <w:sz w:val="24"/>
          <w:szCs w:val="24"/>
        </w:rPr>
        <w:t>T</w:t>
      </w:r>
      <w:r w:rsidRPr="002D6A2C">
        <w:rPr>
          <w:sz w:val="24"/>
          <w:szCs w:val="24"/>
        </w:rPr>
        <w:t xml:space="preserve">erritory of the civil litigation reforms recommended by the Royal Commission into Institutional Responses to Child Sexual Abuse. </w:t>
      </w:r>
    </w:p>
    <w:p w14:paraId="70037728" w14:textId="77777777" w:rsidR="00CC5EAB" w:rsidRPr="002D6A2C" w:rsidRDefault="00CC5EAB" w:rsidP="00CC5EAB">
      <w:pPr>
        <w:spacing w:after="0"/>
        <w:jc w:val="both"/>
        <w:rPr>
          <w:sz w:val="24"/>
          <w:szCs w:val="24"/>
        </w:rPr>
      </w:pPr>
    </w:p>
    <w:p w14:paraId="1B9DD354" w14:textId="5DD71D0D" w:rsidR="002437B1" w:rsidRPr="002D6A2C" w:rsidRDefault="002437B1" w:rsidP="00CC5EAB">
      <w:pPr>
        <w:spacing w:after="0"/>
        <w:jc w:val="both"/>
        <w:rPr>
          <w:sz w:val="24"/>
          <w:szCs w:val="24"/>
        </w:rPr>
      </w:pPr>
      <w:r w:rsidRPr="002D6A2C">
        <w:rPr>
          <w:sz w:val="24"/>
          <w:szCs w:val="24"/>
        </w:rPr>
        <w:t xml:space="preserve">Comments can be as short or informal as an email or letter, or can be a more substantial document.  Comments do not have to address all aspects of the options paper nor </w:t>
      </w:r>
      <w:r w:rsidR="00EE23BB">
        <w:rPr>
          <w:sz w:val="24"/>
          <w:szCs w:val="24"/>
        </w:rPr>
        <w:t>do they need to be</w:t>
      </w:r>
      <w:r w:rsidRPr="002D6A2C">
        <w:rPr>
          <w:sz w:val="24"/>
          <w:szCs w:val="24"/>
        </w:rPr>
        <w:t xml:space="preserve"> confined to the options as discussed in this paper.</w:t>
      </w:r>
    </w:p>
    <w:p w14:paraId="4FFF29EC" w14:textId="77777777" w:rsidR="00CC5EAB" w:rsidRPr="002D6A2C" w:rsidRDefault="00CC5EAB" w:rsidP="00CC5EAB">
      <w:pPr>
        <w:spacing w:after="0"/>
        <w:rPr>
          <w:sz w:val="24"/>
          <w:szCs w:val="24"/>
        </w:rPr>
      </w:pPr>
    </w:p>
    <w:p w14:paraId="10C10167" w14:textId="77777777" w:rsidR="002437B1" w:rsidRPr="002D6A2C" w:rsidRDefault="002437B1" w:rsidP="002437B1">
      <w:pPr>
        <w:rPr>
          <w:sz w:val="24"/>
          <w:szCs w:val="24"/>
        </w:rPr>
      </w:pPr>
      <w:r w:rsidRPr="002D6A2C">
        <w:rPr>
          <w:sz w:val="24"/>
          <w:szCs w:val="24"/>
        </w:rPr>
        <w:t xml:space="preserve">Electronic copies of comments are preferred and should be sent whenever possible by email to </w:t>
      </w:r>
      <w:hyperlink r:id="rId9" w:history="1">
        <w:r w:rsidRPr="002D6A2C">
          <w:rPr>
            <w:rStyle w:val="Hyperlink"/>
            <w:sz w:val="24"/>
            <w:szCs w:val="24"/>
          </w:rPr>
          <w:t>Policy.AGD@nt.gov.au</w:t>
        </w:r>
      </w:hyperlink>
      <w:r w:rsidRPr="002D6A2C">
        <w:rPr>
          <w:sz w:val="24"/>
          <w:szCs w:val="24"/>
        </w:rPr>
        <w:t xml:space="preserve">. </w:t>
      </w:r>
    </w:p>
    <w:p w14:paraId="575F959F" w14:textId="77777777" w:rsidR="002437B1" w:rsidRPr="002D6A2C" w:rsidRDefault="002437B1" w:rsidP="002437B1">
      <w:pPr>
        <w:rPr>
          <w:sz w:val="24"/>
          <w:szCs w:val="24"/>
        </w:rPr>
      </w:pPr>
      <w:r w:rsidRPr="002D6A2C">
        <w:rPr>
          <w:sz w:val="24"/>
          <w:szCs w:val="24"/>
        </w:rPr>
        <w:t>Comments can also be sent to:</w:t>
      </w:r>
    </w:p>
    <w:p w14:paraId="08FBE05D" w14:textId="77777777" w:rsidR="002437B1" w:rsidRPr="002D6A2C" w:rsidRDefault="002437B1" w:rsidP="00CC5EAB">
      <w:pPr>
        <w:spacing w:after="60"/>
        <w:rPr>
          <w:sz w:val="24"/>
          <w:szCs w:val="24"/>
        </w:rPr>
      </w:pPr>
      <w:r w:rsidRPr="002D6A2C">
        <w:rPr>
          <w:sz w:val="24"/>
          <w:szCs w:val="24"/>
        </w:rPr>
        <w:t>Director, Legal Policy</w:t>
      </w:r>
    </w:p>
    <w:p w14:paraId="41DAFCF8" w14:textId="77777777" w:rsidR="002437B1" w:rsidRPr="002D6A2C" w:rsidRDefault="002437B1" w:rsidP="00CC5EAB">
      <w:pPr>
        <w:spacing w:after="60"/>
        <w:rPr>
          <w:sz w:val="24"/>
          <w:szCs w:val="24"/>
        </w:rPr>
      </w:pPr>
      <w:r w:rsidRPr="002D6A2C">
        <w:rPr>
          <w:sz w:val="24"/>
          <w:szCs w:val="24"/>
        </w:rPr>
        <w:t>Department of the Attorney-General and Justice</w:t>
      </w:r>
    </w:p>
    <w:p w14:paraId="09277DE1" w14:textId="77777777" w:rsidR="002437B1" w:rsidRPr="002D6A2C" w:rsidRDefault="002437B1" w:rsidP="00CC5EAB">
      <w:pPr>
        <w:spacing w:after="60"/>
        <w:rPr>
          <w:sz w:val="24"/>
          <w:szCs w:val="24"/>
        </w:rPr>
      </w:pPr>
      <w:r w:rsidRPr="002D6A2C">
        <w:rPr>
          <w:sz w:val="24"/>
          <w:szCs w:val="24"/>
        </w:rPr>
        <w:t>GPO Box 1722</w:t>
      </w:r>
    </w:p>
    <w:p w14:paraId="4B14D4AA" w14:textId="77777777" w:rsidR="002437B1" w:rsidRPr="002D6A2C" w:rsidRDefault="002437B1" w:rsidP="00CC5EAB">
      <w:pPr>
        <w:spacing w:after="0"/>
        <w:rPr>
          <w:sz w:val="24"/>
          <w:szCs w:val="24"/>
        </w:rPr>
      </w:pPr>
      <w:r w:rsidRPr="002D6A2C">
        <w:rPr>
          <w:sz w:val="24"/>
          <w:szCs w:val="24"/>
        </w:rPr>
        <w:t>DARWIN NT 0801</w:t>
      </w:r>
    </w:p>
    <w:p w14:paraId="288C32BD" w14:textId="77777777" w:rsidR="00CC5EAB" w:rsidRPr="002D6A2C" w:rsidRDefault="00CC5EAB" w:rsidP="00CC5EAB">
      <w:pPr>
        <w:spacing w:after="0"/>
        <w:rPr>
          <w:sz w:val="24"/>
          <w:szCs w:val="24"/>
        </w:rPr>
      </w:pPr>
    </w:p>
    <w:p w14:paraId="792F52E0" w14:textId="66C860EF" w:rsidR="002437B1" w:rsidRPr="002D6A2C" w:rsidRDefault="002437B1" w:rsidP="002437B1">
      <w:pPr>
        <w:rPr>
          <w:sz w:val="24"/>
          <w:szCs w:val="24"/>
        </w:rPr>
      </w:pPr>
      <w:r w:rsidRPr="002D6A2C">
        <w:rPr>
          <w:sz w:val="24"/>
          <w:szCs w:val="24"/>
        </w:rPr>
        <w:t xml:space="preserve">The contact officer is </w:t>
      </w:r>
      <w:r w:rsidR="00E95FDD">
        <w:rPr>
          <w:sz w:val="24"/>
          <w:szCs w:val="24"/>
        </w:rPr>
        <w:t>Ms Josine Wynberg</w:t>
      </w:r>
      <w:r w:rsidR="00CC5EAB" w:rsidRPr="002D6A2C">
        <w:rPr>
          <w:sz w:val="24"/>
          <w:szCs w:val="24"/>
        </w:rPr>
        <w:t>.</w:t>
      </w:r>
    </w:p>
    <w:p w14:paraId="278B4267" w14:textId="4170F552" w:rsidR="002437B1" w:rsidRPr="002D6A2C" w:rsidRDefault="002437B1" w:rsidP="002437B1">
      <w:pPr>
        <w:rPr>
          <w:b/>
          <w:sz w:val="24"/>
          <w:szCs w:val="24"/>
        </w:rPr>
      </w:pPr>
      <w:r w:rsidRPr="002D6A2C">
        <w:rPr>
          <w:b/>
          <w:sz w:val="24"/>
          <w:szCs w:val="24"/>
        </w:rPr>
        <w:t xml:space="preserve">The closing date for comments on this Consultation Paper is </w:t>
      </w:r>
      <w:r w:rsidR="00613EC0">
        <w:rPr>
          <w:b/>
          <w:sz w:val="24"/>
          <w:szCs w:val="24"/>
        </w:rPr>
        <w:t xml:space="preserve">Friday </w:t>
      </w:r>
      <w:r w:rsidR="00E95FDD">
        <w:rPr>
          <w:b/>
          <w:sz w:val="24"/>
          <w:szCs w:val="24"/>
        </w:rPr>
        <w:t>2 November 2018</w:t>
      </w:r>
      <w:r w:rsidRPr="002D6A2C">
        <w:rPr>
          <w:b/>
          <w:sz w:val="24"/>
          <w:szCs w:val="24"/>
        </w:rPr>
        <w:t>.</w:t>
      </w:r>
    </w:p>
    <w:p w14:paraId="247F39F8" w14:textId="18888187" w:rsidR="002437B1" w:rsidRPr="002D6A2C" w:rsidRDefault="002437B1" w:rsidP="00CC5EAB">
      <w:pPr>
        <w:jc w:val="both"/>
        <w:rPr>
          <w:sz w:val="24"/>
          <w:szCs w:val="24"/>
        </w:rPr>
      </w:pPr>
      <w:r w:rsidRPr="002D6A2C">
        <w:rPr>
          <w:sz w:val="24"/>
          <w:szCs w:val="24"/>
        </w:rPr>
        <w:t>Any feedback or comment received by</w:t>
      </w:r>
      <w:r w:rsidR="00EE23BB">
        <w:rPr>
          <w:sz w:val="24"/>
          <w:szCs w:val="24"/>
        </w:rPr>
        <w:t xml:space="preserve"> the Department of the Attorney</w:t>
      </w:r>
      <w:r w:rsidR="00EE23BB">
        <w:rPr>
          <w:sz w:val="24"/>
          <w:szCs w:val="24"/>
        </w:rPr>
        <w:noBreakHyphen/>
      </w:r>
      <w:r w:rsidRPr="002D6A2C">
        <w:rPr>
          <w:sz w:val="24"/>
          <w:szCs w:val="24"/>
        </w:rPr>
        <w:t>General and Justice will be treated as a public document unless clearly marked as ‘confidential’. In the absence of such clear indication,</w:t>
      </w:r>
      <w:r w:rsidR="00EE23BB">
        <w:rPr>
          <w:sz w:val="24"/>
          <w:szCs w:val="24"/>
        </w:rPr>
        <w:t xml:space="preserve"> the Department of the Attorney</w:t>
      </w:r>
      <w:r w:rsidR="00EE23BB">
        <w:rPr>
          <w:sz w:val="24"/>
          <w:szCs w:val="24"/>
        </w:rPr>
        <w:noBreakHyphen/>
      </w:r>
      <w:r w:rsidRPr="002D6A2C">
        <w:rPr>
          <w:sz w:val="24"/>
          <w:szCs w:val="24"/>
        </w:rPr>
        <w:t>General and Justice will treat</w:t>
      </w:r>
      <w:r w:rsidR="00EE23BB">
        <w:rPr>
          <w:sz w:val="24"/>
          <w:szCs w:val="24"/>
        </w:rPr>
        <w:t xml:space="preserve"> the feedback or comment as non</w:t>
      </w:r>
      <w:r w:rsidR="00EE23BB">
        <w:rPr>
          <w:sz w:val="24"/>
          <w:szCs w:val="24"/>
        </w:rPr>
        <w:noBreakHyphen/>
      </w:r>
      <w:r w:rsidRPr="002D6A2C">
        <w:rPr>
          <w:sz w:val="24"/>
          <w:szCs w:val="24"/>
        </w:rPr>
        <w:t>confidential.</w:t>
      </w:r>
    </w:p>
    <w:p w14:paraId="3FDF9CAF" w14:textId="21FCE6F4" w:rsidR="002437B1" w:rsidRPr="002D6A2C" w:rsidRDefault="00EE23BB" w:rsidP="00CC5EAB">
      <w:pPr>
        <w:jc w:val="both"/>
        <w:rPr>
          <w:sz w:val="24"/>
          <w:szCs w:val="24"/>
        </w:rPr>
      </w:pPr>
      <w:r>
        <w:rPr>
          <w:sz w:val="24"/>
          <w:szCs w:val="24"/>
        </w:rPr>
        <w:t>Non</w:t>
      </w:r>
      <w:r>
        <w:rPr>
          <w:sz w:val="24"/>
          <w:szCs w:val="24"/>
        </w:rPr>
        <w:noBreakHyphen/>
      </w:r>
      <w:r w:rsidR="002437B1" w:rsidRPr="002D6A2C">
        <w:rPr>
          <w:sz w:val="24"/>
          <w:szCs w:val="24"/>
        </w:rPr>
        <w:t>confidential feedback or comments are likely to be made publicly available and published on</w:t>
      </w:r>
      <w:r>
        <w:rPr>
          <w:sz w:val="24"/>
          <w:szCs w:val="24"/>
        </w:rPr>
        <w:t xml:space="preserve"> the Department of the Attorney</w:t>
      </w:r>
      <w:r>
        <w:rPr>
          <w:sz w:val="24"/>
          <w:szCs w:val="24"/>
        </w:rPr>
        <w:noBreakHyphen/>
      </w:r>
      <w:r w:rsidR="002437B1" w:rsidRPr="002D6A2C">
        <w:rPr>
          <w:sz w:val="24"/>
          <w:szCs w:val="24"/>
        </w:rPr>
        <w:t xml:space="preserve">General and </w:t>
      </w:r>
      <w:r w:rsidR="00CC5EAB" w:rsidRPr="002D6A2C">
        <w:rPr>
          <w:sz w:val="24"/>
          <w:szCs w:val="24"/>
        </w:rPr>
        <w:t>Justice website. The Department </w:t>
      </w:r>
      <w:r w:rsidR="002437B1" w:rsidRPr="002D6A2C">
        <w:rPr>
          <w:sz w:val="24"/>
          <w:szCs w:val="24"/>
        </w:rPr>
        <w:t>of the Attorney</w:t>
      </w:r>
      <w:r w:rsidR="002437B1" w:rsidRPr="002D6A2C">
        <w:rPr>
          <w:sz w:val="24"/>
          <w:szCs w:val="24"/>
        </w:rPr>
        <w:noBreakHyphen/>
        <w:t>General and Justice may</w:t>
      </w:r>
      <w:r w:rsidR="00CC5EAB" w:rsidRPr="002D6A2C">
        <w:rPr>
          <w:sz w:val="24"/>
          <w:szCs w:val="24"/>
        </w:rPr>
        <w:t xml:space="preserve"> draw upon the contents of such </w:t>
      </w:r>
      <w:r w:rsidR="002437B1" w:rsidRPr="002D6A2C">
        <w:rPr>
          <w:sz w:val="24"/>
          <w:szCs w:val="24"/>
        </w:rPr>
        <w:t>and quote from them or refer to them in reports, which may be made publicly available.</w:t>
      </w:r>
    </w:p>
    <w:p w14:paraId="008ACB42" w14:textId="77777777" w:rsidR="002437B1" w:rsidRPr="002437B1" w:rsidRDefault="002437B1" w:rsidP="002437B1"/>
    <w:p w14:paraId="67A442BE" w14:textId="77777777" w:rsidR="002437B1" w:rsidRDefault="002437B1" w:rsidP="002437B1"/>
    <w:p w14:paraId="23A173D4" w14:textId="77777777" w:rsidR="007441F6" w:rsidRDefault="007441F6" w:rsidP="002437B1"/>
    <w:p w14:paraId="03E5542D" w14:textId="77777777" w:rsidR="007441F6" w:rsidRDefault="007441F6" w:rsidP="002437B1"/>
    <w:p w14:paraId="0FDAF2C1" w14:textId="77777777" w:rsidR="007441F6" w:rsidRDefault="007441F6" w:rsidP="002437B1"/>
    <w:p w14:paraId="5D9F96A0" w14:textId="77777777" w:rsidR="007441F6" w:rsidRDefault="007441F6" w:rsidP="002437B1"/>
    <w:p w14:paraId="4E626106" w14:textId="77777777" w:rsidR="007441F6" w:rsidRDefault="007441F6" w:rsidP="002437B1"/>
    <w:p w14:paraId="2F310869" w14:textId="77777777" w:rsidR="007441F6" w:rsidRDefault="007441F6" w:rsidP="002437B1"/>
    <w:p w14:paraId="071C66D6" w14:textId="77777777" w:rsidR="007441F6" w:rsidRDefault="007441F6" w:rsidP="002437B1"/>
    <w:p w14:paraId="67A1C62E" w14:textId="77777777" w:rsidR="007441F6" w:rsidRDefault="007441F6" w:rsidP="002437B1"/>
    <w:p w14:paraId="443CB385" w14:textId="77777777" w:rsidR="007441F6" w:rsidRDefault="007441F6" w:rsidP="002437B1"/>
    <w:p w14:paraId="67BFC2DD" w14:textId="77777777" w:rsidR="007441F6" w:rsidRDefault="007441F6" w:rsidP="002437B1"/>
    <w:sdt>
      <w:sdtPr>
        <w:rPr>
          <w:rFonts w:eastAsia="Calibri" w:cs="Times New Roman"/>
          <w:b w:val="0"/>
          <w:bCs w:val="0"/>
          <w:sz w:val="22"/>
          <w:szCs w:val="22"/>
        </w:rPr>
        <w:id w:val="1696888512"/>
        <w:docPartObj>
          <w:docPartGallery w:val="Table of Contents"/>
          <w:docPartUnique/>
        </w:docPartObj>
      </w:sdtPr>
      <w:sdtEndPr>
        <w:rPr>
          <w:noProof/>
        </w:rPr>
      </w:sdtEndPr>
      <w:sdtContent>
        <w:p w14:paraId="000E7716" w14:textId="77777777" w:rsidR="002D6A2C" w:rsidRDefault="002D6A2C" w:rsidP="002D6A2C">
          <w:pPr>
            <w:pStyle w:val="TOCHeading"/>
          </w:pPr>
          <w:r>
            <w:t>Contents</w:t>
          </w:r>
        </w:p>
        <w:p w14:paraId="45FB3FF0" w14:textId="77777777" w:rsidR="002D6A2C" w:rsidRDefault="002D6A2C" w:rsidP="002D6A2C">
          <w:pPr>
            <w:pStyle w:val="TOC1"/>
            <w:tabs>
              <w:tab w:val="right" w:leader="dot" w:pos="9628"/>
            </w:tabs>
          </w:pPr>
        </w:p>
        <w:p w14:paraId="13410B3D" w14:textId="77777777" w:rsidR="007B1F5E" w:rsidRDefault="002D6A2C">
          <w:pPr>
            <w:pStyle w:val="TOC1"/>
            <w:tabs>
              <w:tab w:val="right" w:leader="dot" w:pos="9628"/>
            </w:tabs>
            <w:rPr>
              <w:rFonts w:asciiTheme="minorHAnsi" w:eastAsiaTheme="minorEastAsia" w:hAnsiTheme="minorHAnsi" w:cstheme="minorBidi"/>
              <w:noProof/>
              <w:lang w:eastAsia="en-AU"/>
            </w:rPr>
          </w:pPr>
          <w:r>
            <w:fldChar w:fldCharType="begin"/>
          </w:r>
          <w:r>
            <w:instrText xml:space="preserve"> TOC \o "1-3" \h \z \u </w:instrText>
          </w:r>
          <w:r>
            <w:fldChar w:fldCharType="separate"/>
          </w:r>
          <w:hyperlink w:anchor="_Toc507689294" w:history="1">
            <w:r w:rsidR="007B1F5E" w:rsidRPr="006C2B01">
              <w:rPr>
                <w:rStyle w:val="Hyperlink"/>
                <w:noProof/>
              </w:rPr>
              <w:t>MAKING A COMMENT</w:t>
            </w:r>
            <w:r w:rsidR="007B1F5E">
              <w:rPr>
                <w:noProof/>
                <w:webHidden/>
              </w:rPr>
              <w:tab/>
            </w:r>
            <w:r w:rsidR="007B1F5E">
              <w:rPr>
                <w:noProof/>
                <w:webHidden/>
              </w:rPr>
              <w:fldChar w:fldCharType="begin"/>
            </w:r>
            <w:r w:rsidR="007B1F5E">
              <w:rPr>
                <w:noProof/>
                <w:webHidden/>
              </w:rPr>
              <w:instrText xml:space="preserve"> PAGEREF _Toc507689294 \h </w:instrText>
            </w:r>
            <w:r w:rsidR="007B1F5E">
              <w:rPr>
                <w:noProof/>
                <w:webHidden/>
              </w:rPr>
            </w:r>
            <w:r w:rsidR="007B1F5E">
              <w:rPr>
                <w:noProof/>
                <w:webHidden/>
              </w:rPr>
              <w:fldChar w:fldCharType="separate"/>
            </w:r>
            <w:r w:rsidR="007B1F5E">
              <w:rPr>
                <w:noProof/>
                <w:webHidden/>
              </w:rPr>
              <w:t>3</w:t>
            </w:r>
            <w:r w:rsidR="007B1F5E">
              <w:rPr>
                <w:noProof/>
                <w:webHidden/>
              </w:rPr>
              <w:fldChar w:fldCharType="end"/>
            </w:r>
          </w:hyperlink>
        </w:p>
        <w:p w14:paraId="4158DC55" w14:textId="77777777" w:rsidR="007B1F5E" w:rsidRDefault="0055091E">
          <w:pPr>
            <w:pStyle w:val="TOC1"/>
            <w:tabs>
              <w:tab w:val="right" w:leader="dot" w:pos="9628"/>
            </w:tabs>
            <w:rPr>
              <w:rFonts w:asciiTheme="minorHAnsi" w:eastAsiaTheme="minorEastAsia" w:hAnsiTheme="minorHAnsi" w:cstheme="minorBidi"/>
              <w:noProof/>
              <w:lang w:eastAsia="en-AU"/>
            </w:rPr>
          </w:pPr>
          <w:hyperlink w:anchor="_Toc507689295" w:history="1">
            <w:r w:rsidR="007B1F5E" w:rsidRPr="006C2B01">
              <w:rPr>
                <w:rStyle w:val="Hyperlink"/>
                <w:caps/>
                <w:noProof/>
              </w:rPr>
              <w:t>Background</w:t>
            </w:r>
            <w:r w:rsidR="007B1F5E">
              <w:rPr>
                <w:noProof/>
                <w:webHidden/>
              </w:rPr>
              <w:tab/>
            </w:r>
            <w:r w:rsidR="007B1F5E">
              <w:rPr>
                <w:noProof/>
                <w:webHidden/>
              </w:rPr>
              <w:fldChar w:fldCharType="begin"/>
            </w:r>
            <w:r w:rsidR="007B1F5E">
              <w:rPr>
                <w:noProof/>
                <w:webHidden/>
              </w:rPr>
              <w:instrText xml:space="preserve"> PAGEREF _Toc507689295 \h </w:instrText>
            </w:r>
            <w:r w:rsidR="007B1F5E">
              <w:rPr>
                <w:noProof/>
                <w:webHidden/>
              </w:rPr>
            </w:r>
            <w:r w:rsidR="007B1F5E">
              <w:rPr>
                <w:noProof/>
                <w:webHidden/>
              </w:rPr>
              <w:fldChar w:fldCharType="separate"/>
            </w:r>
            <w:r w:rsidR="007B1F5E">
              <w:rPr>
                <w:noProof/>
                <w:webHidden/>
              </w:rPr>
              <w:t>5</w:t>
            </w:r>
            <w:r w:rsidR="007B1F5E">
              <w:rPr>
                <w:noProof/>
                <w:webHidden/>
              </w:rPr>
              <w:fldChar w:fldCharType="end"/>
            </w:r>
          </w:hyperlink>
        </w:p>
        <w:p w14:paraId="09097310" w14:textId="77777777" w:rsidR="007B1F5E" w:rsidRDefault="0055091E">
          <w:pPr>
            <w:pStyle w:val="TOC1"/>
            <w:tabs>
              <w:tab w:val="right" w:leader="dot" w:pos="9628"/>
            </w:tabs>
            <w:rPr>
              <w:rFonts w:asciiTheme="minorHAnsi" w:eastAsiaTheme="minorEastAsia" w:hAnsiTheme="minorHAnsi" w:cstheme="minorBidi"/>
              <w:noProof/>
              <w:lang w:eastAsia="en-AU"/>
            </w:rPr>
          </w:pPr>
          <w:hyperlink w:anchor="_Toc507689296" w:history="1">
            <w:r w:rsidR="007B1F5E" w:rsidRPr="006C2B01">
              <w:rPr>
                <w:rStyle w:val="Hyperlink"/>
                <w:caps/>
                <w:noProof/>
              </w:rPr>
              <w:t>Royal Commission Recommendations</w:t>
            </w:r>
            <w:r w:rsidR="007B1F5E">
              <w:rPr>
                <w:noProof/>
                <w:webHidden/>
              </w:rPr>
              <w:tab/>
            </w:r>
            <w:r w:rsidR="007B1F5E">
              <w:rPr>
                <w:noProof/>
                <w:webHidden/>
              </w:rPr>
              <w:fldChar w:fldCharType="begin"/>
            </w:r>
            <w:r w:rsidR="007B1F5E">
              <w:rPr>
                <w:noProof/>
                <w:webHidden/>
              </w:rPr>
              <w:instrText xml:space="preserve"> PAGEREF _Toc507689296 \h </w:instrText>
            </w:r>
            <w:r w:rsidR="007B1F5E">
              <w:rPr>
                <w:noProof/>
                <w:webHidden/>
              </w:rPr>
            </w:r>
            <w:r w:rsidR="007B1F5E">
              <w:rPr>
                <w:noProof/>
                <w:webHidden/>
              </w:rPr>
              <w:fldChar w:fldCharType="separate"/>
            </w:r>
            <w:r w:rsidR="007B1F5E">
              <w:rPr>
                <w:noProof/>
                <w:webHidden/>
              </w:rPr>
              <w:t>5</w:t>
            </w:r>
            <w:r w:rsidR="007B1F5E">
              <w:rPr>
                <w:noProof/>
                <w:webHidden/>
              </w:rPr>
              <w:fldChar w:fldCharType="end"/>
            </w:r>
          </w:hyperlink>
        </w:p>
        <w:p w14:paraId="4A8FD98B" w14:textId="77777777" w:rsidR="007B1F5E" w:rsidRDefault="0055091E">
          <w:pPr>
            <w:pStyle w:val="TOC1"/>
            <w:tabs>
              <w:tab w:val="right" w:leader="dot" w:pos="9628"/>
            </w:tabs>
            <w:rPr>
              <w:rFonts w:asciiTheme="minorHAnsi" w:eastAsiaTheme="minorEastAsia" w:hAnsiTheme="minorHAnsi" w:cstheme="minorBidi"/>
              <w:noProof/>
              <w:lang w:eastAsia="en-AU"/>
            </w:rPr>
          </w:pPr>
          <w:hyperlink w:anchor="_Toc507689297" w:history="1">
            <w:r w:rsidR="007B1F5E" w:rsidRPr="006C2B01">
              <w:rPr>
                <w:rStyle w:val="Hyperlink"/>
                <w:caps/>
                <w:noProof/>
              </w:rPr>
              <w:t>Purpose</w:t>
            </w:r>
            <w:r w:rsidR="007B1F5E">
              <w:rPr>
                <w:noProof/>
                <w:webHidden/>
              </w:rPr>
              <w:tab/>
            </w:r>
            <w:r w:rsidR="007B1F5E">
              <w:rPr>
                <w:noProof/>
                <w:webHidden/>
              </w:rPr>
              <w:fldChar w:fldCharType="begin"/>
            </w:r>
            <w:r w:rsidR="007B1F5E">
              <w:rPr>
                <w:noProof/>
                <w:webHidden/>
              </w:rPr>
              <w:instrText xml:space="preserve"> PAGEREF _Toc507689297 \h </w:instrText>
            </w:r>
            <w:r w:rsidR="007B1F5E">
              <w:rPr>
                <w:noProof/>
                <w:webHidden/>
              </w:rPr>
            </w:r>
            <w:r w:rsidR="007B1F5E">
              <w:rPr>
                <w:noProof/>
                <w:webHidden/>
              </w:rPr>
              <w:fldChar w:fldCharType="separate"/>
            </w:r>
            <w:r w:rsidR="007B1F5E">
              <w:rPr>
                <w:noProof/>
                <w:webHidden/>
              </w:rPr>
              <w:t>6</w:t>
            </w:r>
            <w:r w:rsidR="007B1F5E">
              <w:rPr>
                <w:noProof/>
                <w:webHidden/>
              </w:rPr>
              <w:fldChar w:fldCharType="end"/>
            </w:r>
          </w:hyperlink>
        </w:p>
        <w:p w14:paraId="0B999433" w14:textId="77777777" w:rsidR="007B1F5E" w:rsidRDefault="0055091E">
          <w:pPr>
            <w:pStyle w:val="TOC1"/>
            <w:tabs>
              <w:tab w:val="left" w:pos="440"/>
              <w:tab w:val="right" w:leader="dot" w:pos="9628"/>
            </w:tabs>
            <w:rPr>
              <w:rFonts w:asciiTheme="minorHAnsi" w:eastAsiaTheme="minorEastAsia" w:hAnsiTheme="minorHAnsi" w:cstheme="minorBidi"/>
              <w:noProof/>
              <w:lang w:eastAsia="en-AU"/>
            </w:rPr>
          </w:pPr>
          <w:hyperlink w:anchor="_Toc507689333" w:history="1">
            <w:r w:rsidR="007B1F5E" w:rsidRPr="006C2B01">
              <w:rPr>
                <w:rStyle w:val="Hyperlink"/>
                <w:caps/>
                <w:noProof/>
              </w:rPr>
              <w:t>1.</w:t>
            </w:r>
            <w:r w:rsidR="007B1F5E">
              <w:rPr>
                <w:rFonts w:asciiTheme="minorHAnsi" w:eastAsiaTheme="minorEastAsia" w:hAnsiTheme="minorHAnsi" w:cstheme="minorBidi"/>
                <w:noProof/>
                <w:lang w:eastAsia="en-AU"/>
              </w:rPr>
              <w:tab/>
            </w:r>
            <w:r w:rsidR="007B1F5E" w:rsidRPr="006C2B01">
              <w:rPr>
                <w:rStyle w:val="Hyperlink"/>
                <w:caps/>
                <w:noProof/>
              </w:rPr>
              <w:t>Duties and liability of institutions</w:t>
            </w:r>
            <w:r w:rsidR="007B1F5E">
              <w:rPr>
                <w:noProof/>
                <w:webHidden/>
              </w:rPr>
              <w:tab/>
            </w:r>
            <w:r w:rsidR="007B1F5E">
              <w:rPr>
                <w:noProof/>
                <w:webHidden/>
              </w:rPr>
              <w:fldChar w:fldCharType="begin"/>
            </w:r>
            <w:r w:rsidR="007B1F5E">
              <w:rPr>
                <w:noProof/>
                <w:webHidden/>
              </w:rPr>
              <w:instrText xml:space="preserve"> PAGEREF _Toc507689333 \h </w:instrText>
            </w:r>
            <w:r w:rsidR="007B1F5E">
              <w:rPr>
                <w:noProof/>
                <w:webHidden/>
              </w:rPr>
            </w:r>
            <w:r w:rsidR="007B1F5E">
              <w:rPr>
                <w:noProof/>
                <w:webHidden/>
              </w:rPr>
              <w:fldChar w:fldCharType="separate"/>
            </w:r>
            <w:r w:rsidR="007B1F5E">
              <w:rPr>
                <w:noProof/>
                <w:webHidden/>
              </w:rPr>
              <w:t>6</w:t>
            </w:r>
            <w:r w:rsidR="007B1F5E">
              <w:rPr>
                <w:noProof/>
                <w:webHidden/>
              </w:rPr>
              <w:fldChar w:fldCharType="end"/>
            </w:r>
          </w:hyperlink>
        </w:p>
        <w:p w14:paraId="1DD70ED1" w14:textId="77777777" w:rsidR="007B1F5E" w:rsidRDefault="0055091E">
          <w:pPr>
            <w:pStyle w:val="TOC2"/>
            <w:tabs>
              <w:tab w:val="left" w:pos="880"/>
              <w:tab w:val="right" w:leader="dot" w:pos="9628"/>
            </w:tabs>
            <w:rPr>
              <w:rFonts w:asciiTheme="minorHAnsi" w:eastAsiaTheme="minorEastAsia" w:hAnsiTheme="minorHAnsi" w:cstheme="minorBidi"/>
              <w:noProof/>
              <w:lang w:eastAsia="en-AU"/>
            </w:rPr>
          </w:pPr>
          <w:hyperlink w:anchor="_Toc507689334" w:history="1">
            <w:r w:rsidR="007B1F5E" w:rsidRPr="006C2B01">
              <w:rPr>
                <w:rStyle w:val="Hyperlink"/>
                <w:noProof/>
              </w:rPr>
              <w:t>1.1</w:t>
            </w:r>
            <w:r w:rsidR="007B1F5E">
              <w:rPr>
                <w:rFonts w:asciiTheme="minorHAnsi" w:eastAsiaTheme="minorEastAsia" w:hAnsiTheme="minorHAnsi" w:cstheme="minorBidi"/>
                <w:noProof/>
                <w:lang w:eastAsia="en-AU"/>
              </w:rPr>
              <w:tab/>
            </w:r>
            <w:r w:rsidR="007B1F5E" w:rsidRPr="006C2B01">
              <w:rPr>
                <w:rStyle w:val="Hyperlink"/>
                <w:noProof/>
              </w:rPr>
              <w:t>What the Royal Commission considered</w:t>
            </w:r>
            <w:r w:rsidR="007B1F5E">
              <w:rPr>
                <w:noProof/>
                <w:webHidden/>
              </w:rPr>
              <w:tab/>
            </w:r>
            <w:r w:rsidR="007B1F5E">
              <w:rPr>
                <w:noProof/>
                <w:webHidden/>
              </w:rPr>
              <w:fldChar w:fldCharType="begin"/>
            </w:r>
            <w:r w:rsidR="007B1F5E">
              <w:rPr>
                <w:noProof/>
                <w:webHidden/>
              </w:rPr>
              <w:instrText xml:space="preserve"> PAGEREF _Toc507689334 \h </w:instrText>
            </w:r>
            <w:r w:rsidR="007B1F5E">
              <w:rPr>
                <w:noProof/>
                <w:webHidden/>
              </w:rPr>
            </w:r>
            <w:r w:rsidR="007B1F5E">
              <w:rPr>
                <w:noProof/>
                <w:webHidden/>
              </w:rPr>
              <w:fldChar w:fldCharType="separate"/>
            </w:r>
            <w:r w:rsidR="007B1F5E">
              <w:rPr>
                <w:noProof/>
                <w:webHidden/>
              </w:rPr>
              <w:t>6</w:t>
            </w:r>
            <w:r w:rsidR="007B1F5E">
              <w:rPr>
                <w:noProof/>
                <w:webHidden/>
              </w:rPr>
              <w:fldChar w:fldCharType="end"/>
            </w:r>
          </w:hyperlink>
        </w:p>
        <w:p w14:paraId="5E603ACC" w14:textId="77777777" w:rsidR="007B1F5E" w:rsidRDefault="0055091E">
          <w:pPr>
            <w:pStyle w:val="TOC2"/>
            <w:tabs>
              <w:tab w:val="left" w:pos="880"/>
              <w:tab w:val="right" w:leader="dot" w:pos="9628"/>
            </w:tabs>
            <w:rPr>
              <w:rFonts w:asciiTheme="minorHAnsi" w:eastAsiaTheme="minorEastAsia" w:hAnsiTheme="minorHAnsi" w:cstheme="minorBidi"/>
              <w:noProof/>
              <w:lang w:eastAsia="en-AU"/>
            </w:rPr>
          </w:pPr>
          <w:hyperlink w:anchor="_Toc507689335" w:history="1">
            <w:r w:rsidR="007B1F5E" w:rsidRPr="006C2B01">
              <w:rPr>
                <w:rStyle w:val="Hyperlink"/>
                <w:noProof/>
              </w:rPr>
              <w:t>1.2</w:t>
            </w:r>
            <w:r w:rsidR="007B1F5E">
              <w:rPr>
                <w:rFonts w:asciiTheme="minorHAnsi" w:eastAsiaTheme="minorEastAsia" w:hAnsiTheme="minorHAnsi" w:cstheme="minorBidi"/>
                <w:noProof/>
                <w:lang w:eastAsia="en-AU"/>
              </w:rPr>
              <w:tab/>
            </w:r>
            <w:r w:rsidR="007B1F5E" w:rsidRPr="006C2B01">
              <w:rPr>
                <w:rStyle w:val="Hyperlink"/>
                <w:noProof/>
              </w:rPr>
              <w:t>What the Royal Commission recommended</w:t>
            </w:r>
            <w:r w:rsidR="007B1F5E">
              <w:rPr>
                <w:noProof/>
                <w:webHidden/>
              </w:rPr>
              <w:tab/>
            </w:r>
            <w:r w:rsidR="007B1F5E">
              <w:rPr>
                <w:noProof/>
                <w:webHidden/>
              </w:rPr>
              <w:fldChar w:fldCharType="begin"/>
            </w:r>
            <w:r w:rsidR="007B1F5E">
              <w:rPr>
                <w:noProof/>
                <w:webHidden/>
              </w:rPr>
              <w:instrText xml:space="preserve"> PAGEREF _Toc507689335 \h </w:instrText>
            </w:r>
            <w:r w:rsidR="007B1F5E">
              <w:rPr>
                <w:noProof/>
                <w:webHidden/>
              </w:rPr>
            </w:r>
            <w:r w:rsidR="007B1F5E">
              <w:rPr>
                <w:noProof/>
                <w:webHidden/>
              </w:rPr>
              <w:fldChar w:fldCharType="separate"/>
            </w:r>
            <w:r w:rsidR="007B1F5E">
              <w:rPr>
                <w:noProof/>
                <w:webHidden/>
              </w:rPr>
              <w:t>8</w:t>
            </w:r>
            <w:r w:rsidR="007B1F5E">
              <w:rPr>
                <w:noProof/>
                <w:webHidden/>
              </w:rPr>
              <w:fldChar w:fldCharType="end"/>
            </w:r>
          </w:hyperlink>
        </w:p>
        <w:p w14:paraId="2CBC79E7" w14:textId="77777777" w:rsidR="007B1F5E" w:rsidRDefault="0055091E">
          <w:pPr>
            <w:pStyle w:val="TOC2"/>
            <w:tabs>
              <w:tab w:val="left" w:pos="880"/>
              <w:tab w:val="right" w:leader="dot" w:pos="9628"/>
            </w:tabs>
            <w:rPr>
              <w:rFonts w:asciiTheme="minorHAnsi" w:eastAsiaTheme="minorEastAsia" w:hAnsiTheme="minorHAnsi" w:cstheme="minorBidi"/>
              <w:noProof/>
              <w:lang w:eastAsia="en-AU"/>
            </w:rPr>
          </w:pPr>
          <w:hyperlink w:anchor="_Toc507689336" w:history="1">
            <w:r w:rsidR="007B1F5E" w:rsidRPr="006C2B01">
              <w:rPr>
                <w:rStyle w:val="Hyperlink"/>
                <w:noProof/>
              </w:rPr>
              <w:t>1.3</w:t>
            </w:r>
            <w:r w:rsidR="007B1F5E">
              <w:rPr>
                <w:rFonts w:asciiTheme="minorHAnsi" w:eastAsiaTheme="minorEastAsia" w:hAnsiTheme="minorHAnsi" w:cstheme="minorBidi"/>
                <w:noProof/>
                <w:lang w:eastAsia="en-AU"/>
              </w:rPr>
              <w:tab/>
            </w:r>
            <w:r w:rsidR="007B1F5E" w:rsidRPr="006C2B01">
              <w:rPr>
                <w:rStyle w:val="Hyperlink"/>
                <w:noProof/>
              </w:rPr>
              <w:t>Reforms in other jurisdictions</w:t>
            </w:r>
            <w:r w:rsidR="007B1F5E">
              <w:rPr>
                <w:noProof/>
                <w:webHidden/>
              </w:rPr>
              <w:tab/>
            </w:r>
            <w:r w:rsidR="007B1F5E">
              <w:rPr>
                <w:noProof/>
                <w:webHidden/>
              </w:rPr>
              <w:fldChar w:fldCharType="begin"/>
            </w:r>
            <w:r w:rsidR="007B1F5E">
              <w:rPr>
                <w:noProof/>
                <w:webHidden/>
              </w:rPr>
              <w:instrText xml:space="preserve"> PAGEREF _Toc507689336 \h </w:instrText>
            </w:r>
            <w:r w:rsidR="007B1F5E">
              <w:rPr>
                <w:noProof/>
                <w:webHidden/>
              </w:rPr>
            </w:r>
            <w:r w:rsidR="007B1F5E">
              <w:rPr>
                <w:noProof/>
                <w:webHidden/>
              </w:rPr>
              <w:fldChar w:fldCharType="separate"/>
            </w:r>
            <w:r w:rsidR="007B1F5E">
              <w:rPr>
                <w:noProof/>
                <w:webHidden/>
              </w:rPr>
              <w:t>9</w:t>
            </w:r>
            <w:r w:rsidR="007B1F5E">
              <w:rPr>
                <w:noProof/>
                <w:webHidden/>
              </w:rPr>
              <w:fldChar w:fldCharType="end"/>
            </w:r>
          </w:hyperlink>
        </w:p>
        <w:p w14:paraId="559D6BEF" w14:textId="77777777" w:rsidR="007B1F5E" w:rsidRDefault="0055091E">
          <w:pPr>
            <w:pStyle w:val="TOC2"/>
            <w:tabs>
              <w:tab w:val="left" w:pos="880"/>
              <w:tab w:val="right" w:leader="dot" w:pos="9628"/>
            </w:tabs>
            <w:rPr>
              <w:rFonts w:asciiTheme="minorHAnsi" w:eastAsiaTheme="minorEastAsia" w:hAnsiTheme="minorHAnsi" w:cstheme="minorBidi"/>
              <w:noProof/>
              <w:lang w:eastAsia="en-AU"/>
            </w:rPr>
          </w:pPr>
          <w:hyperlink w:anchor="_Toc507689337" w:history="1">
            <w:r w:rsidR="007B1F5E" w:rsidRPr="006C2B01">
              <w:rPr>
                <w:rStyle w:val="Hyperlink"/>
                <w:noProof/>
              </w:rPr>
              <w:t>1.4</w:t>
            </w:r>
            <w:r w:rsidR="007B1F5E">
              <w:rPr>
                <w:rFonts w:asciiTheme="minorHAnsi" w:eastAsiaTheme="minorEastAsia" w:hAnsiTheme="minorHAnsi" w:cstheme="minorBidi"/>
                <w:noProof/>
                <w:lang w:eastAsia="en-AU"/>
              </w:rPr>
              <w:tab/>
            </w:r>
            <w:r w:rsidR="007B1F5E" w:rsidRPr="006C2B01">
              <w:rPr>
                <w:rStyle w:val="Hyperlink"/>
                <w:noProof/>
              </w:rPr>
              <w:t>Proposed Reform of Territory Laws</w:t>
            </w:r>
            <w:r w:rsidR="007B1F5E">
              <w:rPr>
                <w:noProof/>
                <w:webHidden/>
              </w:rPr>
              <w:tab/>
            </w:r>
            <w:r w:rsidR="007B1F5E">
              <w:rPr>
                <w:noProof/>
                <w:webHidden/>
              </w:rPr>
              <w:fldChar w:fldCharType="begin"/>
            </w:r>
            <w:r w:rsidR="007B1F5E">
              <w:rPr>
                <w:noProof/>
                <w:webHidden/>
              </w:rPr>
              <w:instrText xml:space="preserve"> PAGEREF _Toc507689337 \h </w:instrText>
            </w:r>
            <w:r w:rsidR="007B1F5E">
              <w:rPr>
                <w:noProof/>
                <w:webHidden/>
              </w:rPr>
            </w:r>
            <w:r w:rsidR="007B1F5E">
              <w:rPr>
                <w:noProof/>
                <w:webHidden/>
              </w:rPr>
              <w:fldChar w:fldCharType="separate"/>
            </w:r>
            <w:r w:rsidR="007B1F5E">
              <w:rPr>
                <w:noProof/>
                <w:webHidden/>
              </w:rPr>
              <w:t>10</w:t>
            </w:r>
            <w:r w:rsidR="007B1F5E">
              <w:rPr>
                <w:noProof/>
                <w:webHidden/>
              </w:rPr>
              <w:fldChar w:fldCharType="end"/>
            </w:r>
          </w:hyperlink>
        </w:p>
        <w:p w14:paraId="13428193" w14:textId="77777777" w:rsidR="007B1F5E" w:rsidRDefault="0055091E">
          <w:pPr>
            <w:pStyle w:val="TOC2"/>
            <w:tabs>
              <w:tab w:val="left" w:pos="880"/>
              <w:tab w:val="right" w:leader="dot" w:pos="9628"/>
            </w:tabs>
            <w:rPr>
              <w:rFonts w:asciiTheme="minorHAnsi" w:eastAsiaTheme="minorEastAsia" w:hAnsiTheme="minorHAnsi" w:cstheme="minorBidi"/>
              <w:noProof/>
              <w:lang w:eastAsia="en-AU"/>
            </w:rPr>
          </w:pPr>
          <w:hyperlink w:anchor="_Toc507689346" w:history="1">
            <w:r w:rsidR="007B1F5E" w:rsidRPr="006C2B01">
              <w:rPr>
                <w:rStyle w:val="Hyperlink"/>
                <w:noProof/>
              </w:rPr>
              <w:t>1.5</w:t>
            </w:r>
            <w:r w:rsidR="007B1F5E">
              <w:rPr>
                <w:rFonts w:asciiTheme="minorHAnsi" w:eastAsiaTheme="minorEastAsia" w:hAnsiTheme="minorHAnsi" w:cstheme="minorBidi"/>
                <w:noProof/>
                <w:lang w:eastAsia="en-AU"/>
              </w:rPr>
              <w:tab/>
            </w:r>
            <w:r w:rsidR="007B1F5E" w:rsidRPr="006C2B01">
              <w:rPr>
                <w:rStyle w:val="Hyperlink"/>
                <w:noProof/>
              </w:rPr>
              <w:t>Matters requiring further consideration</w:t>
            </w:r>
            <w:r w:rsidR="007B1F5E">
              <w:rPr>
                <w:noProof/>
                <w:webHidden/>
              </w:rPr>
              <w:tab/>
            </w:r>
            <w:r w:rsidR="007B1F5E">
              <w:rPr>
                <w:noProof/>
                <w:webHidden/>
              </w:rPr>
              <w:fldChar w:fldCharType="begin"/>
            </w:r>
            <w:r w:rsidR="007B1F5E">
              <w:rPr>
                <w:noProof/>
                <w:webHidden/>
              </w:rPr>
              <w:instrText xml:space="preserve"> PAGEREF _Toc507689346 \h </w:instrText>
            </w:r>
            <w:r w:rsidR="007B1F5E">
              <w:rPr>
                <w:noProof/>
                <w:webHidden/>
              </w:rPr>
            </w:r>
            <w:r w:rsidR="007B1F5E">
              <w:rPr>
                <w:noProof/>
                <w:webHidden/>
              </w:rPr>
              <w:fldChar w:fldCharType="separate"/>
            </w:r>
            <w:r w:rsidR="007B1F5E">
              <w:rPr>
                <w:noProof/>
                <w:webHidden/>
              </w:rPr>
              <w:t>10</w:t>
            </w:r>
            <w:r w:rsidR="007B1F5E">
              <w:rPr>
                <w:noProof/>
                <w:webHidden/>
              </w:rPr>
              <w:fldChar w:fldCharType="end"/>
            </w:r>
          </w:hyperlink>
        </w:p>
        <w:p w14:paraId="79719E65" w14:textId="77777777" w:rsidR="007B1F5E" w:rsidRDefault="0055091E">
          <w:pPr>
            <w:pStyle w:val="TOC1"/>
            <w:tabs>
              <w:tab w:val="left" w:pos="440"/>
              <w:tab w:val="right" w:leader="dot" w:pos="9628"/>
            </w:tabs>
            <w:rPr>
              <w:rFonts w:asciiTheme="minorHAnsi" w:eastAsiaTheme="minorEastAsia" w:hAnsiTheme="minorHAnsi" w:cstheme="minorBidi"/>
              <w:noProof/>
              <w:lang w:eastAsia="en-AU"/>
            </w:rPr>
          </w:pPr>
          <w:hyperlink w:anchor="_Toc507689353" w:history="1">
            <w:r w:rsidR="007B1F5E" w:rsidRPr="006C2B01">
              <w:rPr>
                <w:rStyle w:val="Hyperlink"/>
                <w:caps/>
                <w:noProof/>
              </w:rPr>
              <w:t>2.</w:t>
            </w:r>
            <w:r w:rsidR="007B1F5E">
              <w:rPr>
                <w:rFonts w:asciiTheme="minorHAnsi" w:eastAsiaTheme="minorEastAsia" w:hAnsiTheme="minorHAnsi" w:cstheme="minorBidi"/>
                <w:noProof/>
                <w:lang w:eastAsia="en-AU"/>
              </w:rPr>
              <w:tab/>
            </w:r>
            <w:r w:rsidR="007B1F5E" w:rsidRPr="006C2B01">
              <w:rPr>
                <w:rStyle w:val="Hyperlink"/>
                <w:caps/>
                <w:noProof/>
              </w:rPr>
              <w:t>Identifying a Proper Defendant</w:t>
            </w:r>
            <w:r w:rsidR="007B1F5E">
              <w:rPr>
                <w:noProof/>
                <w:webHidden/>
              </w:rPr>
              <w:tab/>
            </w:r>
            <w:r w:rsidR="007B1F5E">
              <w:rPr>
                <w:noProof/>
                <w:webHidden/>
              </w:rPr>
              <w:fldChar w:fldCharType="begin"/>
            </w:r>
            <w:r w:rsidR="007B1F5E">
              <w:rPr>
                <w:noProof/>
                <w:webHidden/>
              </w:rPr>
              <w:instrText xml:space="preserve"> PAGEREF _Toc507689353 \h </w:instrText>
            </w:r>
            <w:r w:rsidR="007B1F5E">
              <w:rPr>
                <w:noProof/>
                <w:webHidden/>
              </w:rPr>
            </w:r>
            <w:r w:rsidR="007B1F5E">
              <w:rPr>
                <w:noProof/>
                <w:webHidden/>
              </w:rPr>
              <w:fldChar w:fldCharType="separate"/>
            </w:r>
            <w:r w:rsidR="007B1F5E">
              <w:rPr>
                <w:noProof/>
                <w:webHidden/>
              </w:rPr>
              <w:t>15</w:t>
            </w:r>
            <w:r w:rsidR="007B1F5E">
              <w:rPr>
                <w:noProof/>
                <w:webHidden/>
              </w:rPr>
              <w:fldChar w:fldCharType="end"/>
            </w:r>
          </w:hyperlink>
        </w:p>
        <w:p w14:paraId="16D67929" w14:textId="77777777" w:rsidR="007B1F5E" w:rsidRDefault="0055091E">
          <w:pPr>
            <w:pStyle w:val="TOC2"/>
            <w:tabs>
              <w:tab w:val="left" w:pos="880"/>
              <w:tab w:val="right" w:leader="dot" w:pos="9628"/>
            </w:tabs>
            <w:rPr>
              <w:rFonts w:asciiTheme="minorHAnsi" w:eastAsiaTheme="minorEastAsia" w:hAnsiTheme="minorHAnsi" w:cstheme="minorBidi"/>
              <w:noProof/>
              <w:lang w:eastAsia="en-AU"/>
            </w:rPr>
          </w:pPr>
          <w:hyperlink w:anchor="_Toc507689355" w:history="1">
            <w:r w:rsidR="007B1F5E" w:rsidRPr="006C2B01">
              <w:rPr>
                <w:rStyle w:val="Hyperlink"/>
                <w:noProof/>
              </w:rPr>
              <w:t>2.1</w:t>
            </w:r>
            <w:r w:rsidR="007B1F5E">
              <w:rPr>
                <w:rFonts w:asciiTheme="minorHAnsi" w:eastAsiaTheme="minorEastAsia" w:hAnsiTheme="minorHAnsi" w:cstheme="minorBidi"/>
                <w:noProof/>
                <w:lang w:eastAsia="en-AU"/>
              </w:rPr>
              <w:tab/>
            </w:r>
            <w:r w:rsidR="007B1F5E" w:rsidRPr="006C2B01">
              <w:rPr>
                <w:rStyle w:val="Hyperlink"/>
                <w:noProof/>
              </w:rPr>
              <w:t>What the Royal Commission considered</w:t>
            </w:r>
            <w:r w:rsidR="007B1F5E">
              <w:rPr>
                <w:noProof/>
                <w:webHidden/>
              </w:rPr>
              <w:tab/>
            </w:r>
            <w:r w:rsidR="007B1F5E">
              <w:rPr>
                <w:noProof/>
                <w:webHidden/>
              </w:rPr>
              <w:fldChar w:fldCharType="begin"/>
            </w:r>
            <w:r w:rsidR="007B1F5E">
              <w:rPr>
                <w:noProof/>
                <w:webHidden/>
              </w:rPr>
              <w:instrText xml:space="preserve"> PAGEREF _Toc507689355 \h </w:instrText>
            </w:r>
            <w:r w:rsidR="007B1F5E">
              <w:rPr>
                <w:noProof/>
                <w:webHidden/>
              </w:rPr>
            </w:r>
            <w:r w:rsidR="007B1F5E">
              <w:rPr>
                <w:noProof/>
                <w:webHidden/>
              </w:rPr>
              <w:fldChar w:fldCharType="separate"/>
            </w:r>
            <w:r w:rsidR="007B1F5E">
              <w:rPr>
                <w:noProof/>
                <w:webHidden/>
              </w:rPr>
              <w:t>15</w:t>
            </w:r>
            <w:r w:rsidR="007B1F5E">
              <w:rPr>
                <w:noProof/>
                <w:webHidden/>
              </w:rPr>
              <w:fldChar w:fldCharType="end"/>
            </w:r>
          </w:hyperlink>
        </w:p>
        <w:p w14:paraId="3CF2E619" w14:textId="77777777" w:rsidR="007B1F5E" w:rsidRDefault="0055091E">
          <w:pPr>
            <w:pStyle w:val="TOC2"/>
            <w:tabs>
              <w:tab w:val="left" w:pos="880"/>
              <w:tab w:val="right" w:leader="dot" w:pos="9628"/>
            </w:tabs>
            <w:rPr>
              <w:rFonts w:asciiTheme="minorHAnsi" w:eastAsiaTheme="minorEastAsia" w:hAnsiTheme="minorHAnsi" w:cstheme="minorBidi"/>
              <w:noProof/>
              <w:lang w:eastAsia="en-AU"/>
            </w:rPr>
          </w:pPr>
          <w:hyperlink w:anchor="_Toc507689356" w:history="1">
            <w:r w:rsidR="007B1F5E" w:rsidRPr="006C2B01">
              <w:rPr>
                <w:rStyle w:val="Hyperlink"/>
                <w:noProof/>
              </w:rPr>
              <w:t>2.2</w:t>
            </w:r>
            <w:r w:rsidR="007B1F5E">
              <w:rPr>
                <w:rFonts w:asciiTheme="minorHAnsi" w:eastAsiaTheme="minorEastAsia" w:hAnsiTheme="minorHAnsi" w:cstheme="minorBidi"/>
                <w:noProof/>
                <w:lang w:eastAsia="en-AU"/>
              </w:rPr>
              <w:tab/>
            </w:r>
            <w:r w:rsidR="007B1F5E" w:rsidRPr="006C2B01">
              <w:rPr>
                <w:rStyle w:val="Hyperlink"/>
                <w:noProof/>
              </w:rPr>
              <w:t>What the Royal Commission Recommended</w:t>
            </w:r>
            <w:r w:rsidR="007B1F5E">
              <w:rPr>
                <w:noProof/>
                <w:webHidden/>
              </w:rPr>
              <w:tab/>
            </w:r>
            <w:r w:rsidR="007B1F5E">
              <w:rPr>
                <w:noProof/>
                <w:webHidden/>
              </w:rPr>
              <w:fldChar w:fldCharType="begin"/>
            </w:r>
            <w:r w:rsidR="007B1F5E">
              <w:rPr>
                <w:noProof/>
                <w:webHidden/>
              </w:rPr>
              <w:instrText xml:space="preserve"> PAGEREF _Toc507689356 \h </w:instrText>
            </w:r>
            <w:r w:rsidR="007B1F5E">
              <w:rPr>
                <w:noProof/>
                <w:webHidden/>
              </w:rPr>
            </w:r>
            <w:r w:rsidR="007B1F5E">
              <w:rPr>
                <w:noProof/>
                <w:webHidden/>
              </w:rPr>
              <w:fldChar w:fldCharType="separate"/>
            </w:r>
            <w:r w:rsidR="007B1F5E">
              <w:rPr>
                <w:noProof/>
                <w:webHidden/>
              </w:rPr>
              <w:t>15</w:t>
            </w:r>
            <w:r w:rsidR="007B1F5E">
              <w:rPr>
                <w:noProof/>
                <w:webHidden/>
              </w:rPr>
              <w:fldChar w:fldCharType="end"/>
            </w:r>
          </w:hyperlink>
        </w:p>
        <w:p w14:paraId="4D721C81" w14:textId="77777777" w:rsidR="007B1F5E" w:rsidRDefault="0055091E">
          <w:pPr>
            <w:pStyle w:val="TOC2"/>
            <w:tabs>
              <w:tab w:val="left" w:pos="880"/>
              <w:tab w:val="right" w:leader="dot" w:pos="9628"/>
            </w:tabs>
            <w:rPr>
              <w:rFonts w:asciiTheme="minorHAnsi" w:eastAsiaTheme="minorEastAsia" w:hAnsiTheme="minorHAnsi" w:cstheme="minorBidi"/>
              <w:noProof/>
              <w:lang w:eastAsia="en-AU"/>
            </w:rPr>
          </w:pPr>
          <w:hyperlink w:anchor="_Toc507689358" w:history="1">
            <w:r w:rsidR="007B1F5E" w:rsidRPr="006C2B01">
              <w:rPr>
                <w:rStyle w:val="Hyperlink"/>
                <w:noProof/>
              </w:rPr>
              <w:t>2.3</w:t>
            </w:r>
            <w:r w:rsidR="007B1F5E">
              <w:rPr>
                <w:rFonts w:asciiTheme="minorHAnsi" w:eastAsiaTheme="minorEastAsia" w:hAnsiTheme="minorHAnsi" w:cstheme="minorBidi"/>
                <w:noProof/>
                <w:lang w:eastAsia="en-AU"/>
              </w:rPr>
              <w:tab/>
            </w:r>
            <w:r w:rsidR="007B1F5E" w:rsidRPr="006C2B01">
              <w:rPr>
                <w:rStyle w:val="Hyperlink"/>
                <w:noProof/>
              </w:rPr>
              <w:t>Situation in other jurisdictions</w:t>
            </w:r>
            <w:r w:rsidR="007B1F5E">
              <w:rPr>
                <w:noProof/>
                <w:webHidden/>
              </w:rPr>
              <w:tab/>
            </w:r>
            <w:r w:rsidR="007B1F5E">
              <w:rPr>
                <w:noProof/>
                <w:webHidden/>
              </w:rPr>
              <w:fldChar w:fldCharType="begin"/>
            </w:r>
            <w:r w:rsidR="007B1F5E">
              <w:rPr>
                <w:noProof/>
                <w:webHidden/>
              </w:rPr>
              <w:instrText xml:space="preserve"> PAGEREF _Toc507689358 \h </w:instrText>
            </w:r>
            <w:r w:rsidR="007B1F5E">
              <w:rPr>
                <w:noProof/>
                <w:webHidden/>
              </w:rPr>
            </w:r>
            <w:r w:rsidR="007B1F5E">
              <w:rPr>
                <w:noProof/>
                <w:webHidden/>
              </w:rPr>
              <w:fldChar w:fldCharType="separate"/>
            </w:r>
            <w:r w:rsidR="007B1F5E">
              <w:rPr>
                <w:noProof/>
                <w:webHidden/>
              </w:rPr>
              <w:t>15</w:t>
            </w:r>
            <w:r w:rsidR="007B1F5E">
              <w:rPr>
                <w:noProof/>
                <w:webHidden/>
              </w:rPr>
              <w:fldChar w:fldCharType="end"/>
            </w:r>
          </w:hyperlink>
        </w:p>
        <w:p w14:paraId="2DBC6F62" w14:textId="77777777" w:rsidR="007B1F5E" w:rsidRDefault="0055091E">
          <w:pPr>
            <w:pStyle w:val="TOC2"/>
            <w:tabs>
              <w:tab w:val="left" w:pos="880"/>
              <w:tab w:val="right" w:leader="dot" w:pos="9628"/>
            </w:tabs>
            <w:rPr>
              <w:rFonts w:asciiTheme="minorHAnsi" w:eastAsiaTheme="minorEastAsia" w:hAnsiTheme="minorHAnsi" w:cstheme="minorBidi"/>
              <w:noProof/>
              <w:lang w:eastAsia="en-AU"/>
            </w:rPr>
          </w:pPr>
          <w:hyperlink w:anchor="_Toc507689359" w:history="1">
            <w:r w:rsidR="007B1F5E" w:rsidRPr="006C2B01">
              <w:rPr>
                <w:rStyle w:val="Hyperlink"/>
                <w:noProof/>
              </w:rPr>
              <w:t>2.4</w:t>
            </w:r>
            <w:r w:rsidR="007B1F5E">
              <w:rPr>
                <w:rFonts w:asciiTheme="minorHAnsi" w:eastAsiaTheme="minorEastAsia" w:hAnsiTheme="minorHAnsi" w:cstheme="minorBidi"/>
                <w:noProof/>
                <w:lang w:eastAsia="en-AU"/>
              </w:rPr>
              <w:tab/>
            </w:r>
            <w:r w:rsidR="007B1F5E" w:rsidRPr="006C2B01">
              <w:rPr>
                <w:rStyle w:val="Hyperlink"/>
                <w:noProof/>
              </w:rPr>
              <w:t>Proposed Reform of Territory Laws</w:t>
            </w:r>
            <w:r w:rsidR="007B1F5E">
              <w:rPr>
                <w:noProof/>
                <w:webHidden/>
              </w:rPr>
              <w:tab/>
            </w:r>
            <w:r w:rsidR="007B1F5E">
              <w:rPr>
                <w:noProof/>
                <w:webHidden/>
              </w:rPr>
              <w:fldChar w:fldCharType="begin"/>
            </w:r>
            <w:r w:rsidR="007B1F5E">
              <w:rPr>
                <w:noProof/>
                <w:webHidden/>
              </w:rPr>
              <w:instrText xml:space="preserve"> PAGEREF _Toc507689359 \h </w:instrText>
            </w:r>
            <w:r w:rsidR="007B1F5E">
              <w:rPr>
                <w:noProof/>
                <w:webHidden/>
              </w:rPr>
            </w:r>
            <w:r w:rsidR="007B1F5E">
              <w:rPr>
                <w:noProof/>
                <w:webHidden/>
              </w:rPr>
              <w:fldChar w:fldCharType="separate"/>
            </w:r>
            <w:r w:rsidR="007B1F5E">
              <w:rPr>
                <w:noProof/>
                <w:webHidden/>
              </w:rPr>
              <w:t>16</w:t>
            </w:r>
            <w:r w:rsidR="007B1F5E">
              <w:rPr>
                <w:noProof/>
                <w:webHidden/>
              </w:rPr>
              <w:fldChar w:fldCharType="end"/>
            </w:r>
          </w:hyperlink>
        </w:p>
        <w:p w14:paraId="3109D95F" w14:textId="77777777" w:rsidR="007B1F5E" w:rsidRDefault="0055091E">
          <w:pPr>
            <w:pStyle w:val="TOC2"/>
            <w:tabs>
              <w:tab w:val="left" w:pos="880"/>
              <w:tab w:val="right" w:leader="dot" w:pos="9628"/>
            </w:tabs>
            <w:rPr>
              <w:rFonts w:asciiTheme="minorHAnsi" w:eastAsiaTheme="minorEastAsia" w:hAnsiTheme="minorHAnsi" w:cstheme="minorBidi"/>
              <w:noProof/>
              <w:lang w:eastAsia="en-AU"/>
            </w:rPr>
          </w:pPr>
          <w:hyperlink w:anchor="_Toc507689365" w:history="1">
            <w:r w:rsidR="007B1F5E" w:rsidRPr="006C2B01">
              <w:rPr>
                <w:rStyle w:val="Hyperlink"/>
                <w:noProof/>
              </w:rPr>
              <w:t>2.5</w:t>
            </w:r>
            <w:r w:rsidR="007B1F5E">
              <w:rPr>
                <w:rFonts w:asciiTheme="minorHAnsi" w:eastAsiaTheme="minorEastAsia" w:hAnsiTheme="minorHAnsi" w:cstheme="minorBidi"/>
                <w:noProof/>
                <w:lang w:eastAsia="en-AU"/>
              </w:rPr>
              <w:tab/>
            </w:r>
            <w:r w:rsidR="007B1F5E" w:rsidRPr="006C2B01">
              <w:rPr>
                <w:rStyle w:val="Hyperlink"/>
                <w:noProof/>
              </w:rPr>
              <w:t>Matters requiring further consideration</w:t>
            </w:r>
            <w:r w:rsidR="007B1F5E">
              <w:rPr>
                <w:noProof/>
                <w:webHidden/>
              </w:rPr>
              <w:tab/>
            </w:r>
            <w:r w:rsidR="007B1F5E">
              <w:rPr>
                <w:noProof/>
                <w:webHidden/>
              </w:rPr>
              <w:fldChar w:fldCharType="begin"/>
            </w:r>
            <w:r w:rsidR="007B1F5E">
              <w:rPr>
                <w:noProof/>
                <w:webHidden/>
              </w:rPr>
              <w:instrText xml:space="preserve"> PAGEREF _Toc507689365 \h </w:instrText>
            </w:r>
            <w:r w:rsidR="007B1F5E">
              <w:rPr>
                <w:noProof/>
                <w:webHidden/>
              </w:rPr>
            </w:r>
            <w:r w:rsidR="007B1F5E">
              <w:rPr>
                <w:noProof/>
                <w:webHidden/>
              </w:rPr>
              <w:fldChar w:fldCharType="separate"/>
            </w:r>
            <w:r w:rsidR="007B1F5E">
              <w:rPr>
                <w:noProof/>
                <w:webHidden/>
              </w:rPr>
              <w:t>17</w:t>
            </w:r>
            <w:r w:rsidR="007B1F5E">
              <w:rPr>
                <w:noProof/>
                <w:webHidden/>
              </w:rPr>
              <w:fldChar w:fldCharType="end"/>
            </w:r>
          </w:hyperlink>
        </w:p>
        <w:p w14:paraId="72C5C17A" w14:textId="77777777" w:rsidR="002D6A2C" w:rsidRDefault="002D6A2C" w:rsidP="002D6A2C">
          <w:pPr>
            <w:rPr>
              <w:noProof/>
            </w:rPr>
          </w:pPr>
          <w:r>
            <w:rPr>
              <w:b/>
              <w:bCs/>
              <w:noProof/>
            </w:rPr>
            <w:fldChar w:fldCharType="end"/>
          </w:r>
        </w:p>
      </w:sdtContent>
    </w:sdt>
    <w:p w14:paraId="2CE95452" w14:textId="77777777" w:rsidR="002D6A2C" w:rsidRDefault="002D6A2C" w:rsidP="002437B1"/>
    <w:p w14:paraId="279C5723" w14:textId="77777777" w:rsidR="002D6A2C" w:rsidRDefault="002D6A2C" w:rsidP="002437B1"/>
    <w:p w14:paraId="36082A2E" w14:textId="77777777" w:rsidR="002D6A2C" w:rsidRDefault="002D6A2C" w:rsidP="002437B1"/>
    <w:p w14:paraId="52DEB0CA" w14:textId="77777777" w:rsidR="002D6A2C" w:rsidRDefault="002D6A2C" w:rsidP="002437B1"/>
    <w:p w14:paraId="6F72305D" w14:textId="77777777" w:rsidR="002D6A2C" w:rsidRDefault="002D6A2C" w:rsidP="002437B1"/>
    <w:p w14:paraId="0AB6549A" w14:textId="77777777" w:rsidR="002D6A2C" w:rsidRDefault="002D6A2C" w:rsidP="002437B1"/>
    <w:p w14:paraId="0FD85251" w14:textId="77777777" w:rsidR="002D6A2C" w:rsidRDefault="002D6A2C" w:rsidP="002437B1"/>
    <w:p w14:paraId="78DAB401" w14:textId="77777777" w:rsidR="002D6A2C" w:rsidRDefault="002D6A2C" w:rsidP="002437B1"/>
    <w:p w14:paraId="79388E9C" w14:textId="77777777" w:rsidR="002D6A2C" w:rsidRDefault="002D6A2C" w:rsidP="002437B1"/>
    <w:p w14:paraId="026E6D26" w14:textId="77777777" w:rsidR="002D6A2C" w:rsidRDefault="002D6A2C" w:rsidP="002437B1"/>
    <w:p w14:paraId="431B2436" w14:textId="7E34D124" w:rsidR="00EE23BB" w:rsidRDefault="00EE23BB">
      <w:pPr>
        <w:rPr>
          <w:caps/>
        </w:rPr>
      </w:pPr>
      <w:r>
        <w:rPr>
          <w:caps/>
        </w:rPr>
        <w:br w:type="page"/>
      </w:r>
    </w:p>
    <w:p w14:paraId="42A3986A" w14:textId="77777777" w:rsidR="007441F6" w:rsidRPr="004C40F7" w:rsidRDefault="007441F6" w:rsidP="004C40F7">
      <w:pPr>
        <w:pStyle w:val="Heading1"/>
        <w:keepLines w:val="0"/>
        <w:rPr>
          <w:caps/>
        </w:rPr>
      </w:pPr>
      <w:bookmarkStart w:id="2" w:name="_Toc507689295"/>
      <w:r w:rsidRPr="004C40F7">
        <w:rPr>
          <w:caps/>
        </w:rPr>
        <w:lastRenderedPageBreak/>
        <w:t>Background</w:t>
      </w:r>
      <w:bookmarkEnd w:id="2"/>
    </w:p>
    <w:p w14:paraId="191AE537" w14:textId="4B10CB08" w:rsidR="007441F6" w:rsidRPr="00F14375" w:rsidRDefault="001A5B56" w:rsidP="001728D4">
      <w:pPr>
        <w:jc w:val="both"/>
        <w:rPr>
          <w:rFonts w:cs="Arial"/>
          <w:sz w:val="24"/>
          <w:szCs w:val="24"/>
        </w:rPr>
      </w:pPr>
      <w:r w:rsidRPr="00F14375">
        <w:rPr>
          <w:sz w:val="24"/>
          <w:szCs w:val="24"/>
        </w:rPr>
        <w:t xml:space="preserve">The Royal Commission into </w:t>
      </w:r>
      <w:r w:rsidR="003B4F23" w:rsidRPr="00F14375">
        <w:rPr>
          <w:sz w:val="24"/>
          <w:szCs w:val="24"/>
        </w:rPr>
        <w:t>Institutional</w:t>
      </w:r>
      <w:r w:rsidRPr="00F14375">
        <w:rPr>
          <w:sz w:val="24"/>
          <w:szCs w:val="24"/>
        </w:rPr>
        <w:t xml:space="preserve"> Responses to Child Sexual Abuse (th</w:t>
      </w:r>
      <w:r w:rsidR="001264B9">
        <w:rPr>
          <w:sz w:val="24"/>
          <w:szCs w:val="24"/>
        </w:rPr>
        <w:t>e Royal </w:t>
      </w:r>
      <w:r w:rsidRPr="00F14375">
        <w:rPr>
          <w:sz w:val="24"/>
          <w:szCs w:val="24"/>
        </w:rPr>
        <w:t>Commission) was established by the Commonwealth Government in</w:t>
      </w:r>
      <w:r w:rsidR="001728D4" w:rsidRPr="00F14375">
        <w:rPr>
          <w:sz w:val="24"/>
          <w:szCs w:val="24"/>
        </w:rPr>
        <w:t xml:space="preserve"> January</w:t>
      </w:r>
      <w:r w:rsidR="001264B9">
        <w:rPr>
          <w:sz w:val="24"/>
          <w:szCs w:val="24"/>
        </w:rPr>
        <w:t> </w:t>
      </w:r>
      <w:r w:rsidRPr="00F14375">
        <w:rPr>
          <w:sz w:val="24"/>
          <w:szCs w:val="24"/>
        </w:rPr>
        <w:t>2013</w:t>
      </w:r>
      <w:r w:rsidR="001728D4" w:rsidRPr="00F14375">
        <w:rPr>
          <w:sz w:val="24"/>
          <w:szCs w:val="24"/>
        </w:rPr>
        <w:t xml:space="preserve">. </w:t>
      </w:r>
      <w:r w:rsidR="002D6A2C">
        <w:rPr>
          <w:sz w:val="24"/>
          <w:szCs w:val="24"/>
        </w:rPr>
        <w:t xml:space="preserve"> </w:t>
      </w:r>
      <w:r w:rsidR="001728D4" w:rsidRPr="00F14375">
        <w:rPr>
          <w:rFonts w:cs="Arial"/>
          <w:sz w:val="24"/>
          <w:szCs w:val="24"/>
        </w:rPr>
        <w:t xml:space="preserve">Broadly, its reference </w:t>
      </w:r>
      <w:r w:rsidR="003B7D38">
        <w:rPr>
          <w:rFonts w:cs="Arial"/>
          <w:sz w:val="24"/>
          <w:szCs w:val="24"/>
        </w:rPr>
        <w:t>wa</w:t>
      </w:r>
      <w:r w:rsidR="001728D4" w:rsidRPr="00F14375">
        <w:rPr>
          <w:rFonts w:cs="Arial"/>
          <w:sz w:val="24"/>
          <w:szCs w:val="24"/>
        </w:rPr>
        <w:t xml:space="preserve">s to inquire into how institutions like schools, churches, sports clubs and government organisations (institutions) have responded to allegations and instances of child </w:t>
      </w:r>
      <w:r w:rsidR="001728D4" w:rsidRPr="004F28F3">
        <w:rPr>
          <w:rFonts w:cs="Arial"/>
          <w:sz w:val="24"/>
          <w:szCs w:val="24"/>
        </w:rPr>
        <w:t xml:space="preserve">sexual abuse. </w:t>
      </w:r>
      <w:r w:rsidR="002D6A2C" w:rsidRPr="004F28F3">
        <w:rPr>
          <w:rFonts w:cs="Arial"/>
          <w:sz w:val="24"/>
          <w:szCs w:val="24"/>
        </w:rPr>
        <w:t xml:space="preserve"> </w:t>
      </w:r>
      <w:r w:rsidRPr="004F28F3">
        <w:rPr>
          <w:sz w:val="24"/>
          <w:szCs w:val="24"/>
        </w:rPr>
        <w:t xml:space="preserve">The Royal Commission was directed to focus on systemic issues, informed by individual cases, and make findings and recommendations to better protect children against sexual abuse, and </w:t>
      </w:r>
      <w:r w:rsidR="003B4F23" w:rsidRPr="004F28F3">
        <w:rPr>
          <w:sz w:val="24"/>
          <w:szCs w:val="24"/>
        </w:rPr>
        <w:t>alleviate</w:t>
      </w:r>
      <w:r w:rsidRPr="004F28F3">
        <w:rPr>
          <w:sz w:val="24"/>
          <w:szCs w:val="24"/>
        </w:rPr>
        <w:t xml:space="preserve"> the impact of abuse on children when it occurs.</w:t>
      </w:r>
    </w:p>
    <w:p w14:paraId="37D82621" w14:textId="77777777" w:rsidR="001728D4" w:rsidRDefault="001728D4" w:rsidP="001728D4">
      <w:pPr>
        <w:jc w:val="both"/>
        <w:rPr>
          <w:rFonts w:cs="Arial"/>
          <w:sz w:val="24"/>
          <w:szCs w:val="24"/>
        </w:rPr>
      </w:pPr>
      <w:r w:rsidRPr="00F14375">
        <w:rPr>
          <w:rFonts w:cs="Arial"/>
          <w:sz w:val="24"/>
          <w:szCs w:val="24"/>
        </w:rPr>
        <w:t xml:space="preserve">On 14 September 2015, the Royal Commission released its Report on Redress and Civil Litigation (the Report). The Report made a number of recommendations for reforms to the civil law to make it easier for victims of sexual abuse in the institutional context to sue for damages. </w:t>
      </w:r>
    </w:p>
    <w:p w14:paraId="7E747151" w14:textId="77777777" w:rsidR="000364B1" w:rsidRDefault="00235A8D" w:rsidP="00235A8D">
      <w:pPr>
        <w:rPr>
          <w:sz w:val="24"/>
        </w:rPr>
      </w:pPr>
      <w:r w:rsidRPr="000364B1">
        <w:rPr>
          <w:sz w:val="24"/>
        </w:rPr>
        <w:t>A full copy of the Report ca</w:t>
      </w:r>
      <w:r w:rsidR="000364B1" w:rsidRPr="000364B1">
        <w:rPr>
          <w:sz w:val="24"/>
        </w:rPr>
        <w:t>n</w:t>
      </w:r>
      <w:r w:rsidRPr="000364B1">
        <w:rPr>
          <w:sz w:val="24"/>
        </w:rPr>
        <w:t xml:space="preserve"> be found at:</w:t>
      </w:r>
      <w:r w:rsidR="002D6A2C">
        <w:rPr>
          <w:sz w:val="24"/>
        </w:rPr>
        <w:t xml:space="preserve"> </w:t>
      </w:r>
    </w:p>
    <w:p w14:paraId="5DF06842" w14:textId="78E2FE9D" w:rsidR="00235A8D" w:rsidRDefault="0055091E" w:rsidP="00235A8D">
      <w:pPr>
        <w:rPr>
          <w:sz w:val="24"/>
        </w:rPr>
      </w:pPr>
      <w:hyperlink r:id="rId10" w:history="1">
        <w:r w:rsidR="000364B1" w:rsidRPr="006F2315">
          <w:rPr>
            <w:rStyle w:val="Hyperlink"/>
            <w:sz w:val="24"/>
          </w:rPr>
          <w:t>https://www.childabuseroyalcommission.gov.au/redress-and-civil-litigation</w:t>
        </w:r>
      </w:hyperlink>
      <w:r w:rsidR="002D6A2C">
        <w:rPr>
          <w:sz w:val="24"/>
        </w:rPr>
        <w:t xml:space="preserve"> </w:t>
      </w:r>
    </w:p>
    <w:p w14:paraId="3CFA01A5" w14:textId="77777777" w:rsidR="00297B55" w:rsidRPr="004C40F7" w:rsidRDefault="00297B55" w:rsidP="00297B55">
      <w:pPr>
        <w:pStyle w:val="Heading1"/>
        <w:rPr>
          <w:caps/>
        </w:rPr>
      </w:pPr>
      <w:bookmarkStart w:id="3" w:name="_Toc507689296"/>
      <w:r w:rsidRPr="004C40F7">
        <w:rPr>
          <w:caps/>
        </w:rPr>
        <w:t>Royal Commission Recommendations</w:t>
      </w:r>
      <w:bookmarkEnd w:id="3"/>
    </w:p>
    <w:p w14:paraId="5E1DEE75" w14:textId="0BE9B5FC" w:rsidR="00297B55" w:rsidRDefault="00297B55" w:rsidP="00297B55">
      <w:pPr>
        <w:jc w:val="both"/>
        <w:rPr>
          <w:rFonts w:cs="Arial"/>
          <w:sz w:val="24"/>
          <w:szCs w:val="24"/>
        </w:rPr>
      </w:pPr>
      <w:r w:rsidRPr="00F14375">
        <w:rPr>
          <w:sz w:val="24"/>
          <w:szCs w:val="24"/>
        </w:rPr>
        <w:t xml:space="preserve">The Royal Commission made 99 recommendations </w:t>
      </w:r>
      <w:r w:rsidR="000364B1">
        <w:rPr>
          <w:sz w:val="24"/>
          <w:szCs w:val="24"/>
        </w:rPr>
        <w:t>regarding</w:t>
      </w:r>
      <w:r w:rsidRPr="00F14375">
        <w:rPr>
          <w:sz w:val="24"/>
          <w:szCs w:val="24"/>
        </w:rPr>
        <w:t xml:space="preserve"> the establishment of a redress scheme and civil litigation reform</w:t>
      </w:r>
      <w:r w:rsidR="000364B1">
        <w:rPr>
          <w:sz w:val="24"/>
          <w:szCs w:val="24"/>
        </w:rPr>
        <w:t>s</w:t>
      </w:r>
      <w:r w:rsidRPr="00F14375">
        <w:rPr>
          <w:sz w:val="24"/>
          <w:szCs w:val="24"/>
        </w:rPr>
        <w:t xml:space="preserve">. </w:t>
      </w:r>
      <w:r w:rsidRPr="00F14375">
        <w:rPr>
          <w:rFonts w:cs="Arial"/>
          <w:sz w:val="24"/>
          <w:szCs w:val="24"/>
        </w:rPr>
        <w:t>Recommendations 85</w:t>
      </w:r>
      <w:r w:rsidR="005D0188">
        <w:rPr>
          <w:rFonts w:cs="Arial"/>
          <w:sz w:val="24"/>
          <w:szCs w:val="24"/>
        </w:rPr>
        <w:noBreakHyphen/>
      </w:r>
      <w:r w:rsidRPr="00F14375">
        <w:rPr>
          <w:rFonts w:cs="Arial"/>
          <w:sz w:val="24"/>
          <w:szCs w:val="24"/>
        </w:rPr>
        <w:t xml:space="preserve">99 of the Report proposed reforms to limitation periods </w:t>
      </w:r>
      <w:r w:rsidR="005D0188">
        <w:rPr>
          <w:sz w:val="24"/>
          <w:szCs w:val="24"/>
        </w:rPr>
        <w:t>(85</w:t>
      </w:r>
      <w:r w:rsidR="005D0188">
        <w:rPr>
          <w:sz w:val="24"/>
          <w:szCs w:val="24"/>
        </w:rPr>
        <w:noBreakHyphen/>
      </w:r>
      <w:r w:rsidRPr="00F14375">
        <w:rPr>
          <w:sz w:val="24"/>
          <w:szCs w:val="24"/>
        </w:rPr>
        <w:t>88)</w:t>
      </w:r>
      <w:r w:rsidRPr="00F14375">
        <w:rPr>
          <w:rFonts w:cs="Arial"/>
          <w:sz w:val="24"/>
          <w:szCs w:val="24"/>
        </w:rPr>
        <w:t xml:space="preserve">, the duties and liability of institutions </w:t>
      </w:r>
      <w:r w:rsidR="005D0188">
        <w:rPr>
          <w:sz w:val="24"/>
          <w:szCs w:val="24"/>
        </w:rPr>
        <w:t>(89</w:t>
      </w:r>
      <w:r w:rsidR="005D0188">
        <w:rPr>
          <w:sz w:val="24"/>
          <w:szCs w:val="24"/>
        </w:rPr>
        <w:noBreakHyphen/>
      </w:r>
      <w:r w:rsidRPr="00F14375">
        <w:rPr>
          <w:sz w:val="24"/>
          <w:szCs w:val="24"/>
        </w:rPr>
        <w:t>93),</w:t>
      </w:r>
      <w:r w:rsidRPr="00F14375">
        <w:rPr>
          <w:rFonts w:cs="Arial"/>
          <w:sz w:val="24"/>
          <w:szCs w:val="24"/>
        </w:rPr>
        <w:t xml:space="preserve"> the identification of defendants (94), </w:t>
      </w:r>
      <w:r w:rsidRPr="000364B1">
        <w:rPr>
          <w:rFonts w:cs="Arial"/>
          <w:sz w:val="24"/>
          <w:szCs w:val="24"/>
        </w:rPr>
        <w:t>insurance (95)</w:t>
      </w:r>
      <w:r w:rsidRPr="00F14375">
        <w:rPr>
          <w:rFonts w:cs="Arial"/>
          <w:sz w:val="24"/>
          <w:szCs w:val="24"/>
        </w:rPr>
        <w:t xml:space="preserve"> and model litigant principles (96</w:t>
      </w:r>
      <w:r w:rsidR="005D0188">
        <w:rPr>
          <w:rFonts w:cs="Arial"/>
          <w:sz w:val="24"/>
          <w:szCs w:val="24"/>
        </w:rPr>
        <w:noBreakHyphen/>
      </w:r>
      <w:r w:rsidRPr="00F14375">
        <w:rPr>
          <w:rFonts w:cs="Arial"/>
          <w:sz w:val="24"/>
          <w:szCs w:val="24"/>
        </w:rPr>
        <w:t>99).</w:t>
      </w:r>
    </w:p>
    <w:p w14:paraId="4A34183F" w14:textId="44CCE287" w:rsidR="00297B55" w:rsidRPr="00297B55" w:rsidRDefault="00297B55" w:rsidP="00D0297E">
      <w:pPr>
        <w:autoSpaceDE w:val="0"/>
        <w:autoSpaceDN w:val="0"/>
        <w:adjustRightInd w:val="0"/>
        <w:spacing w:after="120"/>
        <w:jc w:val="both"/>
        <w:rPr>
          <w:rFonts w:cs="Arial"/>
          <w:color w:val="000000"/>
          <w:sz w:val="24"/>
        </w:rPr>
      </w:pPr>
      <w:r w:rsidRPr="00297B55">
        <w:rPr>
          <w:rFonts w:cs="Arial"/>
          <w:color w:val="000000"/>
          <w:sz w:val="24"/>
        </w:rPr>
        <w:t xml:space="preserve">The </w:t>
      </w:r>
      <w:r w:rsidR="00235A8D" w:rsidRPr="00D0297E">
        <w:rPr>
          <w:rFonts w:cs="Arial"/>
          <w:color w:val="000000"/>
          <w:sz w:val="24"/>
        </w:rPr>
        <w:t xml:space="preserve">Northern Territory </w:t>
      </w:r>
      <w:r w:rsidRPr="00297B55">
        <w:rPr>
          <w:rFonts w:cs="Arial"/>
          <w:color w:val="000000"/>
          <w:sz w:val="24"/>
        </w:rPr>
        <w:t>Government has</w:t>
      </w:r>
      <w:r w:rsidR="00235A8D" w:rsidRPr="00D0297E">
        <w:rPr>
          <w:rFonts w:cs="Arial"/>
          <w:color w:val="000000"/>
          <w:sz w:val="24"/>
        </w:rPr>
        <w:t xml:space="preserve"> already</w:t>
      </w:r>
      <w:r w:rsidR="000364B1">
        <w:rPr>
          <w:rFonts w:cs="Arial"/>
          <w:color w:val="000000"/>
          <w:sz w:val="24"/>
        </w:rPr>
        <w:t xml:space="preserve"> addressed the following two areas of reform identified by the Royal Commission</w:t>
      </w:r>
      <w:r w:rsidRPr="00297B55">
        <w:rPr>
          <w:rFonts w:cs="Arial"/>
          <w:color w:val="000000"/>
          <w:sz w:val="24"/>
        </w:rPr>
        <w:t xml:space="preserve">: </w:t>
      </w:r>
    </w:p>
    <w:p w14:paraId="517A978B" w14:textId="6B32A863" w:rsidR="00F93DE1" w:rsidRPr="00F93DE1" w:rsidRDefault="00297B55" w:rsidP="005D0188">
      <w:pPr>
        <w:pStyle w:val="ListParagraph"/>
        <w:numPr>
          <w:ilvl w:val="0"/>
          <w:numId w:val="11"/>
        </w:numPr>
        <w:autoSpaceDE w:val="0"/>
        <w:autoSpaceDN w:val="0"/>
        <w:adjustRightInd w:val="0"/>
        <w:ind w:left="567" w:hanging="567"/>
        <w:jc w:val="both"/>
        <w:rPr>
          <w:rFonts w:cs="Arial"/>
          <w:color w:val="000000"/>
          <w:sz w:val="24"/>
          <w:szCs w:val="24"/>
        </w:rPr>
      </w:pPr>
      <w:r w:rsidRPr="00F93DE1">
        <w:rPr>
          <w:rFonts w:cs="Arial"/>
          <w:color w:val="000000"/>
          <w:sz w:val="24"/>
          <w:szCs w:val="24"/>
        </w:rPr>
        <w:t xml:space="preserve">limitation periods – </w:t>
      </w:r>
      <w:r w:rsidR="00F93DE1">
        <w:rPr>
          <w:rFonts w:cs="Arial"/>
          <w:color w:val="000000"/>
          <w:sz w:val="24"/>
          <w:szCs w:val="24"/>
        </w:rPr>
        <w:t xml:space="preserve">the </w:t>
      </w:r>
      <w:r w:rsidRPr="00F93DE1">
        <w:rPr>
          <w:rFonts w:cs="Arial"/>
          <w:i/>
          <w:color w:val="000000"/>
          <w:sz w:val="24"/>
          <w:szCs w:val="24"/>
        </w:rPr>
        <w:t>Limitation Amendment (Child Abuse) Act 201</w:t>
      </w:r>
      <w:r w:rsidR="00F93DE1" w:rsidRPr="00F93DE1">
        <w:rPr>
          <w:rFonts w:cs="Arial"/>
          <w:i/>
          <w:color w:val="000000"/>
          <w:sz w:val="24"/>
          <w:szCs w:val="24"/>
        </w:rPr>
        <w:t>7</w:t>
      </w:r>
      <w:r w:rsidR="00F93DE1">
        <w:rPr>
          <w:rFonts w:cs="Arial"/>
          <w:color w:val="000000"/>
          <w:sz w:val="24"/>
          <w:szCs w:val="24"/>
        </w:rPr>
        <w:t xml:space="preserve"> was passed in the May 2017 </w:t>
      </w:r>
      <w:r w:rsidR="007D45F9">
        <w:rPr>
          <w:rFonts w:cs="Arial"/>
          <w:color w:val="000000"/>
          <w:sz w:val="24"/>
          <w:szCs w:val="24"/>
        </w:rPr>
        <w:t xml:space="preserve">Sittings </w:t>
      </w:r>
      <w:r w:rsidR="00F93DE1">
        <w:rPr>
          <w:rFonts w:cs="Arial"/>
          <w:color w:val="000000"/>
          <w:sz w:val="24"/>
          <w:szCs w:val="24"/>
        </w:rPr>
        <w:t xml:space="preserve">of the Northern Territory Legislative Assembly and commenced operation </w:t>
      </w:r>
      <w:r w:rsidR="00D0297E" w:rsidRPr="00F93DE1">
        <w:rPr>
          <w:rFonts w:cs="Arial"/>
          <w:color w:val="000000"/>
          <w:sz w:val="24"/>
          <w:szCs w:val="24"/>
        </w:rPr>
        <w:t>on</w:t>
      </w:r>
      <w:r w:rsidR="00F93DE1">
        <w:rPr>
          <w:rFonts w:cs="Arial"/>
          <w:color w:val="000000"/>
          <w:sz w:val="24"/>
          <w:szCs w:val="24"/>
        </w:rPr>
        <w:t xml:space="preserve"> 15 June 2017</w:t>
      </w:r>
      <w:r w:rsidR="00F93DE1" w:rsidRPr="00F93DE1">
        <w:rPr>
          <w:rFonts w:cs="Arial"/>
          <w:color w:val="333333"/>
          <w:sz w:val="24"/>
          <w:szCs w:val="24"/>
          <w:lang w:val="en"/>
        </w:rPr>
        <w:t xml:space="preserve">. </w:t>
      </w:r>
      <w:r w:rsidR="00F93DE1" w:rsidRPr="00F93DE1">
        <w:rPr>
          <w:rFonts w:cs="Arial"/>
          <w:color w:val="000000"/>
          <w:sz w:val="24"/>
          <w:szCs w:val="24"/>
        </w:rPr>
        <w:t>The</w:t>
      </w:r>
      <w:r w:rsidR="000364B1" w:rsidRPr="00F93DE1">
        <w:rPr>
          <w:rFonts w:cs="Arial"/>
          <w:color w:val="000000"/>
          <w:sz w:val="24"/>
          <w:szCs w:val="24"/>
        </w:rPr>
        <w:t xml:space="preserve"> Act </w:t>
      </w:r>
      <w:r w:rsidRPr="00F93DE1">
        <w:rPr>
          <w:rFonts w:cs="Arial"/>
          <w:color w:val="000000"/>
          <w:sz w:val="24"/>
          <w:szCs w:val="24"/>
        </w:rPr>
        <w:t>remove</w:t>
      </w:r>
      <w:r w:rsidR="00D0297E" w:rsidRPr="00F93DE1">
        <w:rPr>
          <w:rFonts w:cs="Arial"/>
          <w:color w:val="000000"/>
          <w:sz w:val="24"/>
          <w:szCs w:val="24"/>
        </w:rPr>
        <w:t>s</w:t>
      </w:r>
      <w:r w:rsidRPr="00F93DE1">
        <w:rPr>
          <w:rFonts w:cs="Arial"/>
          <w:color w:val="000000"/>
          <w:sz w:val="24"/>
          <w:szCs w:val="24"/>
        </w:rPr>
        <w:t xml:space="preserve"> </w:t>
      </w:r>
      <w:r w:rsidR="00F93DE1" w:rsidRPr="00F93DE1">
        <w:rPr>
          <w:rFonts w:cs="Arial"/>
          <w:sz w:val="24"/>
          <w:szCs w:val="24"/>
          <w:lang w:val="en"/>
        </w:rPr>
        <w:t xml:space="preserve">limitation periods contained in the </w:t>
      </w:r>
      <w:r w:rsidR="00F93DE1" w:rsidRPr="00F93DE1">
        <w:rPr>
          <w:rFonts w:cs="Arial"/>
          <w:i/>
          <w:sz w:val="24"/>
          <w:szCs w:val="24"/>
          <w:lang w:val="en"/>
        </w:rPr>
        <w:t>Limitation Act</w:t>
      </w:r>
      <w:r w:rsidR="00F93DE1" w:rsidRPr="00F93DE1">
        <w:rPr>
          <w:rFonts w:cs="Arial"/>
          <w:sz w:val="24"/>
          <w:szCs w:val="24"/>
          <w:lang w:val="en"/>
        </w:rPr>
        <w:t xml:space="preserve"> for claims for personal injury arising out of child abuse,</w:t>
      </w:r>
      <w:r w:rsidR="00F93DE1" w:rsidRPr="00F93DE1">
        <w:rPr>
          <w:rFonts w:cs="Arial"/>
          <w:color w:val="000000"/>
          <w:sz w:val="24"/>
          <w:szCs w:val="24"/>
        </w:rPr>
        <w:t xml:space="preserve"> allowing survivors to bring claims regardless of the date of the alleged abuse.</w:t>
      </w:r>
      <w:r w:rsidR="00F93DE1" w:rsidRPr="00F93DE1">
        <w:rPr>
          <w:rFonts w:cs="Arial"/>
          <w:sz w:val="24"/>
          <w:szCs w:val="24"/>
          <w:lang w:val="en"/>
        </w:rPr>
        <w:t xml:space="preserve">  The Act applies retrospectively.</w:t>
      </w:r>
    </w:p>
    <w:p w14:paraId="43DD5883" w14:textId="1172BC27" w:rsidR="004F28F3" w:rsidRPr="004F28F3" w:rsidRDefault="00D0297E" w:rsidP="007D45F9">
      <w:pPr>
        <w:pStyle w:val="ListParagraph"/>
        <w:numPr>
          <w:ilvl w:val="0"/>
          <w:numId w:val="11"/>
        </w:numPr>
        <w:autoSpaceDE w:val="0"/>
        <w:autoSpaceDN w:val="0"/>
        <w:adjustRightInd w:val="0"/>
        <w:spacing w:after="240"/>
        <w:ind w:left="567" w:hanging="567"/>
        <w:jc w:val="both"/>
        <w:rPr>
          <w:rFonts w:cs="Arial"/>
          <w:color w:val="000000"/>
          <w:sz w:val="24"/>
        </w:rPr>
      </w:pPr>
      <w:r w:rsidRPr="004F28F3">
        <w:rPr>
          <w:rFonts w:cs="Arial"/>
          <w:color w:val="000000"/>
          <w:sz w:val="24"/>
        </w:rPr>
        <w:lastRenderedPageBreak/>
        <w:t xml:space="preserve">Model litigant approaches – </w:t>
      </w:r>
      <w:r w:rsidRPr="004F28F3">
        <w:rPr>
          <w:rFonts w:cs="Arial"/>
          <w:color w:val="000000"/>
          <w:sz w:val="24"/>
          <w:szCs w:val="24"/>
        </w:rPr>
        <w:t xml:space="preserve">in </w:t>
      </w:r>
      <w:r w:rsidR="00405A43" w:rsidRPr="004F28F3">
        <w:rPr>
          <w:rFonts w:cs="Arial"/>
          <w:color w:val="000000"/>
          <w:sz w:val="24"/>
          <w:szCs w:val="24"/>
        </w:rPr>
        <w:t>September 2017</w:t>
      </w:r>
      <w:r w:rsidR="007D45F9">
        <w:rPr>
          <w:rFonts w:cs="Arial"/>
          <w:color w:val="000000"/>
          <w:sz w:val="24"/>
          <w:szCs w:val="24"/>
        </w:rPr>
        <w:t>,</w:t>
      </w:r>
      <w:r w:rsidRPr="004F28F3">
        <w:rPr>
          <w:rFonts w:cs="Arial"/>
          <w:color w:val="000000"/>
          <w:sz w:val="24"/>
          <w:szCs w:val="24"/>
        </w:rPr>
        <w:t xml:space="preserve"> the Northern Territory Government approved a revised Model Litigant Polic</w:t>
      </w:r>
      <w:r w:rsidR="004F28F3" w:rsidRPr="004F28F3">
        <w:rPr>
          <w:rFonts w:cs="Arial"/>
          <w:color w:val="000000"/>
          <w:sz w:val="24"/>
          <w:szCs w:val="24"/>
        </w:rPr>
        <w:t xml:space="preserve">y for the Northern Territory </w:t>
      </w:r>
      <w:r w:rsidR="004F28F3" w:rsidRPr="004F28F3">
        <w:rPr>
          <w:rFonts w:cs="Arial"/>
          <w:sz w:val="24"/>
          <w:szCs w:val="24"/>
        </w:rPr>
        <w:t>incorporating recommendations from the Royal Commission.</w:t>
      </w:r>
      <w:r w:rsidR="004F28F3">
        <w:rPr>
          <w:rStyle w:val="FootnoteReference"/>
          <w:rFonts w:cs="Arial"/>
          <w:sz w:val="24"/>
          <w:szCs w:val="24"/>
        </w:rPr>
        <w:footnoteReference w:id="1"/>
      </w:r>
    </w:p>
    <w:p w14:paraId="7437F180" w14:textId="10B3C100" w:rsidR="00D004A7" w:rsidRPr="00D0297E" w:rsidRDefault="00D004A7" w:rsidP="00D004A7">
      <w:pPr>
        <w:spacing w:after="240"/>
        <w:jc w:val="both"/>
        <w:rPr>
          <w:rFonts w:cs="Arial"/>
          <w:color w:val="000000"/>
          <w:sz w:val="24"/>
        </w:rPr>
      </w:pPr>
      <w:r w:rsidRPr="002F657A">
        <w:rPr>
          <w:rFonts w:cs="Arial"/>
          <w:color w:val="000000"/>
          <w:sz w:val="24"/>
        </w:rPr>
        <w:t>Redress and insurance are currently being considered as a separate package of work by the D</w:t>
      </w:r>
      <w:r w:rsidR="007D45F9">
        <w:rPr>
          <w:rFonts w:cs="Arial"/>
          <w:color w:val="000000"/>
          <w:sz w:val="24"/>
        </w:rPr>
        <w:t>epartment of the Attorney</w:t>
      </w:r>
      <w:r w:rsidR="007D45F9">
        <w:rPr>
          <w:rFonts w:cs="Arial"/>
          <w:color w:val="000000"/>
          <w:sz w:val="24"/>
        </w:rPr>
        <w:noBreakHyphen/>
      </w:r>
      <w:r w:rsidR="002F657A" w:rsidRPr="002F657A">
        <w:rPr>
          <w:rFonts w:cs="Arial"/>
          <w:color w:val="000000"/>
          <w:sz w:val="24"/>
        </w:rPr>
        <w:t xml:space="preserve">General and Justice and the Department of </w:t>
      </w:r>
      <w:r w:rsidR="007D45F9">
        <w:rPr>
          <w:rFonts w:cs="Arial"/>
          <w:color w:val="000000"/>
          <w:sz w:val="24"/>
        </w:rPr>
        <w:t xml:space="preserve">the </w:t>
      </w:r>
      <w:r w:rsidR="002F657A" w:rsidRPr="002F657A">
        <w:rPr>
          <w:rFonts w:cs="Arial"/>
          <w:color w:val="000000"/>
          <w:sz w:val="24"/>
        </w:rPr>
        <w:t>Chief Minister.</w:t>
      </w:r>
    </w:p>
    <w:p w14:paraId="760C248B" w14:textId="52F72F29" w:rsidR="00235A8D" w:rsidRDefault="00297B55" w:rsidP="00D0297E">
      <w:pPr>
        <w:autoSpaceDE w:val="0"/>
        <w:autoSpaceDN w:val="0"/>
        <w:adjustRightInd w:val="0"/>
        <w:spacing w:after="240"/>
        <w:jc w:val="both"/>
        <w:rPr>
          <w:rFonts w:cs="Arial"/>
          <w:color w:val="000000"/>
          <w:sz w:val="24"/>
        </w:rPr>
      </w:pPr>
      <w:r w:rsidRPr="00297B55">
        <w:rPr>
          <w:rFonts w:cs="Arial"/>
          <w:color w:val="000000"/>
          <w:sz w:val="24"/>
        </w:rPr>
        <w:t xml:space="preserve">This </w:t>
      </w:r>
      <w:r w:rsidR="00235A8D" w:rsidRPr="00D0297E">
        <w:rPr>
          <w:rFonts w:cs="Arial"/>
          <w:color w:val="000000"/>
          <w:sz w:val="24"/>
        </w:rPr>
        <w:t xml:space="preserve">Discussion Paper </w:t>
      </w:r>
      <w:r w:rsidR="00D0297E" w:rsidRPr="00D0297E">
        <w:rPr>
          <w:rFonts w:cs="Arial"/>
          <w:color w:val="000000"/>
          <w:sz w:val="24"/>
        </w:rPr>
        <w:t>considers the Royal C</w:t>
      </w:r>
      <w:r w:rsidR="00235A8D" w:rsidRPr="00D0297E">
        <w:rPr>
          <w:rFonts w:cs="Arial"/>
          <w:color w:val="000000"/>
          <w:sz w:val="24"/>
        </w:rPr>
        <w:t>ommission</w:t>
      </w:r>
      <w:r w:rsidR="007D45F9">
        <w:rPr>
          <w:rFonts w:cs="Arial"/>
          <w:color w:val="000000"/>
          <w:sz w:val="24"/>
        </w:rPr>
        <w:t>’</w:t>
      </w:r>
      <w:r w:rsidR="00235A8D" w:rsidRPr="00D0297E">
        <w:rPr>
          <w:rFonts w:cs="Arial"/>
          <w:color w:val="000000"/>
          <w:sz w:val="24"/>
        </w:rPr>
        <w:t xml:space="preserve">s recommendations regarding </w:t>
      </w:r>
      <w:r w:rsidR="00D0297E" w:rsidRPr="00D0297E">
        <w:rPr>
          <w:rFonts w:cs="Arial"/>
          <w:color w:val="000000"/>
          <w:sz w:val="24"/>
        </w:rPr>
        <w:t xml:space="preserve">the duties and liability of institutions and the identification of defendants. </w:t>
      </w:r>
    </w:p>
    <w:p w14:paraId="659E5748" w14:textId="77777777" w:rsidR="0098178C" w:rsidRDefault="0098178C">
      <w:pPr>
        <w:rPr>
          <w:rFonts w:eastAsiaTheme="majorEastAsia" w:cstheme="majorBidi"/>
          <w:b/>
          <w:bCs/>
          <w:kern w:val="32"/>
          <w:sz w:val="32"/>
          <w:szCs w:val="32"/>
        </w:rPr>
      </w:pPr>
      <w:r>
        <w:br w:type="page"/>
      </w:r>
    </w:p>
    <w:p w14:paraId="59BD4061" w14:textId="4E170EC4" w:rsidR="001A5B56" w:rsidRPr="004C40F7" w:rsidRDefault="001A5B56" w:rsidP="001A5B56">
      <w:pPr>
        <w:pStyle w:val="Heading1"/>
        <w:rPr>
          <w:caps/>
        </w:rPr>
      </w:pPr>
      <w:bookmarkStart w:id="4" w:name="_Toc507689297"/>
      <w:r w:rsidRPr="004C40F7">
        <w:rPr>
          <w:caps/>
        </w:rPr>
        <w:lastRenderedPageBreak/>
        <w:t>Purpose</w:t>
      </w:r>
      <w:bookmarkEnd w:id="4"/>
    </w:p>
    <w:p w14:paraId="2C0F88FA" w14:textId="77D251B0" w:rsidR="00C92D57" w:rsidRPr="000F02FF" w:rsidRDefault="00C92D57" w:rsidP="001264B9">
      <w:pPr>
        <w:jc w:val="both"/>
        <w:rPr>
          <w:sz w:val="24"/>
          <w:szCs w:val="24"/>
        </w:rPr>
      </w:pPr>
      <w:r w:rsidRPr="000F02FF">
        <w:rPr>
          <w:sz w:val="24"/>
          <w:szCs w:val="24"/>
        </w:rPr>
        <w:t xml:space="preserve">The purpose of this paper is to seek feedback </w:t>
      </w:r>
      <w:r w:rsidRPr="000F02FF">
        <w:rPr>
          <w:rFonts w:cs="Arial"/>
          <w:color w:val="000000"/>
          <w:sz w:val="24"/>
          <w:szCs w:val="24"/>
        </w:rPr>
        <w:t xml:space="preserve">from survivors of institutional child </w:t>
      </w:r>
      <w:r w:rsidR="000F02FF">
        <w:rPr>
          <w:rFonts w:cs="Arial"/>
          <w:color w:val="000000"/>
          <w:sz w:val="24"/>
          <w:szCs w:val="24"/>
        </w:rPr>
        <w:t xml:space="preserve">sexual </w:t>
      </w:r>
      <w:r w:rsidRPr="000F02FF">
        <w:rPr>
          <w:rFonts w:cs="Arial"/>
          <w:color w:val="000000"/>
          <w:sz w:val="24"/>
          <w:szCs w:val="24"/>
        </w:rPr>
        <w:t xml:space="preserve">abuse, organisations providing services to children, legal professionals, and any other interested members of the public </w:t>
      </w:r>
      <w:r w:rsidR="001264B9" w:rsidRPr="000F02FF">
        <w:rPr>
          <w:rFonts w:cs="Arial"/>
          <w:color w:val="000000"/>
          <w:sz w:val="24"/>
          <w:szCs w:val="24"/>
        </w:rPr>
        <w:t>on proposed</w:t>
      </w:r>
      <w:r w:rsidRPr="000F02FF">
        <w:rPr>
          <w:sz w:val="24"/>
          <w:szCs w:val="24"/>
        </w:rPr>
        <w:t xml:space="preserve"> </w:t>
      </w:r>
      <w:r w:rsidR="004D3144" w:rsidRPr="000F02FF">
        <w:rPr>
          <w:sz w:val="24"/>
          <w:szCs w:val="24"/>
        </w:rPr>
        <w:t xml:space="preserve">options for reforms to </w:t>
      </w:r>
      <w:r w:rsidRPr="000F02FF">
        <w:rPr>
          <w:sz w:val="24"/>
          <w:szCs w:val="24"/>
        </w:rPr>
        <w:t>Territory</w:t>
      </w:r>
      <w:r w:rsidR="001264B9" w:rsidRPr="000F02FF">
        <w:rPr>
          <w:sz w:val="24"/>
          <w:szCs w:val="24"/>
        </w:rPr>
        <w:t xml:space="preserve"> laws</w:t>
      </w:r>
      <w:r w:rsidRPr="000F02FF">
        <w:rPr>
          <w:sz w:val="24"/>
          <w:szCs w:val="24"/>
        </w:rPr>
        <w:t xml:space="preserve"> </w:t>
      </w:r>
      <w:r w:rsidR="000F02FF">
        <w:rPr>
          <w:sz w:val="24"/>
          <w:szCs w:val="24"/>
        </w:rPr>
        <w:t xml:space="preserve">being considered </w:t>
      </w:r>
      <w:r w:rsidR="002751A7" w:rsidRPr="000F02FF">
        <w:rPr>
          <w:sz w:val="24"/>
          <w:szCs w:val="24"/>
        </w:rPr>
        <w:t>by</w:t>
      </w:r>
      <w:r w:rsidR="007D45F9">
        <w:rPr>
          <w:sz w:val="24"/>
          <w:szCs w:val="24"/>
        </w:rPr>
        <w:t xml:space="preserve"> the Department of the Attorney</w:t>
      </w:r>
      <w:r w:rsidR="007D45F9">
        <w:rPr>
          <w:sz w:val="24"/>
          <w:szCs w:val="24"/>
        </w:rPr>
        <w:noBreakHyphen/>
      </w:r>
      <w:r w:rsidR="002751A7" w:rsidRPr="000F02FF">
        <w:rPr>
          <w:sz w:val="24"/>
          <w:szCs w:val="24"/>
        </w:rPr>
        <w:t xml:space="preserve">General and Justice </w:t>
      </w:r>
      <w:r w:rsidR="000F02FF">
        <w:rPr>
          <w:sz w:val="24"/>
          <w:szCs w:val="24"/>
        </w:rPr>
        <w:t>in response to the Royal </w:t>
      </w:r>
      <w:r w:rsidRPr="000F02FF">
        <w:rPr>
          <w:sz w:val="24"/>
          <w:szCs w:val="24"/>
        </w:rPr>
        <w:t>Commission</w:t>
      </w:r>
      <w:r w:rsidR="007D45F9">
        <w:rPr>
          <w:sz w:val="24"/>
          <w:szCs w:val="24"/>
        </w:rPr>
        <w:t>’</w:t>
      </w:r>
      <w:r w:rsidRPr="000F02FF">
        <w:rPr>
          <w:sz w:val="24"/>
          <w:szCs w:val="24"/>
        </w:rPr>
        <w:t>s recommendations regarding the</w:t>
      </w:r>
      <w:r w:rsidRPr="000F02FF">
        <w:rPr>
          <w:rFonts w:cs="Arial"/>
          <w:color w:val="000000"/>
          <w:sz w:val="24"/>
          <w:szCs w:val="24"/>
        </w:rPr>
        <w:t xml:space="preserve"> duties and liability of institutions and the identification of defendants. </w:t>
      </w:r>
    </w:p>
    <w:p w14:paraId="617FEF5E" w14:textId="53A81F39" w:rsidR="00C92D57" w:rsidRPr="001264B9" w:rsidRDefault="001264B9" w:rsidP="00CF0D42">
      <w:pPr>
        <w:autoSpaceDE w:val="0"/>
        <w:autoSpaceDN w:val="0"/>
        <w:adjustRightInd w:val="0"/>
        <w:spacing w:after="240"/>
        <w:jc w:val="both"/>
        <w:rPr>
          <w:rFonts w:cs="Arial"/>
          <w:color w:val="000000"/>
          <w:sz w:val="24"/>
          <w:szCs w:val="24"/>
        </w:rPr>
      </w:pPr>
      <w:r w:rsidRPr="001264B9">
        <w:rPr>
          <w:rFonts w:cs="Arial"/>
          <w:color w:val="000000"/>
          <w:sz w:val="24"/>
          <w:szCs w:val="24"/>
        </w:rPr>
        <w:t xml:space="preserve">In particular, </w:t>
      </w:r>
      <w:r w:rsidR="004D3144" w:rsidRPr="001264B9">
        <w:rPr>
          <w:rFonts w:cs="Arial"/>
          <w:color w:val="000000"/>
          <w:sz w:val="24"/>
          <w:szCs w:val="24"/>
        </w:rPr>
        <w:t xml:space="preserve">this paper seeks </w:t>
      </w:r>
      <w:r w:rsidR="00405A43" w:rsidRPr="001264B9">
        <w:rPr>
          <w:rFonts w:cs="Arial"/>
          <w:color w:val="000000"/>
          <w:sz w:val="24"/>
          <w:szCs w:val="24"/>
        </w:rPr>
        <w:t>stakeholder’s</w:t>
      </w:r>
      <w:r w:rsidR="004D3144" w:rsidRPr="001264B9">
        <w:rPr>
          <w:rFonts w:cs="Arial"/>
          <w:color w:val="000000"/>
          <w:sz w:val="24"/>
          <w:szCs w:val="24"/>
        </w:rPr>
        <w:t xml:space="preserve"> views in relation to</w:t>
      </w:r>
      <w:r w:rsidR="00C92D57" w:rsidRPr="001264B9">
        <w:rPr>
          <w:rFonts w:cs="Arial"/>
          <w:color w:val="000000"/>
          <w:sz w:val="24"/>
          <w:szCs w:val="24"/>
        </w:rPr>
        <w:t xml:space="preserve">: </w:t>
      </w:r>
    </w:p>
    <w:p w14:paraId="47E1F87C" w14:textId="1342D85D" w:rsidR="00C92D57" w:rsidRPr="001264B9" w:rsidRDefault="0024195F" w:rsidP="00CF0D42">
      <w:pPr>
        <w:pStyle w:val="ListParagraph"/>
        <w:numPr>
          <w:ilvl w:val="0"/>
          <w:numId w:val="12"/>
        </w:numPr>
        <w:autoSpaceDE w:val="0"/>
        <w:autoSpaceDN w:val="0"/>
        <w:adjustRightInd w:val="0"/>
        <w:spacing w:after="240"/>
        <w:ind w:left="567" w:hanging="567"/>
        <w:jc w:val="both"/>
        <w:rPr>
          <w:rFonts w:cs="Arial"/>
          <w:color w:val="000000"/>
          <w:sz w:val="24"/>
          <w:szCs w:val="24"/>
        </w:rPr>
      </w:pPr>
      <w:r w:rsidRPr="001264B9">
        <w:rPr>
          <w:rFonts w:cs="Arial"/>
          <w:color w:val="000000"/>
          <w:sz w:val="24"/>
          <w:szCs w:val="24"/>
        </w:rPr>
        <w:t>h</w:t>
      </w:r>
      <w:r w:rsidR="00C92D57" w:rsidRPr="001264B9">
        <w:rPr>
          <w:rFonts w:cs="Arial"/>
          <w:color w:val="000000"/>
          <w:sz w:val="24"/>
          <w:szCs w:val="24"/>
        </w:rPr>
        <w:t xml:space="preserve">ow achievable and effective the proposed reforms would be, and </w:t>
      </w:r>
    </w:p>
    <w:p w14:paraId="1A0083C0" w14:textId="29707DD4" w:rsidR="00C92D57" w:rsidRPr="001264B9" w:rsidRDefault="0024195F" w:rsidP="00CF0D42">
      <w:pPr>
        <w:pStyle w:val="ListParagraph"/>
        <w:numPr>
          <w:ilvl w:val="0"/>
          <w:numId w:val="12"/>
        </w:numPr>
        <w:autoSpaceDE w:val="0"/>
        <w:autoSpaceDN w:val="0"/>
        <w:adjustRightInd w:val="0"/>
        <w:spacing w:after="240"/>
        <w:ind w:left="567" w:hanging="567"/>
        <w:jc w:val="both"/>
        <w:rPr>
          <w:sz w:val="24"/>
          <w:szCs w:val="24"/>
        </w:rPr>
      </w:pPr>
      <w:r w:rsidRPr="001264B9">
        <w:rPr>
          <w:rFonts w:cs="Arial"/>
          <w:color w:val="000000"/>
          <w:sz w:val="24"/>
          <w:szCs w:val="24"/>
        </w:rPr>
        <w:t>t</w:t>
      </w:r>
      <w:r w:rsidR="00C92D57" w:rsidRPr="001264B9">
        <w:rPr>
          <w:rFonts w:cs="Arial"/>
          <w:color w:val="000000"/>
          <w:sz w:val="24"/>
          <w:szCs w:val="24"/>
        </w:rPr>
        <w:t>he potential impact of any changes on survivors of institution</w:t>
      </w:r>
      <w:r w:rsidR="007D45F9">
        <w:rPr>
          <w:rFonts w:cs="Arial"/>
          <w:color w:val="000000"/>
          <w:sz w:val="24"/>
          <w:szCs w:val="24"/>
        </w:rPr>
        <w:t>al child abuse, government, non</w:t>
      </w:r>
      <w:r w:rsidR="007D45F9">
        <w:rPr>
          <w:rFonts w:cs="Arial"/>
          <w:color w:val="000000"/>
          <w:sz w:val="24"/>
          <w:szCs w:val="24"/>
        </w:rPr>
        <w:noBreakHyphen/>
      </w:r>
      <w:r w:rsidR="00C92D57" w:rsidRPr="001264B9">
        <w:rPr>
          <w:rFonts w:cs="Arial"/>
          <w:color w:val="000000"/>
          <w:sz w:val="24"/>
          <w:szCs w:val="24"/>
        </w:rPr>
        <w:t>government organisations (</w:t>
      </w:r>
      <w:r w:rsidR="00C92D57" w:rsidRPr="001264B9">
        <w:rPr>
          <w:rFonts w:cs="Arial"/>
          <w:b/>
          <w:bCs/>
          <w:color w:val="000000"/>
          <w:sz w:val="24"/>
          <w:szCs w:val="24"/>
        </w:rPr>
        <w:t>NGOs</w:t>
      </w:r>
      <w:r w:rsidR="00C92D57" w:rsidRPr="001264B9">
        <w:rPr>
          <w:rFonts w:cs="Arial"/>
          <w:color w:val="000000"/>
          <w:sz w:val="24"/>
          <w:szCs w:val="24"/>
        </w:rPr>
        <w:t>) and the public interest.</w:t>
      </w:r>
    </w:p>
    <w:p w14:paraId="2064294C" w14:textId="04599D5D" w:rsidR="004D3144" w:rsidRDefault="004D3144" w:rsidP="002751A7">
      <w:pPr>
        <w:spacing w:after="0"/>
        <w:jc w:val="both"/>
        <w:rPr>
          <w:rFonts w:cs="Arial"/>
          <w:color w:val="000000"/>
          <w:sz w:val="24"/>
          <w:szCs w:val="24"/>
        </w:rPr>
      </w:pPr>
      <w:r w:rsidRPr="001264B9">
        <w:rPr>
          <w:rFonts w:cs="Arial"/>
          <w:color w:val="000000"/>
          <w:sz w:val="24"/>
          <w:szCs w:val="24"/>
        </w:rPr>
        <w:t xml:space="preserve">The outcomes of this consultation process will assist in the Government’s </w:t>
      </w:r>
      <w:r w:rsidR="00D128CB">
        <w:rPr>
          <w:rFonts w:cs="Arial"/>
          <w:color w:val="000000"/>
          <w:sz w:val="24"/>
          <w:szCs w:val="24"/>
        </w:rPr>
        <w:t>development</w:t>
      </w:r>
      <w:r w:rsidRPr="001264B9">
        <w:rPr>
          <w:rFonts w:cs="Arial"/>
          <w:color w:val="000000"/>
          <w:sz w:val="24"/>
          <w:szCs w:val="24"/>
        </w:rPr>
        <w:t xml:space="preserve"> of the proposed reforms.</w:t>
      </w:r>
    </w:p>
    <w:p w14:paraId="79BE7F33" w14:textId="186457A5" w:rsidR="004D3144" w:rsidRPr="004C40F7" w:rsidRDefault="00C414E5" w:rsidP="003C76A2">
      <w:pPr>
        <w:pStyle w:val="Heading1"/>
        <w:numPr>
          <w:ilvl w:val="0"/>
          <w:numId w:val="19"/>
        </w:numPr>
        <w:rPr>
          <w:caps/>
        </w:rPr>
      </w:pPr>
      <w:bookmarkStart w:id="5" w:name="_Toc507154303"/>
      <w:bookmarkStart w:id="6" w:name="_Toc507161258"/>
      <w:bookmarkStart w:id="7" w:name="_Toc507683848"/>
      <w:bookmarkStart w:id="8" w:name="_Toc507684657"/>
      <w:bookmarkStart w:id="9" w:name="_Toc507689298"/>
      <w:bookmarkStart w:id="10" w:name="_Toc507154304"/>
      <w:bookmarkStart w:id="11" w:name="_Toc507161259"/>
      <w:bookmarkStart w:id="12" w:name="_Toc507683849"/>
      <w:bookmarkStart w:id="13" w:name="_Toc507684658"/>
      <w:bookmarkStart w:id="14" w:name="_Toc507689299"/>
      <w:bookmarkStart w:id="15" w:name="_Toc507154305"/>
      <w:bookmarkStart w:id="16" w:name="_Toc507161260"/>
      <w:bookmarkStart w:id="17" w:name="_Toc507683850"/>
      <w:bookmarkStart w:id="18" w:name="_Toc507684659"/>
      <w:bookmarkStart w:id="19" w:name="_Toc507689300"/>
      <w:bookmarkStart w:id="20" w:name="_Toc507154306"/>
      <w:bookmarkStart w:id="21" w:name="_Toc507161261"/>
      <w:bookmarkStart w:id="22" w:name="_Toc507683851"/>
      <w:bookmarkStart w:id="23" w:name="_Toc507684660"/>
      <w:bookmarkStart w:id="24" w:name="_Toc507689301"/>
      <w:bookmarkStart w:id="25" w:name="_Toc507154307"/>
      <w:bookmarkStart w:id="26" w:name="_Toc507161262"/>
      <w:bookmarkStart w:id="27" w:name="_Toc507683852"/>
      <w:bookmarkStart w:id="28" w:name="_Toc507684661"/>
      <w:bookmarkStart w:id="29" w:name="_Toc507689302"/>
      <w:bookmarkStart w:id="30" w:name="_Toc507154308"/>
      <w:bookmarkStart w:id="31" w:name="_Toc507161263"/>
      <w:bookmarkStart w:id="32" w:name="_Toc507683853"/>
      <w:bookmarkStart w:id="33" w:name="_Toc507684662"/>
      <w:bookmarkStart w:id="34" w:name="_Toc507689303"/>
      <w:bookmarkStart w:id="35" w:name="_Toc507154309"/>
      <w:bookmarkStart w:id="36" w:name="_Toc507161264"/>
      <w:bookmarkStart w:id="37" w:name="_Toc507683854"/>
      <w:bookmarkStart w:id="38" w:name="_Toc507684663"/>
      <w:bookmarkStart w:id="39" w:name="_Toc507689304"/>
      <w:bookmarkStart w:id="40" w:name="_Toc507154310"/>
      <w:bookmarkStart w:id="41" w:name="_Toc507161265"/>
      <w:bookmarkStart w:id="42" w:name="_Toc507683855"/>
      <w:bookmarkStart w:id="43" w:name="_Toc507684664"/>
      <w:bookmarkStart w:id="44" w:name="_Toc507689305"/>
      <w:bookmarkStart w:id="45" w:name="_Toc507154311"/>
      <w:bookmarkStart w:id="46" w:name="_Toc507161266"/>
      <w:bookmarkStart w:id="47" w:name="_Toc507683856"/>
      <w:bookmarkStart w:id="48" w:name="_Toc507684665"/>
      <w:bookmarkStart w:id="49" w:name="_Toc507689306"/>
      <w:bookmarkStart w:id="50" w:name="_Toc507154312"/>
      <w:bookmarkStart w:id="51" w:name="_Toc507161267"/>
      <w:bookmarkStart w:id="52" w:name="_Toc507683857"/>
      <w:bookmarkStart w:id="53" w:name="_Toc507684666"/>
      <w:bookmarkStart w:id="54" w:name="_Toc507689307"/>
      <w:bookmarkStart w:id="55" w:name="_Toc507154313"/>
      <w:bookmarkStart w:id="56" w:name="_Toc507161268"/>
      <w:bookmarkStart w:id="57" w:name="_Toc507683858"/>
      <w:bookmarkStart w:id="58" w:name="_Toc507684667"/>
      <w:bookmarkStart w:id="59" w:name="_Toc507689308"/>
      <w:bookmarkStart w:id="60" w:name="_Toc507154314"/>
      <w:bookmarkStart w:id="61" w:name="_Toc507161269"/>
      <w:bookmarkStart w:id="62" w:name="_Toc507683859"/>
      <w:bookmarkStart w:id="63" w:name="_Toc507684668"/>
      <w:bookmarkStart w:id="64" w:name="_Toc507689309"/>
      <w:bookmarkStart w:id="65" w:name="_Toc507154315"/>
      <w:bookmarkStart w:id="66" w:name="_Toc507161270"/>
      <w:bookmarkStart w:id="67" w:name="_Toc507683860"/>
      <w:bookmarkStart w:id="68" w:name="_Toc507684669"/>
      <w:bookmarkStart w:id="69" w:name="_Toc507689310"/>
      <w:bookmarkStart w:id="70" w:name="_Toc507154316"/>
      <w:bookmarkStart w:id="71" w:name="_Toc507161271"/>
      <w:bookmarkStart w:id="72" w:name="_Toc507683861"/>
      <w:bookmarkStart w:id="73" w:name="_Toc507684670"/>
      <w:bookmarkStart w:id="74" w:name="_Toc507689311"/>
      <w:bookmarkStart w:id="75" w:name="_Toc507154317"/>
      <w:bookmarkStart w:id="76" w:name="_Toc507161272"/>
      <w:bookmarkStart w:id="77" w:name="_Toc507683862"/>
      <w:bookmarkStart w:id="78" w:name="_Toc507684671"/>
      <w:bookmarkStart w:id="79" w:name="_Toc507689312"/>
      <w:bookmarkStart w:id="80" w:name="_Toc507154318"/>
      <w:bookmarkStart w:id="81" w:name="_Toc507161273"/>
      <w:bookmarkStart w:id="82" w:name="_Toc507683863"/>
      <w:bookmarkStart w:id="83" w:name="_Toc507684672"/>
      <w:bookmarkStart w:id="84" w:name="_Toc507689313"/>
      <w:bookmarkStart w:id="85" w:name="_Toc507154319"/>
      <w:bookmarkStart w:id="86" w:name="_Toc507161274"/>
      <w:bookmarkStart w:id="87" w:name="_Toc507683864"/>
      <w:bookmarkStart w:id="88" w:name="_Toc507684673"/>
      <w:bookmarkStart w:id="89" w:name="_Toc507689314"/>
      <w:bookmarkStart w:id="90" w:name="_Toc507154320"/>
      <w:bookmarkStart w:id="91" w:name="_Toc507161275"/>
      <w:bookmarkStart w:id="92" w:name="_Toc507683865"/>
      <w:bookmarkStart w:id="93" w:name="_Toc507684674"/>
      <w:bookmarkStart w:id="94" w:name="_Toc507689315"/>
      <w:bookmarkStart w:id="95" w:name="_Toc507154321"/>
      <w:bookmarkStart w:id="96" w:name="_Toc507161276"/>
      <w:bookmarkStart w:id="97" w:name="_Toc507683866"/>
      <w:bookmarkStart w:id="98" w:name="_Toc507684675"/>
      <w:bookmarkStart w:id="99" w:name="_Toc507689316"/>
      <w:bookmarkStart w:id="100" w:name="_Toc507154322"/>
      <w:bookmarkStart w:id="101" w:name="_Toc507161277"/>
      <w:bookmarkStart w:id="102" w:name="_Toc507683867"/>
      <w:bookmarkStart w:id="103" w:name="_Toc507684676"/>
      <w:bookmarkStart w:id="104" w:name="_Toc507689317"/>
      <w:bookmarkStart w:id="105" w:name="_Toc507154323"/>
      <w:bookmarkStart w:id="106" w:name="_Toc507161278"/>
      <w:bookmarkStart w:id="107" w:name="_Toc507683868"/>
      <w:bookmarkStart w:id="108" w:name="_Toc507684677"/>
      <w:bookmarkStart w:id="109" w:name="_Toc507689318"/>
      <w:bookmarkStart w:id="110" w:name="_Toc507154324"/>
      <w:bookmarkStart w:id="111" w:name="_Toc507161279"/>
      <w:bookmarkStart w:id="112" w:name="_Toc507683869"/>
      <w:bookmarkStart w:id="113" w:name="_Toc507684678"/>
      <w:bookmarkStart w:id="114" w:name="_Toc507689319"/>
      <w:bookmarkStart w:id="115" w:name="_Toc507154325"/>
      <w:bookmarkStart w:id="116" w:name="_Toc507161280"/>
      <w:bookmarkStart w:id="117" w:name="_Toc507683870"/>
      <w:bookmarkStart w:id="118" w:name="_Toc507684679"/>
      <w:bookmarkStart w:id="119" w:name="_Toc507689320"/>
      <w:bookmarkStart w:id="120" w:name="_Toc507154326"/>
      <w:bookmarkStart w:id="121" w:name="_Toc507161281"/>
      <w:bookmarkStart w:id="122" w:name="_Toc507683871"/>
      <w:bookmarkStart w:id="123" w:name="_Toc507684680"/>
      <w:bookmarkStart w:id="124" w:name="_Toc507689321"/>
      <w:bookmarkStart w:id="125" w:name="_Toc507154327"/>
      <w:bookmarkStart w:id="126" w:name="_Toc507161282"/>
      <w:bookmarkStart w:id="127" w:name="_Toc507683872"/>
      <w:bookmarkStart w:id="128" w:name="_Toc507684681"/>
      <w:bookmarkStart w:id="129" w:name="_Toc507689322"/>
      <w:bookmarkStart w:id="130" w:name="_Toc507154328"/>
      <w:bookmarkStart w:id="131" w:name="_Toc507161283"/>
      <w:bookmarkStart w:id="132" w:name="_Toc507683873"/>
      <w:bookmarkStart w:id="133" w:name="_Toc507684682"/>
      <w:bookmarkStart w:id="134" w:name="_Toc507689323"/>
      <w:bookmarkStart w:id="135" w:name="_Toc507154329"/>
      <w:bookmarkStart w:id="136" w:name="_Toc507161284"/>
      <w:bookmarkStart w:id="137" w:name="_Toc507683874"/>
      <w:bookmarkStart w:id="138" w:name="_Toc507684683"/>
      <w:bookmarkStart w:id="139" w:name="_Toc507689324"/>
      <w:bookmarkStart w:id="140" w:name="_Toc507154330"/>
      <w:bookmarkStart w:id="141" w:name="_Toc507161285"/>
      <w:bookmarkStart w:id="142" w:name="_Toc507683875"/>
      <w:bookmarkStart w:id="143" w:name="_Toc507684684"/>
      <w:bookmarkStart w:id="144" w:name="_Toc507689325"/>
      <w:bookmarkStart w:id="145" w:name="_Toc507154331"/>
      <w:bookmarkStart w:id="146" w:name="_Toc507161286"/>
      <w:bookmarkStart w:id="147" w:name="_Toc507683876"/>
      <w:bookmarkStart w:id="148" w:name="_Toc507684685"/>
      <w:bookmarkStart w:id="149" w:name="_Toc507689326"/>
      <w:bookmarkStart w:id="150" w:name="_Toc507154332"/>
      <w:bookmarkStart w:id="151" w:name="_Toc507161287"/>
      <w:bookmarkStart w:id="152" w:name="_Toc507683877"/>
      <w:bookmarkStart w:id="153" w:name="_Toc507684686"/>
      <w:bookmarkStart w:id="154" w:name="_Toc507689327"/>
      <w:bookmarkStart w:id="155" w:name="_Toc507154333"/>
      <w:bookmarkStart w:id="156" w:name="_Toc507161288"/>
      <w:bookmarkStart w:id="157" w:name="_Toc507683878"/>
      <w:bookmarkStart w:id="158" w:name="_Toc507684687"/>
      <w:bookmarkStart w:id="159" w:name="_Toc507689328"/>
      <w:bookmarkStart w:id="160" w:name="_Toc507154334"/>
      <w:bookmarkStart w:id="161" w:name="_Toc507161289"/>
      <w:bookmarkStart w:id="162" w:name="_Toc507683879"/>
      <w:bookmarkStart w:id="163" w:name="_Toc507684688"/>
      <w:bookmarkStart w:id="164" w:name="_Toc507689329"/>
      <w:bookmarkStart w:id="165" w:name="_Toc507154335"/>
      <w:bookmarkStart w:id="166" w:name="_Toc507161290"/>
      <w:bookmarkStart w:id="167" w:name="_Toc507683880"/>
      <w:bookmarkStart w:id="168" w:name="_Toc507684689"/>
      <w:bookmarkStart w:id="169" w:name="_Toc507689330"/>
      <w:bookmarkStart w:id="170" w:name="_Toc507154336"/>
      <w:bookmarkStart w:id="171" w:name="_Toc507161291"/>
      <w:bookmarkStart w:id="172" w:name="_Toc507683881"/>
      <w:bookmarkStart w:id="173" w:name="_Toc507684690"/>
      <w:bookmarkStart w:id="174" w:name="_Toc507689331"/>
      <w:bookmarkStart w:id="175" w:name="_Toc507154337"/>
      <w:bookmarkStart w:id="176" w:name="_Toc507161292"/>
      <w:bookmarkStart w:id="177" w:name="_Toc507683882"/>
      <w:bookmarkStart w:id="178" w:name="_Toc507684691"/>
      <w:bookmarkStart w:id="179" w:name="_Toc5076893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4C40F7">
        <w:rPr>
          <w:caps/>
        </w:rPr>
        <w:tab/>
      </w:r>
      <w:bookmarkStart w:id="180" w:name="_Toc507689333"/>
      <w:r w:rsidR="00476DA2" w:rsidRPr="004C40F7">
        <w:rPr>
          <w:caps/>
        </w:rPr>
        <w:t>Duties and liability</w:t>
      </w:r>
      <w:r w:rsidR="004D3144" w:rsidRPr="004C40F7">
        <w:rPr>
          <w:caps/>
        </w:rPr>
        <w:t xml:space="preserve"> of institutions</w:t>
      </w:r>
      <w:bookmarkEnd w:id="180"/>
      <w:r w:rsidR="004D3144" w:rsidRPr="004C40F7">
        <w:rPr>
          <w:caps/>
        </w:rPr>
        <w:t xml:space="preserve"> </w:t>
      </w:r>
    </w:p>
    <w:p w14:paraId="3A6EBA15" w14:textId="7DE60938" w:rsidR="009E3F76" w:rsidRPr="000F02FF" w:rsidRDefault="002E3610" w:rsidP="004C40F7">
      <w:pPr>
        <w:pStyle w:val="Heading2"/>
        <w:numPr>
          <w:ilvl w:val="1"/>
          <w:numId w:val="45"/>
        </w:numPr>
        <w:rPr>
          <w:color w:val="auto"/>
        </w:rPr>
      </w:pPr>
      <w:bookmarkStart w:id="181" w:name="_Toc507689334"/>
      <w:r w:rsidRPr="000F02FF">
        <w:rPr>
          <w:color w:val="auto"/>
        </w:rPr>
        <w:t>What the Royal Commission considered</w:t>
      </w:r>
      <w:bookmarkEnd w:id="181"/>
    </w:p>
    <w:p w14:paraId="3A5B6937" w14:textId="77B68F1D" w:rsidR="00FB3FD9" w:rsidRPr="003F4F89" w:rsidRDefault="0024195F" w:rsidP="00CF0D42">
      <w:pPr>
        <w:autoSpaceDE w:val="0"/>
        <w:autoSpaceDN w:val="0"/>
        <w:adjustRightInd w:val="0"/>
        <w:spacing w:after="240"/>
        <w:jc w:val="both"/>
        <w:rPr>
          <w:rFonts w:cs="Arial"/>
          <w:color w:val="000000"/>
          <w:sz w:val="24"/>
          <w:szCs w:val="24"/>
        </w:rPr>
      </w:pPr>
      <w:r w:rsidRPr="003F4F89">
        <w:rPr>
          <w:rFonts w:cs="Arial"/>
          <w:color w:val="000000"/>
          <w:sz w:val="24"/>
          <w:szCs w:val="24"/>
        </w:rPr>
        <w:t xml:space="preserve">In the absence of fault on the part of an institution occasioning a breach of a duty of care it owed to a child, there are two ways </w:t>
      </w:r>
      <w:r w:rsidR="00A1107B" w:rsidRPr="003F4F89">
        <w:rPr>
          <w:rFonts w:cs="Arial"/>
          <w:color w:val="000000"/>
          <w:sz w:val="24"/>
          <w:szCs w:val="24"/>
        </w:rPr>
        <w:t>an institution can be found liable</w:t>
      </w:r>
      <w:r w:rsidR="000F0298" w:rsidRPr="003F4F89">
        <w:rPr>
          <w:rFonts w:cs="Arial"/>
          <w:color w:val="000000"/>
          <w:sz w:val="24"/>
          <w:szCs w:val="24"/>
        </w:rPr>
        <w:t xml:space="preserve"> for child abuse</w:t>
      </w:r>
      <w:r w:rsidR="00A1107B" w:rsidRPr="003F4F89">
        <w:rPr>
          <w:rFonts w:cs="Arial"/>
          <w:color w:val="000000"/>
          <w:sz w:val="24"/>
          <w:szCs w:val="24"/>
        </w:rPr>
        <w:t xml:space="preserve">: </w:t>
      </w:r>
    </w:p>
    <w:p w14:paraId="4425CE17" w14:textId="319D42BF" w:rsidR="000F0298" w:rsidRPr="003F4F89" w:rsidRDefault="000F0298" w:rsidP="00CF0D42">
      <w:pPr>
        <w:pStyle w:val="ListParagraph"/>
        <w:numPr>
          <w:ilvl w:val="0"/>
          <w:numId w:val="15"/>
        </w:numPr>
        <w:autoSpaceDE w:val="0"/>
        <w:autoSpaceDN w:val="0"/>
        <w:adjustRightInd w:val="0"/>
        <w:spacing w:after="240"/>
        <w:ind w:left="567" w:hanging="567"/>
        <w:jc w:val="both"/>
        <w:rPr>
          <w:rFonts w:cs="Arial"/>
          <w:color w:val="000000"/>
          <w:sz w:val="24"/>
          <w:szCs w:val="24"/>
        </w:rPr>
      </w:pPr>
      <w:r w:rsidRPr="003F4F89">
        <w:rPr>
          <w:rFonts w:cs="Arial"/>
          <w:color w:val="000000"/>
          <w:sz w:val="24"/>
          <w:szCs w:val="24"/>
        </w:rPr>
        <w:t>being found vicariously liable for the actions of employees and agents who have caused harm to the child;</w:t>
      </w:r>
      <w:r w:rsidR="0024195F" w:rsidRPr="003F4F89">
        <w:rPr>
          <w:rFonts w:cs="Arial"/>
          <w:color w:val="000000"/>
          <w:sz w:val="24"/>
          <w:szCs w:val="24"/>
        </w:rPr>
        <w:t xml:space="preserve"> and</w:t>
      </w:r>
    </w:p>
    <w:p w14:paraId="6359D6A4" w14:textId="1709718F" w:rsidR="000F0298" w:rsidRPr="003F4F89" w:rsidRDefault="000F0298" w:rsidP="007D45F9">
      <w:pPr>
        <w:pStyle w:val="ListParagraph"/>
        <w:numPr>
          <w:ilvl w:val="0"/>
          <w:numId w:val="15"/>
        </w:numPr>
        <w:autoSpaceDE w:val="0"/>
        <w:autoSpaceDN w:val="0"/>
        <w:adjustRightInd w:val="0"/>
        <w:spacing w:after="240"/>
        <w:ind w:left="567" w:hanging="567"/>
        <w:jc w:val="both"/>
        <w:rPr>
          <w:rFonts w:cs="Arial"/>
          <w:color w:val="000000"/>
          <w:sz w:val="24"/>
          <w:szCs w:val="24"/>
        </w:rPr>
      </w:pPr>
      <w:r w:rsidRPr="003F4F89">
        <w:rPr>
          <w:rFonts w:cs="Arial"/>
          <w:color w:val="000000"/>
          <w:sz w:val="24"/>
          <w:szCs w:val="24"/>
        </w:rPr>
        <w:t>an action for breach of non</w:t>
      </w:r>
      <w:r w:rsidR="007D45F9">
        <w:rPr>
          <w:rFonts w:cs="Arial"/>
          <w:color w:val="000000"/>
          <w:sz w:val="24"/>
          <w:szCs w:val="24"/>
        </w:rPr>
        <w:noBreakHyphen/>
      </w:r>
      <w:r w:rsidRPr="003F4F89">
        <w:rPr>
          <w:rFonts w:cs="Arial"/>
          <w:color w:val="000000"/>
          <w:sz w:val="24"/>
          <w:szCs w:val="24"/>
        </w:rPr>
        <w:t>delegable duty of care to ensure</w:t>
      </w:r>
      <w:r w:rsidR="00B96189" w:rsidRPr="003F4F89">
        <w:rPr>
          <w:rFonts w:cs="Arial"/>
          <w:color w:val="000000"/>
          <w:sz w:val="24"/>
          <w:szCs w:val="24"/>
        </w:rPr>
        <w:t xml:space="preserve"> </w:t>
      </w:r>
      <w:r w:rsidRPr="003F4F89">
        <w:rPr>
          <w:rFonts w:cs="Arial"/>
          <w:color w:val="000000"/>
          <w:sz w:val="24"/>
          <w:szCs w:val="24"/>
        </w:rPr>
        <w:t>reasonable care</w:t>
      </w:r>
      <w:r w:rsidR="00B96189" w:rsidRPr="003F4F89">
        <w:rPr>
          <w:rFonts w:cs="Arial"/>
          <w:color w:val="000000"/>
          <w:sz w:val="24"/>
          <w:szCs w:val="24"/>
        </w:rPr>
        <w:t xml:space="preserve"> is taken</w:t>
      </w:r>
      <w:r w:rsidRPr="003F4F89">
        <w:rPr>
          <w:rFonts w:cs="Arial"/>
          <w:color w:val="000000"/>
          <w:sz w:val="24"/>
          <w:szCs w:val="24"/>
        </w:rPr>
        <w:t xml:space="preserve"> to prevent harm </w:t>
      </w:r>
      <w:r w:rsidR="009E3F76" w:rsidRPr="003F4F89">
        <w:rPr>
          <w:rFonts w:cs="Arial"/>
          <w:color w:val="000000"/>
          <w:sz w:val="24"/>
          <w:szCs w:val="24"/>
        </w:rPr>
        <w:t xml:space="preserve">in respect of persons over which the institution has a special protective relationship. </w:t>
      </w:r>
    </w:p>
    <w:p w14:paraId="19A2A933" w14:textId="663A66A0" w:rsidR="00DA447D" w:rsidRPr="003F4F89" w:rsidRDefault="0024195F" w:rsidP="007D45F9">
      <w:pPr>
        <w:autoSpaceDE w:val="0"/>
        <w:autoSpaceDN w:val="0"/>
        <w:adjustRightInd w:val="0"/>
        <w:spacing w:after="240"/>
        <w:jc w:val="both"/>
        <w:rPr>
          <w:rFonts w:cs="Arial"/>
          <w:color w:val="000000"/>
          <w:sz w:val="24"/>
          <w:szCs w:val="24"/>
        </w:rPr>
      </w:pPr>
      <w:r w:rsidRPr="003F4F89">
        <w:rPr>
          <w:rFonts w:cs="Arial"/>
          <w:color w:val="000000"/>
          <w:sz w:val="24"/>
          <w:szCs w:val="24"/>
        </w:rPr>
        <w:t>T</w:t>
      </w:r>
      <w:r w:rsidR="009E3F76" w:rsidRPr="003F4F89">
        <w:rPr>
          <w:rFonts w:cs="Arial"/>
          <w:color w:val="000000"/>
          <w:sz w:val="24"/>
          <w:szCs w:val="24"/>
        </w:rPr>
        <w:t xml:space="preserve">he problem for survivors who sue institutions </w:t>
      </w:r>
      <w:r w:rsidR="00DA447D" w:rsidRPr="003F4F89">
        <w:rPr>
          <w:rFonts w:cs="Arial"/>
          <w:color w:val="000000"/>
          <w:sz w:val="24"/>
          <w:szCs w:val="24"/>
        </w:rPr>
        <w:t xml:space="preserve">(as opposed to the </w:t>
      </w:r>
      <w:r w:rsidR="000F02FF">
        <w:rPr>
          <w:rFonts w:cs="Arial"/>
          <w:color w:val="000000"/>
          <w:sz w:val="24"/>
          <w:szCs w:val="24"/>
        </w:rPr>
        <w:t>perpetrator</w:t>
      </w:r>
      <w:r w:rsidR="00DA447D" w:rsidRPr="003F4F89">
        <w:rPr>
          <w:rFonts w:cs="Arial"/>
          <w:color w:val="000000"/>
          <w:sz w:val="24"/>
          <w:szCs w:val="24"/>
        </w:rPr>
        <w:t xml:space="preserve">) </w:t>
      </w:r>
      <w:r w:rsidR="009E3F76" w:rsidRPr="003F4F89">
        <w:rPr>
          <w:rFonts w:cs="Arial"/>
          <w:color w:val="000000"/>
          <w:sz w:val="24"/>
          <w:szCs w:val="24"/>
        </w:rPr>
        <w:t xml:space="preserve">is that their claims are generally founded upon the deliberate criminal acts of the perpetrator. </w:t>
      </w:r>
      <w:r w:rsidR="00DA447D" w:rsidRPr="003F4F89">
        <w:rPr>
          <w:rFonts w:cs="Arial"/>
          <w:color w:val="000000"/>
          <w:sz w:val="24"/>
          <w:szCs w:val="24"/>
        </w:rPr>
        <w:t xml:space="preserve">Australian courts have been reluctant, in the absence of fault on the </w:t>
      </w:r>
      <w:r w:rsidR="00DA447D" w:rsidRPr="003F4F89">
        <w:rPr>
          <w:rFonts w:cs="Arial"/>
          <w:color w:val="000000"/>
          <w:sz w:val="24"/>
          <w:szCs w:val="24"/>
        </w:rPr>
        <w:lastRenderedPageBreak/>
        <w:t xml:space="preserve">part of the institution, to hold the institution liable to compensate survivors of child sexual abuse for deliberate criminal acts of its members or employees. </w:t>
      </w:r>
    </w:p>
    <w:p w14:paraId="35214245" w14:textId="6229F48D" w:rsidR="00DA447D" w:rsidRPr="00A1107B" w:rsidRDefault="00DA447D" w:rsidP="00CF0D42">
      <w:pPr>
        <w:spacing w:after="240"/>
        <w:jc w:val="both"/>
        <w:rPr>
          <w:sz w:val="24"/>
        </w:rPr>
      </w:pPr>
      <w:r w:rsidRPr="00A1107B">
        <w:rPr>
          <w:sz w:val="24"/>
        </w:rPr>
        <w:t>In</w:t>
      </w:r>
      <w:r w:rsidR="002E3610">
        <w:rPr>
          <w:sz w:val="24"/>
        </w:rPr>
        <w:t xml:space="preserve"> considering how to address these</w:t>
      </w:r>
      <w:r w:rsidRPr="00A1107B">
        <w:rPr>
          <w:sz w:val="24"/>
        </w:rPr>
        <w:t xml:space="preserve"> issue</w:t>
      </w:r>
      <w:r w:rsidR="002E3610">
        <w:rPr>
          <w:sz w:val="24"/>
        </w:rPr>
        <w:t>s</w:t>
      </w:r>
      <w:r w:rsidRPr="00A1107B">
        <w:rPr>
          <w:sz w:val="24"/>
        </w:rPr>
        <w:t>, the Royal Commission reviewed the leading case law in Australia and overseas and, in doing so, identified the following two options for reform:</w:t>
      </w:r>
    </w:p>
    <w:p w14:paraId="57F80EE2" w14:textId="77777777" w:rsidR="00DA447D" w:rsidRPr="003F4F89" w:rsidRDefault="00DA447D" w:rsidP="00CF0D42">
      <w:pPr>
        <w:pStyle w:val="ListParagraph"/>
        <w:numPr>
          <w:ilvl w:val="0"/>
          <w:numId w:val="16"/>
        </w:numPr>
        <w:autoSpaceDE w:val="0"/>
        <w:autoSpaceDN w:val="0"/>
        <w:adjustRightInd w:val="0"/>
        <w:spacing w:after="240"/>
        <w:ind w:left="567" w:hanging="567"/>
        <w:jc w:val="both"/>
        <w:rPr>
          <w:rFonts w:cs="Arial"/>
          <w:color w:val="000000"/>
          <w:sz w:val="24"/>
          <w:szCs w:val="24"/>
        </w:rPr>
      </w:pPr>
      <w:r w:rsidRPr="003F4F89">
        <w:rPr>
          <w:rFonts w:cs="Arial"/>
          <w:color w:val="000000"/>
          <w:sz w:val="24"/>
          <w:szCs w:val="24"/>
        </w:rPr>
        <w:t xml:space="preserve">enact legislation to extend the scope of vicarious liability to encompass independent contractors and intentional and criminal acts; or </w:t>
      </w:r>
    </w:p>
    <w:p w14:paraId="625FC852" w14:textId="79F23323" w:rsidR="00DA447D" w:rsidRPr="003F4F89" w:rsidRDefault="00DA447D" w:rsidP="0065278A">
      <w:pPr>
        <w:pStyle w:val="ListParagraph"/>
        <w:numPr>
          <w:ilvl w:val="0"/>
          <w:numId w:val="16"/>
        </w:numPr>
        <w:autoSpaceDE w:val="0"/>
        <w:autoSpaceDN w:val="0"/>
        <w:adjustRightInd w:val="0"/>
        <w:spacing w:after="240"/>
        <w:ind w:left="567" w:hanging="567"/>
        <w:jc w:val="both"/>
        <w:rPr>
          <w:rFonts w:cs="Arial"/>
          <w:color w:val="000000"/>
          <w:sz w:val="24"/>
          <w:szCs w:val="24"/>
        </w:rPr>
      </w:pPr>
      <w:r w:rsidRPr="003F4F89">
        <w:rPr>
          <w:rFonts w:cs="Arial"/>
          <w:color w:val="000000"/>
          <w:sz w:val="24"/>
          <w:szCs w:val="24"/>
        </w:rPr>
        <w:t>en</w:t>
      </w:r>
      <w:r w:rsidR="0065278A">
        <w:rPr>
          <w:rFonts w:cs="Arial"/>
          <w:color w:val="000000"/>
          <w:sz w:val="24"/>
          <w:szCs w:val="24"/>
        </w:rPr>
        <w:t>act legislation to impose a non</w:t>
      </w:r>
      <w:r w:rsidR="0065278A">
        <w:rPr>
          <w:rFonts w:cs="Arial"/>
          <w:color w:val="000000"/>
          <w:sz w:val="24"/>
          <w:szCs w:val="24"/>
        </w:rPr>
        <w:noBreakHyphen/>
      </w:r>
      <w:r w:rsidRPr="003F4F89">
        <w:rPr>
          <w:rFonts w:cs="Arial"/>
          <w:color w:val="000000"/>
          <w:sz w:val="24"/>
          <w:szCs w:val="24"/>
        </w:rPr>
        <w:t>delegable duty on certain institutions to take reasonable care to prevent the abuse of children under their care, supervision and control, despite it being the deliberate criminal act of a person associated with the institution.</w:t>
      </w:r>
    </w:p>
    <w:p w14:paraId="41E21B1D" w14:textId="1A37099E" w:rsidR="0024195F" w:rsidRPr="00724E3C" w:rsidRDefault="0024195F" w:rsidP="0065278A">
      <w:pPr>
        <w:keepNext/>
        <w:spacing w:after="240"/>
        <w:jc w:val="both"/>
        <w:rPr>
          <w:b/>
          <w:sz w:val="24"/>
        </w:rPr>
      </w:pPr>
      <w:r w:rsidRPr="00724E3C">
        <w:rPr>
          <w:b/>
          <w:sz w:val="24"/>
        </w:rPr>
        <w:t>Vicarious liability</w:t>
      </w:r>
    </w:p>
    <w:p w14:paraId="0F94D1ED" w14:textId="3356FB3C" w:rsidR="00DA447D" w:rsidRPr="00A1107B" w:rsidRDefault="00DA447D" w:rsidP="00DA447D">
      <w:pPr>
        <w:jc w:val="both"/>
        <w:rPr>
          <w:sz w:val="24"/>
        </w:rPr>
      </w:pPr>
      <w:r w:rsidRPr="00A1107B">
        <w:rPr>
          <w:sz w:val="24"/>
        </w:rPr>
        <w:t xml:space="preserve">Vicarious liability is the legal liability of one person for the </w:t>
      </w:r>
      <w:r w:rsidR="0074365C">
        <w:rPr>
          <w:sz w:val="24"/>
        </w:rPr>
        <w:t xml:space="preserve">actions </w:t>
      </w:r>
      <w:r w:rsidRPr="00A1107B">
        <w:rPr>
          <w:sz w:val="24"/>
        </w:rPr>
        <w:t>of an employee, despite the first person being free from fault. Vicarious liability is strict.</w:t>
      </w:r>
    </w:p>
    <w:p w14:paraId="5B46264C" w14:textId="77777777" w:rsidR="00DA447D" w:rsidRPr="00A1107B" w:rsidRDefault="00DA447D" w:rsidP="00DA447D">
      <w:pPr>
        <w:jc w:val="both"/>
        <w:rPr>
          <w:sz w:val="24"/>
        </w:rPr>
      </w:pPr>
      <w:r w:rsidRPr="00A1107B">
        <w:rPr>
          <w:sz w:val="24"/>
        </w:rPr>
        <w:t>However, Australian courts have not generally held institutions vicariously liable for intentional or criminal child abuse perpetrated by their associates. This is for two reasons:</w:t>
      </w:r>
    </w:p>
    <w:p w14:paraId="2D380A1A" w14:textId="196D1DA6" w:rsidR="00DA447D" w:rsidRPr="003F4F89" w:rsidRDefault="000F02FF" w:rsidP="00396B8A">
      <w:pPr>
        <w:pStyle w:val="ListParagraph"/>
        <w:numPr>
          <w:ilvl w:val="0"/>
          <w:numId w:val="17"/>
        </w:numPr>
        <w:autoSpaceDE w:val="0"/>
        <w:autoSpaceDN w:val="0"/>
        <w:adjustRightInd w:val="0"/>
        <w:ind w:left="567" w:hanging="567"/>
        <w:jc w:val="both"/>
        <w:rPr>
          <w:rFonts w:cs="Arial"/>
          <w:color w:val="000000"/>
          <w:sz w:val="24"/>
          <w:szCs w:val="24"/>
        </w:rPr>
      </w:pPr>
      <w:r>
        <w:rPr>
          <w:rFonts w:cs="Arial"/>
          <w:color w:val="000000"/>
          <w:sz w:val="24"/>
          <w:szCs w:val="24"/>
        </w:rPr>
        <w:t>c</w:t>
      </w:r>
      <w:r w:rsidR="00DA447D" w:rsidRPr="003F4F89">
        <w:rPr>
          <w:rFonts w:cs="Arial"/>
          <w:color w:val="000000"/>
          <w:sz w:val="24"/>
          <w:szCs w:val="24"/>
        </w:rPr>
        <w:t>ourts are reluctant to find that vicarious liability exists where no employment or similar relationship exists between the organisation and the perpetrator, as in the case of some religious personnel or independent cont</w:t>
      </w:r>
      <w:r w:rsidR="00396B8A">
        <w:rPr>
          <w:rFonts w:cs="Arial"/>
          <w:color w:val="000000"/>
          <w:sz w:val="24"/>
          <w:szCs w:val="24"/>
        </w:rPr>
        <w:t>r</w:t>
      </w:r>
      <w:r w:rsidR="00DA447D" w:rsidRPr="003F4F89">
        <w:rPr>
          <w:rFonts w:cs="Arial"/>
          <w:color w:val="000000"/>
          <w:sz w:val="24"/>
          <w:szCs w:val="24"/>
        </w:rPr>
        <w:t>actors; and</w:t>
      </w:r>
    </w:p>
    <w:p w14:paraId="59E84EC7" w14:textId="1EBB3ACB" w:rsidR="00DA447D" w:rsidRPr="003F4F89" w:rsidRDefault="000F02FF" w:rsidP="00396B8A">
      <w:pPr>
        <w:pStyle w:val="ListParagraph"/>
        <w:numPr>
          <w:ilvl w:val="0"/>
          <w:numId w:val="17"/>
        </w:numPr>
        <w:autoSpaceDE w:val="0"/>
        <w:autoSpaceDN w:val="0"/>
        <w:adjustRightInd w:val="0"/>
        <w:spacing w:after="240"/>
        <w:ind w:left="567" w:hanging="567"/>
        <w:jc w:val="both"/>
        <w:rPr>
          <w:rFonts w:cs="Arial"/>
          <w:color w:val="000000"/>
          <w:sz w:val="24"/>
          <w:szCs w:val="24"/>
        </w:rPr>
      </w:pPr>
      <w:r>
        <w:rPr>
          <w:rFonts w:cs="Arial"/>
          <w:color w:val="000000"/>
          <w:sz w:val="24"/>
          <w:szCs w:val="24"/>
        </w:rPr>
        <w:t>c</w:t>
      </w:r>
      <w:r w:rsidR="00DA447D" w:rsidRPr="003F4F89">
        <w:rPr>
          <w:rFonts w:cs="Arial"/>
          <w:color w:val="000000"/>
          <w:sz w:val="24"/>
          <w:szCs w:val="24"/>
        </w:rPr>
        <w:t xml:space="preserve">ourts consider criminal child abuse a deliberate </w:t>
      </w:r>
      <w:r>
        <w:rPr>
          <w:rFonts w:cs="Arial"/>
          <w:color w:val="000000"/>
          <w:sz w:val="24"/>
          <w:szCs w:val="24"/>
        </w:rPr>
        <w:t>criminal</w:t>
      </w:r>
      <w:r w:rsidR="00DA447D" w:rsidRPr="003F4F89">
        <w:rPr>
          <w:rFonts w:cs="Arial"/>
          <w:color w:val="000000"/>
          <w:sz w:val="24"/>
          <w:szCs w:val="24"/>
        </w:rPr>
        <w:t xml:space="preserve"> act that cannot be regarded as being undertaken by a person ‘in the course of their employment’.</w:t>
      </w:r>
    </w:p>
    <w:p w14:paraId="25CDF3DF" w14:textId="3C158130" w:rsidR="009901D8" w:rsidRPr="000B7607" w:rsidRDefault="008932C1" w:rsidP="00396B8A">
      <w:pPr>
        <w:autoSpaceDE w:val="0"/>
        <w:autoSpaceDN w:val="0"/>
        <w:adjustRightInd w:val="0"/>
        <w:spacing w:after="240"/>
        <w:jc w:val="both"/>
        <w:rPr>
          <w:rFonts w:cs="Arial"/>
          <w:color w:val="000000"/>
          <w:sz w:val="24"/>
          <w:szCs w:val="24"/>
          <w:highlight w:val="yellow"/>
        </w:rPr>
      </w:pPr>
      <w:r w:rsidRPr="000B7607">
        <w:rPr>
          <w:rFonts w:cs="Arial"/>
          <w:sz w:val="24"/>
          <w:szCs w:val="24"/>
        </w:rPr>
        <w:t xml:space="preserve">At the time the Royal Commission published the Report, the leading authority on these points was the High Court case of </w:t>
      </w:r>
      <w:r w:rsidRPr="00915C93">
        <w:rPr>
          <w:rFonts w:cs="Arial"/>
          <w:i/>
          <w:sz w:val="24"/>
          <w:szCs w:val="24"/>
        </w:rPr>
        <w:t>State of New South Wales v Lepore</w:t>
      </w:r>
      <w:r w:rsidR="008C7AFA">
        <w:rPr>
          <w:rFonts w:cs="Arial"/>
          <w:i/>
          <w:sz w:val="24"/>
          <w:szCs w:val="24"/>
        </w:rPr>
        <w:t xml:space="preserve"> </w:t>
      </w:r>
      <w:r w:rsidR="008C7AFA">
        <w:rPr>
          <w:rFonts w:cs="Arial"/>
          <w:sz w:val="24"/>
          <w:szCs w:val="24"/>
        </w:rPr>
        <w:t>(</w:t>
      </w:r>
      <w:r w:rsidR="008C7AFA">
        <w:rPr>
          <w:rFonts w:cs="Arial"/>
          <w:i/>
          <w:sz w:val="24"/>
          <w:szCs w:val="24"/>
        </w:rPr>
        <w:t>Lepore</w:t>
      </w:r>
      <w:r w:rsidR="008C7AFA" w:rsidRPr="008C7AFA">
        <w:rPr>
          <w:rFonts w:cs="Arial"/>
          <w:sz w:val="24"/>
          <w:szCs w:val="24"/>
        </w:rPr>
        <w:t>)</w:t>
      </w:r>
      <w:r w:rsidRPr="000B7607">
        <w:rPr>
          <w:rFonts w:cs="Arial"/>
          <w:sz w:val="24"/>
          <w:szCs w:val="24"/>
        </w:rPr>
        <w:t>.</w:t>
      </w:r>
      <w:r w:rsidR="00915C93">
        <w:rPr>
          <w:rStyle w:val="FootnoteReference"/>
          <w:rFonts w:cs="Arial"/>
          <w:sz w:val="24"/>
          <w:szCs w:val="24"/>
        </w:rPr>
        <w:footnoteReference w:id="2"/>
      </w:r>
      <w:r w:rsidRPr="000B7607">
        <w:rPr>
          <w:rFonts w:cs="Arial"/>
          <w:sz w:val="24"/>
          <w:szCs w:val="24"/>
        </w:rPr>
        <w:t xml:space="preserve"> In that case, a majority of the High Court was reluctant to conclude that </w:t>
      </w:r>
      <w:r w:rsidRPr="000B7607">
        <w:rPr>
          <w:rFonts w:cs="Arial"/>
          <w:sz w:val="24"/>
          <w:szCs w:val="24"/>
        </w:rPr>
        <w:lastRenderedPageBreak/>
        <w:t xml:space="preserve">an employer could be vicariously liable for </w:t>
      </w:r>
      <w:r w:rsidR="00F23204">
        <w:rPr>
          <w:rFonts w:cs="Arial"/>
          <w:sz w:val="24"/>
          <w:szCs w:val="24"/>
        </w:rPr>
        <w:t xml:space="preserve">the </w:t>
      </w:r>
      <w:r w:rsidRPr="000B7607">
        <w:rPr>
          <w:rFonts w:cs="Arial"/>
          <w:sz w:val="24"/>
          <w:szCs w:val="24"/>
        </w:rPr>
        <w:t>deliberate criminal act</w:t>
      </w:r>
      <w:r w:rsidR="00F23204">
        <w:rPr>
          <w:rFonts w:cs="Arial"/>
          <w:sz w:val="24"/>
          <w:szCs w:val="24"/>
        </w:rPr>
        <w:t>s</w:t>
      </w:r>
      <w:r w:rsidRPr="000B7607">
        <w:rPr>
          <w:rFonts w:cs="Arial"/>
          <w:sz w:val="24"/>
          <w:szCs w:val="24"/>
        </w:rPr>
        <w:t xml:space="preserve"> of an employee. Although</w:t>
      </w:r>
      <w:r w:rsidR="00F23204">
        <w:rPr>
          <w:rFonts w:cs="Arial"/>
          <w:sz w:val="24"/>
          <w:szCs w:val="24"/>
        </w:rPr>
        <w:t xml:space="preserve"> then</w:t>
      </w:r>
      <w:r w:rsidRPr="000B7607">
        <w:rPr>
          <w:rFonts w:cs="Arial"/>
          <w:sz w:val="24"/>
          <w:szCs w:val="24"/>
        </w:rPr>
        <w:t xml:space="preserve"> Chief Justice Gleeson indicated that an employer may be vicariously liable for the acts of an employee, even where there has been serious misconduct, the other judges disagreed. The case failed to provide </w:t>
      </w:r>
      <w:r w:rsidR="00915C93">
        <w:rPr>
          <w:rFonts w:cs="Arial"/>
          <w:sz w:val="24"/>
          <w:szCs w:val="24"/>
        </w:rPr>
        <w:t xml:space="preserve">any </w:t>
      </w:r>
      <w:r w:rsidRPr="000B7607">
        <w:rPr>
          <w:rFonts w:cs="Arial"/>
          <w:sz w:val="24"/>
          <w:szCs w:val="24"/>
        </w:rPr>
        <w:t>clear guidance on the question of when vicarious liability could be established.</w:t>
      </w:r>
    </w:p>
    <w:p w14:paraId="0E22A742" w14:textId="673340E9" w:rsidR="00566AE0" w:rsidRPr="00F23204" w:rsidRDefault="008932C1" w:rsidP="00396B8A">
      <w:pPr>
        <w:autoSpaceDE w:val="0"/>
        <w:autoSpaceDN w:val="0"/>
        <w:adjustRightInd w:val="0"/>
        <w:spacing w:after="240"/>
        <w:jc w:val="both"/>
        <w:rPr>
          <w:rFonts w:cs="Arial"/>
          <w:color w:val="000000"/>
          <w:sz w:val="24"/>
          <w:szCs w:val="24"/>
        </w:rPr>
      </w:pPr>
      <w:r w:rsidRPr="00F23204">
        <w:rPr>
          <w:rFonts w:cs="Arial"/>
          <w:color w:val="000000"/>
          <w:sz w:val="24"/>
          <w:szCs w:val="24"/>
        </w:rPr>
        <w:t>The High Court has since determined</w:t>
      </w:r>
      <w:r w:rsidR="00F23204" w:rsidRPr="00F23204">
        <w:rPr>
          <w:rFonts w:cs="Arial"/>
          <w:color w:val="000000"/>
          <w:sz w:val="24"/>
          <w:szCs w:val="24"/>
        </w:rPr>
        <w:t xml:space="preserve">, in </w:t>
      </w:r>
      <w:r w:rsidR="00F23204" w:rsidRPr="00F23204">
        <w:rPr>
          <w:i/>
          <w:iCs/>
          <w:sz w:val="24"/>
          <w:szCs w:val="24"/>
        </w:rPr>
        <w:t xml:space="preserve">Prince Alfred College Incorporated v ADC </w:t>
      </w:r>
      <w:r w:rsidR="00243EA2">
        <w:rPr>
          <w:iCs/>
          <w:sz w:val="24"/>
          <w:szCs w:val="24"/>
        </w:rPr>
        <w:t>(</w:t>
      </w:r>
      <w:r w:rsidR="00243EA2" w:rsidRPr="00242E7E">
        <w:rPr>
          <w:i/>
          <w:iCs/>
          <w:sz w:val="24"/>
          <w:szCs w:val="24"/>
        </w:rPr>
        <w:t>Prince </w:t>
      </w:r>
      <w:r w:rsidR="00F23204" w:rsidRPr="00242E7E">
        <w:rPr>
          <w:i/>
          <w:iCs/>
          <w:sz w:val="24"/>
          <w:szCs w:val="24"/>
        </w:rPr>
        <w:t>Alfred College</w:t>
      </w:r>
      <w:r w:rsidR="00F23204" w:rsidRPr="00F23204">
        <w:rPr>
          <w:iCs/>
          <w:sz w:val="24"/>
          <w:szCs w:val="24"/>
        </w:rPr>
        <w:t>)</w:t>
      </w:r>
      <w:r w:rsidR="00F23204" w:rsidRPr="00F23204">
        <w:rPr>
          <w:i/>
          <w:iCs/>
          <w:sz w:val="24"/>
          <w:szCs w:val="24"/>
        </w:rPr>
        <w:t>,</w:t>
      </w:r>
      <w:r w:rsidR="00F23204" w:rsidRPr="00F23204">
        <w:rPr>
          <w:rStyle w:val="FootnoteReference"/>
          <w:rFonts w:cs="Arial"/>
          <w:color w:val="000000"/>
          <w:sz w:val="24"/>
          <w:szCs w:val="24"/>
        </w:rPr>
        <w:footnoteReference w:id="3"/>
      </w:r>
      <w:r w:rsidR="00F23204" w:rsidRPr="00F23204">
        <w:rPr>
          <w:i/>
          <w:iCs/>
          <w:sz w:val="24"/>
          <w:szCs w:val="24"/>
        </w:rPr>
        <w:t xml:space="preserve"> </w:t>
      </w:r>
      <w:r w:rsidRPr="00F23204">
        <w:rPr>
          <w:rFonts w:cs="Arial"/>
          <w:color w:val="000000"/>
          <w:sz w:val="24"/>
          <w:szCs w:val="24"/>
        </w:rPr>
        <w:t xml:space="preserve">that institutions </w:t>
      </w:r>
      <w:r w:rsidRPr="00F23204">
        <w:rPr>
          <w:rFonts w:cs="Arial"/>
          <w:i/>
          <w:iCs/>
          <w:color w:val="000000"/>
          <w:sz w:val="24"/>
          <w:szCs w:val="24"/>
        </w:rPr>
        <w:t xml:space="preserve">can </w:t>
      </w:r>
      <w:r w:rsidRPr="00F23204">
        <w:rPr>
          <w:rFonts w:cs="Arial"/>
          <w:color w:val="000000"/>
          <w:sz w:val="24"/>
          <w:szCs w:val="24"/>
        </w:rPr>
        <w:t xml:space="preserve">be vicariously liable for criminal offences committed by employees, provided that the employer provided the </w:t>
      </w:r>
      <w:r w:rsidRPr="00F23204">
        <w:rPr>
          <w:rFonts w:cs="Arial"/>
          <w:i/>
          <w:iCs/>
          <w:color w:val="000000"/>
          <w:sz w:val="24"/>
          <w:szCs w:val="24"/>
        </w:rPr>
        <w:t>occasion for the commission of the wrongful act</w:t>
      </w:r>
      <w:r w:rsidRPr="00F23204">
        <w:rPr>
          <w:rFonts w:cs="Arial"/>
          <w:color w:val="000000"/>
          <w:sz w:val="24"/>
          <w:szCs w:val="24"/>
        </w:rPr>
        <w:t xml:space="preserve">. However, liability remains limited by the fact that employers can only be held vicariously liable for the actions of ‘employees and agents’. As a result, there is still a barrier to claims against priests, volunteers and contractors. The ‘course of employment’ test would also give rise to difficulties in cases where the abuse occurred out of hours or away from </w:t>
      </w:r>
      <w:r w:rsidR="000B7607" w:rsidRPr="00F23204">
        <w:rPr>
          <w:rFonts w:cs="Arial"/>
          <w:color w:val="000000"/>
          <w:sz w:val="24"/>
          <w:szCs w:val="24"/>
        </w:rPr>
        <w:t>institutional premises.</w:t>
      </w:r>
    </w:p>
    <w:p w14:paraId="21C71925" w14:textId="7C280582" w:rsidR="00B96189" w:rsidRPr="00724E3C" w:rsidRDefault="00396B8A" w:rsidP="00CF0D42">
      <w:pPr>
        <w:keepNext/>
        <w:autoSpaceDE w:val="0"/>
        <w:autoSpaceDN w:val="0"/>
        <w:adjustRightInd w:val="0"/>
        <w:spacing w:after="240"/>
        <w:rPr>
          <w:rFonts w:cs="Arial"/>
          <w:b/>
          <w:color w:val="000000"/>
          <w:sz w:val="24"/>
          <w:szCs w:val="24"/>
        </w:rPr>
      </w:pPr>
      <w:r>
        <w:rPr>
          <w:rFonts w:cs="Arial"/>
          <w:b/>
          <w:color w:val="000000"/>
          <w:sz w:val="24"/>
          <w:szCs w:val="24"/>
        </w:rPr>
        <w:t>Non</w:t>
      </w:r>
      <w:r>
        <w:rPr>
          <w:rFonts w:cs="Arial"/>
          <w:b/>
          <w:color w:val="000000"/>
          <w:sz w:val="24"/>
          <w:szCs w:val="24"/>
        </w:rPr>
        <w:noBreakHyphen/>
      </w:r>
      <w:r w:rsidR="0024195F" w:rsidRPr="00724E3C">
        <w:rPr>
          <w:rFonts w:cs="Arial"/>
          <w:b/>
          <w:color w:val="000000"/>
          <w:sz w:val="24"/>
          <w:szCs w:val="24"/>
        </w:rPr>
        <w:t>Delegable Duty of care</w:t>
      </w:r>
    </w:p>
    <w:p w14:paraId="50C9B727" w14:textId="70D7A847" w:rsidR="00480DBD" w:rsidRDefault="00396B8A" w:rsidP="00396B8A">
      <w:pPr>
        <w:spacing w:after="240"/>
        <w:jc w:val="both"/>
        <w:rPr>
          <w:sz w:val="24"/>
        </w:rPr>
      </w:pPr>
      <w:r>
        <w:rPr>
          <w:sz w:val="24"/>
        </w:rPr>
        <w:t>A non</w:t>
      </w:r>
      <w:r>
        <w:rPr>
          <w:sz w:val="24"/>
        </w:rPr>
        <w:noBreakHyphen/>
      </w:r>
      <w:r w:rsidR="00DA447D" w:rsidRPr="00A1107B">
        <w:rPr>
          <w:sz w:val="24"/>
        </w:rPr>
        <w:t>delegable duty of care is a personal duty of care borne by a person or organisation. It imposes an obligation on a person not merely to exercise reasonable care but also, where the performance of that duty is entrusted to another, to ensure that reasonable care is taken by the other</w:t>
      </w:r>
      <w:r w:rsidR="00C117CA">
        <w:rPr>
          <w:sz w:val="24"/>
        </w:rPr>
        <w:t xml:space="preserve"> person</w:t>
      </w:r>
      <w:r w:rsidR="00DA447D" w:rsidRPr="00A1107B">
        <w:rPr>
          <w:sz w:val="24"/>
        </w:rPr>
        <w:t>. Such a duty is normally found to apply where there is a vulnerability with one party such that it gives rise to an imbalance of power between the parties to a relationship, such as: guardian and ward; schools (and teachers) and their students; and hospitals (and doctors) and their patients.</w:t>
      </w:r>
      <w:r w:rsidR="00915C93">
        <w:rPr>
          <w:sz w:val="24"/>
        </w:rPr>
        <w:t xml:space="preserve"> </w:t>
      </w:r>
      <w:r w:rsidR="00DA447D" w:rsidRPr="00A1107B">
        <w:rPr>
          <w:sz w:val="24"/>
        </w:rPr>
        <w:t xml:space="preserve"> </w:t>
      </w:r>
    </w:p>
    <w:p w14:paraId="66BA66A4" w14:textId="254DA455" w:rsidR="00480DBD" w:rsidRDefault="00DA447D" w:rsidP="00396B8A">
      <w:pPr>
        <w:spacing w:after="240"/>
        <w:ind w:right="-1"/>
        <w:jc w:val="both"/>
        <w:rPr>
          <w:rFonts w:cs="Arial"/>
          <w:sz w:val="24"/>
        </w:rPr>
      </w:pPr>
      <w:r w:rsidRPr="00A1107B">
        <w:rPr>
          <w:sz w:val="24"/>
        </w:rPr>
        <w:t>While there is no prohibition on the party who bears the duty entrusting its performance to another, the duty itself, and liability for breach of that duty, cannot be passed on or delegated.</w:t>
      </w:r>
      <w:r w:rsidR="00046F48">
        <w:rPr>
          <w:sz w:val="24"/>
        </w:rPr>
        <w:t xml:space="preserve"> </w:t>
      </w:r>
      <w:r w:rsidR="00480DBD">
        <w:rPr>
          <w:rFonts w:cs="Arial"/>
          <w:sz w:val="24"/>
        </w:rPr>
        <w:t xml:space="preserve">While this is similar to vicarious liability, the difference is that the bearer’s liability arises from failing to discharge its own duty as opposed to assuming liability for the negligence of an employee. A further point of distinction </w:t>
      </w:r>
      <w:r w:rsidR="00480DBD">
        <w:rPr>
          <w:rFonts w:cs="Arial"/>
          <w:sz w:val="24"/>
        </w:rPr>
        <w:lastRenderedPageBreak/>
        <w:t>is that at common law, non</w:t>
      </w:r>
      <w:r w:rsidR="00480DBD">
        <w:rPr>
          <w:rFonts w:cs="Arial"/>
          <w:sz w:val="24"/>
        </w:rPr>
        <w:noBreakHyphen/>
        <w:t>delegable duties of care are not subject to the ‘employment like relationship’ limitation. However, as with vicarious liabili</w:t>
      </w:r>
      <w:r w:rsidR="003C694A">
        <w:rPr>
          <w:rFonts w:cs="Arial"/>
          <w:sz w:val="24"/>
        </w:rPr>
        <w:t>ty, liability in respect of non</w:t>
      </w:r>
      <w:r w:rsidR="003C694A">
        <w:rPr>
          <w:rFonts w:cs="Arial"/>
          <w:sz w:val="24"/>
        </w:rPr>
        <w:noBreakHyphen/>
      </w:r>
      <w:r w:rsidR="00480DBD">
        <w:rPr>
          <w:rFonts w:cs="Arial"/>
          <w:sz w:val="24"/>
        </w:rPr>
        <w:t>delegable duties is strict.</w:t>
      </w:r>
    </w:p>
    <w:p w14:paraId="18E07BAA" w14:textId="7E2C6DC0" w:rsidR="00480DBD" w:rsidRPr="00724E3C" w:rsidRDefault="00480DBD" w:rsidP="00396B8A">
      <w:pPr>
        <w:spacing w:after="240"/>
        <w:ind w:right="-1"/>
        <w:jc w:val="both"/>
        <w:rPr>
          <w:rFonts w:cs="Arial"/>
          <w:sz w:val="24"/>
        </w:rPr>
      </w:pPr>
      <w:r>
        <w:rPr>
          <w:rFonts w:cs="Arial"/>
          <w:sz w:val="24"/>
        </w:rPr>
        <w:t>While non</w:t>
      </w:r>
      <w:r>
        <w:rPr>
          <w:rFonts w:cs="Arial"/>
          <w:sz w:val="24"/>
        </w:rPr>
        <w:noBreakHyphen/>
        <w:t xml:space="preserve">delegable duties apply in respect of acts of negligence, in </w:t>
      </w:r>
      <w:r w:rsidRPr="00480DBD">
        <w:rPr>
          <w:rFonts w:cs="Arial"/>
          <w:i/>
          <w:sz w:val="24"/>
        </w:rPr>
        <w:t>Lepore</w:t>
      </w:r>
      <w:r>
        <w:rPr>
          <w:rFonts w:cs="Arial"/>
          <w:sz w:val="24"/>
        </w:rPr>
        <w:t xml:space="preserve"> the High Court held that a non</w:t>
      </w:r>
      <w:r>
        <w:rPr>
          <w:rFonts w:cs="Arial"/>
          <w:sz w:val="24"/>
        </w:rPr>
        <w:noBreakHyphen/>
        <w:t xml:space="preserve">delegable duty of care does not extend to liability for intentional acts such as criminal child abuse. </w:t>
      </w:r>
      <w:r w:rsidR="008C7AFA">
        <w:rPr>
          <w:rFonts w:cs="Arial"/>
          <w:sz w:val="24"/>
        </w:rPr>
        <w:t>Unlike in relation to vicarious liability, t</w:t>
      </w:r>
      <w:r>
        <w:rPr>
          <w:rFonts w:cs="Arial"/>
          <w:sz w:val="24"/>
        </w:rPr>
        <w:t xml:space="preserve">his position </w:t>
      </w:r>
      <w:r w:rsidR="00F23204">
        <w:rPr>
          <w:rFonts w:cs="Arial"/>
          <w:sz w:val="24"/>
        </w:rPr>
        <w:t xml:space="preserve">has not changed </w:t>
      </w:r>
      <w:r w:rsidR="00724B6D">
        <w:rPr>
          <w:rFonts w:cs="Arial"/>
          <w:sz w:val="24"/>
        </w:rPr>
        <w:t>in relation to the non</w:t>
      </w:r>
      <w:r w:rsidR="00724B6D">
        <w:rPr>
          <w:rFonts w:cs="Arial"/>
          <w:sz w:val="24"/>
        </w:rPr>
        <w:noBreakHyphen/>
      </w:r>
      <w:r w:rsidR="008C7AFA">
        <w:rPr>
          <w:rFonts w:cs="Arial"/>
          <w:sz w:val="24"/>
        </w:rPr>
        <w:t xml:space="preserve">delegable duty of care. </w:t>
      </w:r>
      <w:r w:rsidR="00F23204">
        <w:rPr>
          <w:rFonts w:cs="Arial"/>
          <w:sz w:val="24"/>
        </w:rPr>
        <w:t xml:space="preserve">Although the issue was also raised </w:t>
      </w:r>
      <w:r>
        <w:rPr>
          <w:rFonts w:cs="Arial"/>
          <w:sz w:val="24"/>
        </w:rPr>
        <w:t xml:space="preserve">in </w:t>
      </w:r>
      <w:r w:rsidR="000A3F8C" w:rsidRPr="000A3F8C">
        <w:rPr>
          <w:rFonts w:cs="Arial"/>
          <w:i/>
          <w:sz w:val="24"/>
        </w:rPr>
        <w:t>Prince</w:t>
      </w:r>
      <w:r w:rsidR="008C7AFA">
        <w:rPr>
          <w:rFonts w:cs="Arial"/>
          <w:i/>
          <w:sz w:val="24"/>
        </w:rPr>
        <w:t> </w:t>
      </w:r>
      <w:r w:rsidR="000A3F8C" w:rsidRPr="000A3F8C">
        <w:rPr>
          <w:rFonts w:cs="Arial"/>
          <w:i/>
          <w:sz w:val="24"/>
        </w:rPr>
        <w:t>Alfred</w:t>
      </w:r>
      <w:r w:rsidR="008C7AFA">
        <w:rPr>
          <w:rFonts w:cs="Arial"/>
          <w:i/>
          <w:sz w:val="24"/>
        </w:rPr>
        <w:t> </w:t>
      </w:r>
      <w:r w:rsidR="000A3F8C" w:rsidRPr="000A3F8C">
        <w:rPr>
          <w:rFonts w:cs="Arial"/>
          <w:i/>
          <w:sz w:val="24"/>
        </w:rPr>
        <w:t>College</w:t>
      </w:r>
      <w:r w:rsidR="00F23204">
        <w:rPr>
          <w:rFonts w:cs="Arial"/>
          <w:sz w:val="24"/>
        </w:rPr>
        <w:t>, the High Court considered that the ‘submissions for the respondent do not address the matters required to</w:t>
      </w:r>
      <w:r w:rsidR="008C7AFA">
        <w:rPr>
          <w:rFonts w:cs="Arial"/>
          <w:sz w:val="24"/>
        </w:rPr>
        <w:t xml:space="preserve"> invoke the authority of [the High Court]</w:t>
      </w:r>
      <w:r w:rsidR="00F23204">
        <w:rPr>
          <w:rFonts w:cs="Arial"/>
          <w:sz w:val="24"/>
        </w:rPr>
        <w:t xml:space="preserve"> to reconsider</w:t>
      </w:r>
      <w:r w:rsidR="008C7AFA">
        <w:rPr>
          <w:rFonts w:cs="Arial"/>
          <w:sz w:val="24"/>
        </w:rPr>
        <w:t xml:space="preserve"> a previous decision’, namely </w:t>
      </w:r>
      <w:r w:rsidR="008C7AFA" w:rsidRPr="008C7AFA">
        <w:rPr>
          <w:rFonts w:cs="Arial"/>
          <w:i/>
          <w:sz w:val="24"/>
        </w:rPr>
        <w:t>Lepore</w:t>
      </w:r>
      <w:r w:rsidR="008C7AFA">
        <w:rPr>
          <w:rFonts w:cs="Arial"/>
          <w:sz w:val="24"/>
        </w:rPr>
        <w:t>.</w:t>
      </w:r>
    </w:p>
    <w:p w14:paraId="04F24118" w14:textId="6726F8C7" w:rsidR="002E3610" w:rsidRPr="000F02FF" w:rsidRDefault="00242E7E" w:rsidP="004C40F7">
      <w:pPr>
        <w:pStyle w:val="Heading2"/>
        <w:numPr>
          <w:ilvl w:val="1"/>
          <w:numId w:val="45"/>
        </w:numPr>
        <w:rPr>
          <w:color w:val="auto"/>
        </w:rPr>
      </w:pPr>
      <w:bookmarkStart w:id="182" w:name="_Toc507689335"/>
      <w:r w:rsidRPr="000F02FF">
        <w:rPr>
          <w:color w:val="auto"/>
        </w:rPr>
        <w:t>What the Royal C</w:t>
      </w:r>
      <w:r w:rsidR="002E3610" w:rsidRPr="000F02FF">
        <w:rPr>
          <w:color w:val="auto"/>
        </w:rPr>
        <w:t>ommission recommended</w:t>
      </w:r>
      <w:bookmarkEnd w:id="182"/>
    </w:p>
    <w:p w14:paraId="1D14CD45" w14:textId="598CAFB4" w:rsidR="00DA447D" w:rsidRPr="00724E3C" w:rsidRDefault="00724B6D" w:rsidP="00DA447D">
      <w:pPr>
        <w:jc w:val="both"/>
        <w:rPr>
          <w:b/>
          <w:sz w:val="24"/>
        </w:rPr>
      </w:pPr>
      <w:r>
        <w:rPr>
          <w:b/>
          <w:sz w:val="24"/>
        </w:rPr>
        <w:t>Non</w:t>
      </w:r>
      <w:r>
        <w:rPr>
          <w:b/>
          <w:sz w:val="24"/>
        </w:rPr>
        <w:noBreakHyphen/>
      </w:r>
      <w:r w:rsidR="00DA447D" w:rsidRPr="00724E3C">
        <w:rPr>
          <w:b/>
          <w:sz w:val="24"/>
        </w:rPr>
        <w:t>delegable duty of care</w:t>
      </w:r>
    </w:p>
    <w:p w14:paraId="421384BE" w14:textId="1E87E29E" w:rsidR="00DA447D" w:rsidRPr="003E0A43" w:rsidRDefault="00724E3C" w:rsidP="00DA447D">
      <w:pPr>
        <w:jc w:val="both"/>
        <w:rPr>
          <w:sz w:val="24"/>
        </w:rPr>
      </w:pPr>
      <w:r>
        <w:rPr>
          <w:sz w:val="24"/>
        </w:rPr>
        <w:t>The Royal C</w:t>
      </w:r>
      <w:r w:rsidR="00DA447D" w:rsidRPr="003E0A43">
        <w:rPr>
          <w:sz w:val="24"/>
        </w:rPr>
        <w:t>ommission favoured the impositi</w:t>
      </w:r>
      <w:r w:rsidR="00724B6D">
        <w:rPr>
          <w:sz w:val="24"/>
        </w:rPr>
        <w:t>on, via legislation, of a non</w:t>
      </w:r>
      <w:r w:rsidR="00724B6D">
        <w:rPr>
          <w:sz w:val="24"/>
        </w:rPr>
        <w:noBreakHyphen/>
      </w:r>
      <w:r w:rsidR="00DA447D" w:rsidRPr="003E0A43">
        <w:rPr>
          <w:sz w:val="24"/>
        </w:rPr>
        <w:t>delegable duty o</w:t>
      </w:r>
      <w:r>
        <w:rPr>
          <w:sz w:val="24"/>
        </w:rPr>
        <w:t>f care for all institutional</w:t>
      </w:r>
      <w:r w:rsidR="00DA447D" w:rsidRPr="003E0A43">
        <w:rPr>
          <w:sz w:val="24"/>
        </w:rPr>
        <w:t xml:space="preserve"> child sexual abuse given the level of care, supervision and control that some institutions may have over children. It</w:t>
      </w:r>
      <w:r w:rsidR="00D128CB">
        <w:rPr>
          <w:sz w:val="24"/>
        </w:rPr>
        <w:t xml:space="preserve"> did so on the basis that a non</w:t>
      </w:r>
      <w:r w:rsidR="00D128CB">
        <w:rPr>
          <w:sz w:val="24"/>
        </w:rPr>
        <w:noBreakHyphen/>
      </w:r>
      <w:r w:rsidR="00DA447D" w:rsidRPr="003E0A43">
        <w:rPr>
          <w:sz w:val="24"/>
        </w:rPr>
        <w:t>delegable duty of care represented the imposition of strict liability, that it saw no reason not to extend the strict liability to circumstances involving care and supervision of children and it considered that such an extension would be consistent with decisions of the courts in which strict liability had been recognised.</w:t>
      </w:r>
    </w:p>
    <w:p w14:paraId="01D83B1A" w14:textId="495770B5" w:rsidR="00DA447D" w:rsidRPr="003E0A43" w:rsidRDefault="00DA447D" w:rsidP="00DA447D">
      <w:pPr>
        <w:jc w:val="both"/>
        <w:rPr>
          <w:sz w:val="24"/>
        </w:rPr>
      </w:pPr>
      <w:r w:rsidRPr="003E0A43">
        <w:rPr>
          <w:sz w:val="24"/>
        </w:rPr>
        <w:t>The scope of the Royal Commission</w:t>
      </w:r>
      <w:r w:rsidR="00D128CB">
        <w:rPr>
          <w:sz w:val="24"/>
        </w:rPr>
        <w:t>’</w:t>
      </w:r>
      <w:r w:rsidR="00724B6D">
        <w:rPr>
          <w:sz w:val="24"/>
        </w:rPr>
        <w:t>s preferred non</w:t>
      </w:r>
      <w:r w:rsidR="00724B6D">
        <w:rPr>
          <w:sz w:val="24"/>
        </w:rPr>
        <w:noBreakHyphen/>
      </w:r>
      <w:r w:rsidRPr="003E0A43">
        <w:rPr>
          <w:sz w:val="24"/>
        </w:rPr>
        <w:t>delegable duty is as follows:</w:t>
      </w:r>
    </w:p>
    <w:p w14:paraId="5F601242" w14:textId="650C26CF" w:rsidR="00DA447D" w:rsidRPr="003E0A43" w:rsidRDefault="00243EA2" w:rsidP="00E63EBD">
      <w:pPr>
        <w:pStyle w:val="ListParagraph"/>
        <w:numPr>
          <w:ilvl w:val="0"/>
          <w:numId w:val="13"/>
        </w:numPr>
        <w:ind w:left="426" w:hanging="426"/>
        <w:jc w:val="both"/>
        <w:rPr>
          <w:sz w:val="24"/>
        </w:rPr>
      </w:pPr>
      <w:r w:rsidRPr="003E0A43">
        <w:rPr>
          <w:sz w:val="24"/>
        </w:rPr>
        <w:t>The Royal C</w:t>
      </w:r>
      <w:r w:rsidR="00DA447D" w:rsidRPr="003E0A43">
        <w:rPr>
          <w:sz w:val="24"/>
        </w:rPr>
        <w:t>ommission was concerned not to impose a non</w:t>
      </w:r>
      <w:r w:rsidR="00724B6D">
        <w:rPr>
          <w:sz w:val="24"/>
        </w:rPr>
        <w:noBreakHyphen/>
      </w:r>
      <w:r w:rsidR="00DA447D" w:rsidRPr="003E0A43">
        <w:rPr>
          <w:sz w:val="24"/>
        </w:rPr>
        <w:t>delegable duty (with strict liability) on foster and kinship care services, along wit</w:t>
      </w:r>
      <w:r w:rsidR="00D128CB">
        <w:rPr>
          <w:sz w:val="24"/>
        </w:rPr>
        <w:t>h other community</w:t>
      </w:r>
      <w:r w:rsidR="00724B6D">
        <w:rPr>
          <w:sz w:val="24"/>
        </w:rPr>
        <w:noBreakHyphen/>
      </w:r>
      <w:r w:rsidR="00D128CB">
        <w:rPr>
          <w:sz w:val="24"/>
        </w:rPr>
        <w:t>based and not</w:t>
      </w:r>
      <w:r w:rsidR="00D128CB">
        <w:rPr>
          <w:sz w:val="24"/>
        </w:rPr>
        <w:noBreakHyphen/>
      </w:r>
      <w:r w:rsidR="00DA447D" w:rsidRPr="003E0A43">
        <w:rPr>
          <w:sz w:val="24"/>
        </w:rPr>
        <w:t>for-profit and volunteer organisations that provide children with cultural, sporting and social activities. There was particular concern the risk of liability, or the cost of insuring against it, may force those operators to cease providing services an</w:t>
      </w:r>
      <w:r w:rsidR="00F639EF">
        <w:rPr>
          <w:sz w:val="24"/>
        </w:rPr>
        <w:t>d activities for children. The Royal C</w:t>
      </w:r>
      <w:r w:rsidR="00DA447D" w:rsidRPr="003E0A43">
        <w:rPr>
          <w:sz w:val="24"/>
        </w:rPr>
        <w:t xml:space="preserve">ommission also noted that institutions that arrange foster and kinship care services do not generally have the degree of supervision or control of the foster care or kinship care home environment to </w:t>
      </w:r>
      <w:r w:rsidR="00724B6D">
        <w:rPr>
          <w:sz w:val="24"/>
        </w:rPr>
        <w:t>justify the imposition of a non</w:t>
      </w:r>
      <w:r w:rsidR="00724B6D">
        <w:rPr>
          <w:sz w:val="24"/>
        </w:rPr>
        <w:noBreakHyphen/>
      </w:r>
      <w:r w:rsidR="00DA447D" w:rsidRPr="003E0A43">
        <w:rPr>
          <w:sz w:val="24"/>
        </w:rPr>
        <w:t>delegable duty.</w:t>
      </w:r>
    </w:p>
    <w:p w14:paraId="151D2D17" w14:textId="2AF10896" w:rsidR="00DA447D" w:rsidRPr="003E0A43" w:rsidRDefault="00243EA2" w:rsidP="00E63EBD">
      <w:pPr>
        <w:pStyle w:val="ListParagraph"/>
        <w:numPr>
          <w:ilvl w:val="0"/>
          <w:numId w:val="13"/>
        </w:numPr>
        <w:ind w:left="426" w:hanging="426"/>
        <w:jc w:val="both"/>
        <w:rPr>
          <w:sz w:val="24"/>
        </w:rPr>
      </w:pPr>
      <w:r w:rsidRPr="003E0A43">
        <w:rPr>
          <w:sz w:val="24"/>
        </w:rPr>
        <w:lastRenderedPageBreak/>
        <w:t>The Royal C</w:t>
      </w:r>
      <w:r w:rsidR="00DA447D" w:rsidRPr="003E0A43">
        <w:rPr>
          <w:sz w:val="24"/>
        </w:rPr>
        <w:t>ommission did not expressly suggest the statutory formul</w:t>
      </w:r>
      <w:r w:rsidR="00724B6D">
        <w:rPr>
          <w:sz w:val="24"/>
        </w:rPr>
        <w:t>ation of the content of the non</w:t>
      </w:r>
      <w:r w:rsidR="00724B6D">
        <w:rPr>
          <w:sz w:val="24"/>
        </w:rPr>
        <w:noBreakHyphen/>
      </w:r>
      <w:r w:rsidR="00DA447D" w:rsidRPr="003E0A43">
        <w:rPr>
          <w:sz w:val="24"/>
        </w:rPr>
        <w:t>delegable duty</w:t>
      </w:r>
      <w:r w:rsidR="0074365C">
        <w:rPr>
          <w:sz w:val="24"/>
        </w:rPr>
        <w:t>,</w:t>
      </w:r>
      <w:r w:rsidR="00DA447D" w:rsidRPr="003E0A43">
        <w:rPr>
          <w:sz w:val="24"/>
        </w:rPr>
        <w:t xml:space="preserve"> or</w:t>
      </w:r>
      <w:r w:rsidR="0074365C">
        <w:rPr>
          <w:sz w:val="24"/>
        </w:rPr>
        <w:t>,</w:t>
      </w:r>
      <w:r w:rsidR="00DA447D" w:rsidRPr="003E0A43">
        <w:rPr>
          <w:sz w:val="24"/>
        </w:rPr>
        <w:t xml:space="preserve"> whether it should mirror the common law, other than to suggest that an institution should be liable for damage occasioned by an accident or event that is the result of a failure to exercise reasonable care</w:t>
      </w:r>
      <w:r w:rsidR="0074365C">
        <w:rPr>
          <w:sz w:val="24"/>
        </w:rPr>
        <w:t>. In addition,</w:t>
      </w:r>
      <w:r w:rsidR="00724B6D">
        <w:rPr>
          <w:sz w:val="24"/>
        </w:rPr>
        <w:t xml:space="preserve"> where the duty is non</w:t>
      </w:r>
      <w:r w:rsidR="00724B6D">
        <w:rPr>
          <w:sz w:val="24"/>
        </w:rPr>
        <w:noBreakHyphen/>
      </w:r>
      <w:r w:rsidR="00DA447D" w:rsidRPr="003E0A43">
        <w:rPr>
          <w:sz w:val="24"/>
        </w:rPr>
        <w:t>delegable</w:t>
      </w:r>
      <w:r w:rsidR="00724B6D">
        <w:rPr>
          <w:sz w:val="24"/>
        </w:rPr>
        <w:t>,</w:t>
      </w:r>
      <w:r w:rsidR="00DA447D" w:rsidRPr="003E0A43">
        <w:rPr>
          <w:sz w:val="24"/>
        </w:rPr>
        <w:t xml:space="preserve"> the institution must ensure that reasonable care is taken by those</w:t>
      </w:r>
      <w:r w:rsidR="00724B6D">
        <w:rPr>
          <w:sz w:val="24"/>
        </w:rPr>
        <w:t xml:space="preserve"> to</w:t>
      </w:r>
      <w:r w:rsidR="00DA447D" w:rsidRPr="003E0A43">
        <w:rPr>
          <w:sz w:val="24"/>
        </w:rPr>
        <w:t xml:space="preserve"> whom it entrusts the performance of its duty of care.</w:t>
      </w:r>
    </w:p>
    <w:p w14:paraId="1B57777E" w14:textId="39DB1B9B" w:rsidR="00DA447D" w:rsidRPr="003E0A43" w:rsidRDefault="00724B6D" w:rsidP="00E63EBD">
      <w:pPr>
        <w:pStyle w:val="ListParagraph"/>
        <w:numPr>
          <w:ilvl w:val="0"/>
          <w:numId w:val="13"/>
        </w:numPr>
        <w:ind w:left="426" w:hanging="426"/>
        <w:jc w:val="both"/>
        <w:rPr>
          <w:sz w:val="24"/>
        </w:rPr>
      </w:pPr>
      <w:r>
        <w:rPr>
          <w:sz w:val="24"/>
        </w:rPr>
        <w:t>The non</w:t>
      </w:r>
      <w:r>
        <w:rPr>
          <w:sz w:val="24"/>
        </w:rPr>
        <w:noBreakHyphen/>
      </w:r>
      <w:r w:rsidR="00DA447D" w:rsidRPr="003E0A43">
        <w:rPr>
          <w:sz w:val="24"/>
        </w:rPr>
        <w:t>delegable duty should apply to conduct which constituted deliberate criminal acts of a person associated with the institution.</w:t>
      </w:r>
    </w:p>
    <w:p w14:paraId="058FCFBB" w14:textId="0558217E" w:rsidR="00DA447D" w:rsidRPr="003E0A43" w:rsidRDefault="00243EA2" w:rsidP="00E63EBD">
      <w:pPr>
        <w:pStyle w:val="ListParagraph"/>
        <w:numPr>
          <w:ilvl w:val="0"/>
          <w:numId w:val="13"/>
        </w:numPr>
        <w:ind w:left="426" w:hanging="426"/>
        <w:jc w:val="both"/>
        <w:rPr>
          <w:sz w:val="24"/>
        </w:rPr>
      </w:pPr>
      <w:r w:rsidRPr="003E0A43">
        <w:rPr>
          <w:sz w:val="24"/>
        </w:rPr>
        <w:t>The Royal C</w:t>
      </w:r>
      <w:r w:rsidR="00DA447D" w:rsidRPr="003E0A43">
        <w:rPr>
          <w:sz w:val="24"/>
        </w:rPr>
        <w:t>ommission recognis</w:t>
      </w:r>
      <w:r w:rsidR="00724B6D">
        <w:rPr>
          <w:sz w:val="24"/>
        </w:rPr>
        <w:t>ed that the imposition of a non</w:t>
      </w:r>
      <w:r w:rsidR="00724B6D">
        <w:rPr>
          <w:sz w:val="24"/>
        </w:rPr>
        <w:noBreakHyphen/>
      </w:r>
      <w:r w:rsidR="00DA447D" w:rsidRPr="003E0A43">
        <w:rPr>
          <w:sz w:val="24"/>
        </w:rPr>
        <w:t>delegable duty of care would have the effect of increasing insurance</w:t>
      </w:r>
      <w:r w:rsidRPr="003E0A43">
        <w:rPr>
          <w:sz w:val="24"/>
        </w:rPr>
        <w:t xml:space="preserve"> premiums</w:t>
      </w:r>
      <w:r w:rsidR="00DA447D" w:rsidRPr="003E0A43">
        <w:rPr>
          <w:sz w:val="24"/>
        </w:rPr>
        <w:t>, hence the reason it suggested it not a</w:t>
      </w:r>
      <w:r w:rsidR="00724B6D">
        <w:rPr>
          <w:sz w:val="24"/>
        </w:rPr>
        <w:t>pply to community based not</w:t>
      </w:r>
      <w:r w:rsidR="00724B6D">
        <w:rPr>
          <w:sz w:val="24"/>
        </w:rPr>
        <w:noBreakHyphen/>
        <w:t>for</w:t>
      </w:r>
      <w:r w:rsidR="00724B6D">
        <w:rPr>
          <w:sz w:val="24"/>
        </w:rPr>
        <w:noBreakHyphen/>
      </w:r>
      <w:r w:rsidR="00DA447D" w:rsidRPr="003E0A43">
        <w:rPr>
          <w:sz w:val="24"/>
        </w:rPr>
        <w:t>profit or volunteer organisations that offer opportunities for children to engage in cultural, social and sporting actives.</w:t>
      </w:r>
    </w:p>
    <w:p w14:paraId="7920D9D3" w14:textId="36B99B1B" w:rsidR="00DA447D" w:rsidRDefault="00F639EF" w:rsidP="00E63EBD">
      <w:pPr>
        <w:pStyle w:val="ListParagraph"/>
        <w:numPr>
          <w:ilvl w:val="0"/>
          <w:numId w:val="13"/>
        </w:numPr>
        <w:spacing w:after="240"/>
        <w:ind w:left="426" w:hanging="426"/>
        <w:jc w:val="both"/>
        <w:rPr>
          <w:sz w:val="24"/>
        </w:rPr>
      </w:pPr>
      <w:r>
        <w:rPr>
          <w:sz w:val="24"/>
        </w:rPr>
        <w:t>The Royal C</w:t>
      </w:r>
      <w:r w:rsidR="00DA447D" w:rsidRPr="003E0A43">
        <w:rPr>
          <w:sz w:val="24"/>
        </w:rPr>
        <w:t>ommission also recommended the prospective application of the duty.</w:t>
      </w:r>
    </w:p>
    <w:p w14:paraId="7C5169E3" w14:textId="4AAEE5B4" w:rsidR="00DA447D" w:rsidRPr="00E24E5A" w:rsidRDefault="009365F6" w:rsidP="00CF0D42">
      <w:pPr>
        <w:keepNext/>
        <w:jc w:val="both"/>
        <w:rPr>
          <w:b/>
          <w:sz w:val="24"/>
        </w:rPr>
      </w:pPr>
      <w:r w:rsidRPr="00E24E5A">
        <w:rPr>
          <w:b/>
          <w:sz w:val="24"/>
        </w:rPr>
        <w:t>R</w:t>
      </w:r>
      <w:r w:rsidR="00C117CA" w:rsidRPr="00E24E5A">
        <w:rPr>
          <w:b/>
          <w:sz w:val="24"/>
        </w:rPr>
        <w:t>everse onus duty of care</w:t>
      </w:r>
    </w:p>
    <w:p w14:paraId="5A581B94" w14:textId="6BEF6F4B" w:rsidR="00DA447D" w:rsidRPr="003E0A43" w:rsidRDefault="00DA447D" w:rsidP="00DA447D">
      <w:pPr>
        <w:jc w:val="both"/>
        <w:rPr>
          <w:sz w:val="24"/>
        </w:rPr>
      </w:pPr>
      <w:r w:rsidRPr="003E0A43">
        <w:rPr>
          <w:sz w:val="24"/>
        </w:rPr>
        <w:t>The Royal Commission also recommended that, irrespective of whether states and territories decided to introduce legisl</w:t>
      </w:r>
      <w:r w:rsidR="005B5876">
        <w:rPr>
          <w:sz w:val="24"/>
        </w:rPr>
        <w:t>ation to impose a statutory non</w:t>
      </w:r>
      <w:r w:rsidR="005B5876">
        <w:rPr>
          <w:sz w:val="24"/>
        </w:rPr>
        <w:noBreakHyphen/>
      </w:r>
      <w:r w:rsidRPr="003E0A43">
        <w:rPr>
          <w:sz w:val="24"/>
        </w:rPr>
        <w:t xml:space="preserve">delegable duty of care on certain institutions, legislation should be introduced to make </w:t>
      </w:r>
      <w:r w:rsidRPr="000B1A86">
        <w:rPr>
          <w:sz w:val="24"/>
          <w:u w:val="single"/>
        </w:rPr>
        <w:t>all</w:t>
      </w:r>
      <w:r w:rsidRPr="003E0A43">
        <w:rPr>
          <w:sz w:val="24"/>
        </w:rPr>
        <w:t xml:space="preserve"> institutions liable for child sexual abuse by persons associated with the institutio</w:t>
      </w:r>
      <w:r w:rsidR="00C117CA" w:rsidRPr="003E0A43">
        <w:rPr>
          <w:sz w:val="24"/>
        </w:rPr>
        <w:t>n, unless the institution proves</w:t>
      </w:r>
      <w:r w:rsidRPr="003E0A43">
        <w:rPr>
          <w:sz w:val="24"/>
        </w:rPr>
        <w:t xml:space="preserve"> it took reasonable steps t</w:t>
      </w:r>
      <w:r w:rsidR="00C117CA" w:rsidRPr="003E0A43">
        <w:rPr>
          <w:sz w:val="24"/>
        </w:rPr>
        <w:t>o prevent the abuse. Again the Royal C</w:t>
      </w:r>
      <w:r w:rsidRPr="003E0A43">
        <w:rPr>
          <w:sz w:val="24"/>
        </w:rPr>
        <w:t>ommission recommended that this duty should apply prospectively.</w:t>
      </w:r>
    </w:p>
    <w:p w14:paraId="0126EF2F" w14:textId="245DE178" w:rsidR="00DA447D" w:rsidRPr="003E0A43" w:rsidRDefault="00DA447D" w:rsidP="00DA447D">
      <w:pPr>
        <w:jc w:val="both"/>
        <w:rPr>
          <w:sz w:val="24"/>
        </w:rPr>
      </w:pPr>
      <w:r w:rsidRPr="003E0A43">
        <w:rPr>
          <w:sz w:val="24"/>
        </w:rPr>
        <w:t xml:space="preserve">Although not </w:t>
      </w:r>
      <w:r w:rsidR="00C117CA" w:rsidRPr="003E0A43">
        <w:rPr>
          <w:sz w:val="24"/>
        </w:rPr>
        <w:t>entirely clear, it appears the Royal C</w:t>
      </w:r>
      <w:r w:rsidRPr="003E0A43">
        <w:rPr>
          <w:sz w:val="24"/>
        </w:rPr>
        <w:t>ommission was recommending effectively that the scope of vicarious liability b</w:t>
      </w:r>
      <w:r w:rsidR="00E24E5A">
        <w:rPr>
          <w:sz w:val="24"/>
        </w:rPr>
        <w:t>e</w:t>
      </w:r>
      <w:r w:rsidRPr="003E0A43">
        <w:rPr>
          <w:sz w:val="24"/>
        </w:rPr>
        <w:t xml:space="preserve"> extended to cover an institution’s ‘members and employees’ comprising officers, office holders, employees, agents, volunteers, persons contracted by the institution and priests (and other religious as</w:t>
      </w:r>
      <w:r w:rsidR="00DF08C6">
        <w:rPr>
          <w:sz w:val="24"/>
        </w:rPr>
        <w:t>sociates with the institution).</w:t>
      </w:r>
    </w:p>
    <w:p w14:paraId="4DB29F90" w14:textId="0A73735C" w:rsidR="00DA447D" w:rsidRPr="003E0A43" w:rsidRDefault="00DF08C6" w:rsidP="00DA447D">
      <w:pPr>
        <w:jc w:val="both"/>
        <w:rPr>
          <w:sz w:val="24"/>
        </w:rPr>
      </w:pPr>
      <w:r>
        <w:rPr>
          <w:sz w:val="24"/>
        </w:rPr>
        <w:t>The R</w:t>
      </w:r>
      <w:r w:rsidR="00DA447D" w:rsidRPr="003E0A43">
        <w:rPr>
          <w:sz w:val="24"/>
        </w:rPr>
        <w:t xml:space="preserve">oyal </w:t>
      </w:r>
      <w:r>
        <w:rPr>
          <w:sz w:val="24"/>
        </w:rPr>
        <w:t>C</w:t>
      </w:r>
      <w:r w:rsidR="00DA447D" w:rsidRPr="003E0A43">
        <w:rPr>
          <w:sz w:val="24"/>
        </w:rPr>
        <w:t xml:space="preserve">ommission recognised that the proposed statutory liability may lead to increased insurance premiums for institutions. However, it also noted that it might also engender higher standards of care, governance and risk mitigation </w:t>
      </w:r>
      <w:r w:rsidR="00DA447D" w:rsidRPr="003E0A43">
        <w:rPr>
          <w:sz w:val="24"/>
        </w:rPr>
        <w:lastRenderedPageBreak/>
        <w:t>within those institutions, thereby minimisin</w:t>
      </w:r>
      <w:r>
        <w:rPr>
          <w:sz w:val="24"/>
        </w:rPr>
        <w:t>g the potential for abuse. The Royal C</w:t>
      </w:r>
      <w:r w:rsidR="00DA447D" w:rsidRPr="003E0A43">
        <w:rPr>
          <w:sz w:val="24"/>
        </w:rPr>
        <w:t>ommission also noted that:</w:t>
      </w:r>
    </w:p>
    <w:p w14:paraId="58A027B6" w14:textId="5A1226AC" w:rsidR="00DA447D" w:rsidRPr="003E0A43" w:rsidRDefault="00D128CB" w:rsidP="003C76A2">
      <w:pPr>
        <w:pStyle w:val="ListParagraph"/>
        <w:numPr>
          <w:ilvl w:val="0"/>
          <w:numId w:val="14"/>
        </w:numPr>
        <w:jc w:val="both"/>
        <w:rPr>
          <w:sz w:val="24"/>
        </w:rPr>
      </w:pPr>
      <w:r>
        <w:rPr>
          <w:sz w:val="24"/>
        </w:rPr>
        <w:t>w</w:t>
      </w:r>
      <w:r w:rsidR="00DA447D" w:rsidRPr="003E0A43">
        <w:rPr>
          <w:sz w:val="24"/>
        </w:rPr>
        <w:t>ith the proposed prospective application of the duty, most institutions would be in a position to provide evidence of the steps the institution took to prevent the abuse; and</w:t>
      </w:r>
    </w:p>
    <w:p w14:paraId="1320529A" w14:textId="2D2F0C51" w:rsidR="00DA447D" w:rsidRPr="003E0A43" w:rsidRDefault="00D128CB" w:rsidP="003C76A2">
      <w:pPr>
        <w:pStyle w:val="ListParagraph"/>
        <w:numPr>
          <w:ilvl w:val="0"/>
          <w:numId w:val="14"/>
        </w:numPr>
        <w:spacing w:after="0"/>
        <w:ind w:left="357" w:hanging="357"/>
        <w:jc w:val="both"/>
        <w:rPr>
          <w:sz w:val="24"/>
        </w:rPr>
      </w:pPr>
      <w:r>
        <w:rPr>
          <w:sz w:val="24"/>
        </w:rPr>
        <w:t>t</w:t>
      </w:r>
      <w:r w:rsidR="00DA447D" w:rsidRPr="003E0A43">
        <w:rPr>
          <w:sz w:val="24"/>
        </w:rPr>
        <w:t>he steps that are reasonable for an institution will vary depending on the nature of the institution and the role of the perpetrator within the institution.</w:t>
      </w:r>
    </w:p>
    <w:p w14:paraId="7BEFD925" w14:textId="1CB2E7EE" w:rsidR="00F74EBC" w:rsidRPr="000F02FF" w:rsidRDefault="00F74EBC" w:rsidP="004C40F7">
      <w:pPr>
        <w:pStyle w:val="Heading2"/>
        <w:numPr>
          <w:ilvl w:val="1"/>
          <w:numId w:val="45"/>
        </w:numPr>
        <w:rPr>
          <w:color w:val="auto"/>
        </w:rPr>
      </w:pPr>
      <w:bookmarkStart w:id="183" w:name="_Toc507689336"/>
      <w:r w:rsidRPr="000F02FF">
        <w:rPr>
          <w:color w:val="auto"/>
        </w:rPr>
        <w:t>Reforms in other jurisdictions</w:t>
      </w:r>
      <w:bookmarkEnd w:id="183"/>
    </w:p>
    <w:p w14:paraId="6EABAEAE" w14:textId="3A0668FB" w:rsidR="002B2705" w:rsidRPr="00DF08C6" w:rsidRDefault="002B2705" w:rsidP="005B5876">
      <w:pPr>
        <w:pStyle w:val="Default"/>
        <w:keepNext/>
        <w:spacing w:after="240"/>
        <w:rPr>
          <w:b/>
        </w:rPr>
      </w:pPr>
      <w:r w:rsidRPr="00DF08C6">
        <w:rPr>
          <w:b/>
        </w:rPr>
        <w:t>Victoria</w:t>
      </w:r>
    </w:p>
    <w:p w14:paraId="7A02AF9B" w14:textId="04D68D85" w:rsidR="00F74EBC" w:rsidRDefault="00416F6D" w:rsidP="005B5876">
      <w:pPr>
        <w:pStyle w:val="Default"/>
        <w:spacing w:after="240"/>
        <w:jc w:val="both"/>
      </w:pPr>
      <w:r>
        <w:t>Victoria was</w:t>
      </w:r>
      <w:r w:rsidR="00F74EBC">
        <w:t xml:space="preserve"> the </w:t>
      </w:r>
      <w:r>
        <w:t>first</w:t>
      </w:r>
      <w:r w:rsidR="00F74EBC">
        <w:t xml:space="preserve"> jurisdiction </w:t>
      </w:r>
      <w:r>
        <w:t>to</w:t>
      </w:r>
      <w:r w:rsidR="00F74EBC">
        <w:t xml:space="preserve"> legislate to introduce a specific duty of care in respect of institutional child abuse. ‘Abuse’ in that jurisdiction means sexual abuse and physical abuse. The </w:t>
      </w:r>
      <w:r w:rsidR="00F74EBC" w:rsidRPr="00F2515F">
        <w:rPr>
          <w:i/>
        </w:rPr>
        <w:t>Wrongs Act 1958</w:t>
      </w:r>
      <w:r w:rsidR="00F74EBC">
        <w:t xml:space="preserve"> (Vic), and in particular section 91(2), now establishes a duty of care that enables certain organisations to be held liable in negligence for child abuse committed by individuals associated with the organisation.</w:t>
      </w:r>
    </w:p>
    <w:p w14:paraId="312281AE" w14:textId="7892E86A" w:rsidR="00F74EBC" w:rsidRDefault="00F74EBC" w:rsidP="005B5876">
      <w:pPr>
        <w:pStyle w:val="Default"/>
        <w:spacing w:after="240"/>
        <w:jc w:val="both"/>
      </w:pPr>
      <w:r>
        <w:t>The Victorian legislation als</w:t>
      </w:r>
      <w:r w:rsidR="005B5876">
        <w:t>o incorporates aspects of a non</w:t>
      </w:r>
      <w:r w:rsidR="005B5876">
        <w:noBreakHyphen/>
      </w:r>
      <w:r>
        <w:t xml:space="preserve">delegable duty of care, as proposed by the Royal Commission, by providing that organisations will not be able to avoid liability by delegating their care, supervision or authority of children to other organisations. This is achieved by section 90(1)(c) of the </w:t>
      </w:r>
      <w:r w:rsidRPr="00F2515F">
        <w:rPr>
          <w:i/>
        </w:rPr>
        <w:t>Wrongs Act</w:t>
      </w:r>
      <w:r w:rsidR="003E0A43">
        <w:rPr>
          <w:i/>
        </w:rPr>
        <w:t>,</w:t>
      </w:r>
      <w:r>
        <w:t xml:space="preserve"> which provides that an ‘individual associated with a relevant organisation’, upon whom the statutory duty of care is imposed, will also include an individual who is associated with another organisation who has had functions and services delegated to it by the relevant organisation. Thus the statutory duty will be cast on a relevant organisation even where it has delegated its functions or services to others.</w:t>
      </w:r>
    </w:p>
    <w:p w14:paraId="08766BC6" w14:textId="77777777" w:rsidR="00F74EBC" w:rsidRDefault="00F74EBC" w:rsidP="005B5876">
      <w:pPr>
        <w:pStyle w:val="Default"/>
        <w:spacing w:after="240"/>
        <w:jc w:val="both"/>
      </w:pPr>
      <w:r>
        <w:t xml:space="preserve">In both cases, whether the duty is cast directly on the relevant organisation or on it by virtue of not being able to delegate the duty, a breach of the duty will be presumed (if certain facts are made out) unless the relevant organisation proves it took reasonable precautions to prevent the abuse in question. Victoria has thus provided a defence in respect to the direct statutory duty and in circumstances </w:t>
      </w:r>
      <w:r>
        <w:lastRenderedPageBreak/>
        <w:t>where the duty continues to apply even if there has been a delegation of services or functions.</w:t>
      </w:r>
    </w:p>
    <w:p w14:paraId="6D942D37" w14:textId="1B1111EE" w:rsidR="00E27CEF" w:rsidRPr="00DF08C6" w:rsidRDefault="00E27CEF" w:rsidP="005B5876">
      <w:pPr>
        <w:pStyle w:val="Default"/>
        <w:keepNext/>
        <w:spacing w:after="240"/>
        <w:jc w:val="both"/>
        <w:rPr>
          <w:b/>
        </w:rPr>
      </w:pPr>
      <w:r w:rsidRPr="00DF08C6">
        <w:rPr>
          <w:b/>
        </w:rPr>
        <w:t>New South Wales</w:t>
      </w:r>
    </w:p>
    <w:p w14:paraId="0F2826AC" w14:textId="7D8F9E40" w:rsidR="006E4BBC" w:rsidRDefault="00E27CEF" w:rsidP="005B5876">
      <w:pPr>
        <w:pStyle w:val="Default"/>
        <w:spacing w:after="240"/>
        <w:jc w:val="both"/>
      </w:pPr>
      <w:r>
        <w:t>In November</w:t>
      </w:r>
      <w:r w:rsidR="006E4BBC">
        <w:t xml:space="preserve"> 2017, the Civil Liability Amendment (Institutional Child Abuse) Bill 2017 (NSW</w:t>
      </w:r>
      <w:r w:rsidR="00997046">
        <w:t>) was</w:t>
      </w:r>
      <w:r w:rsidR="006E4BBC">
        <w:t xml:space="preserve"> int</w:t>
      </w:r>
      <w:r w:rsidR="00997046">
        <w:t>roduced in the New South Wales Legislative A</w:t>
      </w:r>
      <w:r w:rsidR="006E4BBC">
        <w:t xml:space="preserve">ssembly. The Bill </w:t>
      </w:r>
      <w:r w:rsidR="00CE1DF1">
        <w:t xml:space="preserve">is a private members bill and </w:t>
      </w:r>
      <w:r w:rsidR="006E4BBC">
        <w:t xml:space="preserve">seeks to amend the </w:t>
      </w:r>
      <w:r w:rsidR="006E4BBC" w:rsidRPr="00997046">
        <w:rPr>
          <w:i/>
        </w:rPr>
        <w:t>Civil Liability Act 2002</w:t>
      </w:r>
      <w:r w:rsidR="006E4BBC">
        <w:t xml:space="preserve"> (NSW) to impose a duty of care on certain institutions to make them liable for institutional child abuse by persons associated with the institution, unless the institution proves it took reasonable steps to prevent the abuse.</w:t>
      </w:r>
    </w:p>
    <w:p w14:paraId="76BD1BB5" w14:textId="1D23CB90" w:rsidR="006E4BBC" w:rsidRDefault="00CE1DF1" w:rsidP="005B5876">
      <w:pPr>
        <w:pStyle w:val="Default"/>
        <w:spacing w:after="240"/>
        <w:jc w:val="both"/>
      </w:pPr>
      <w:r>
        <w:t xml:space="preserve">The proposed amendment is broadly consistent with the Wrongs </w:t>
      </w:r>
      <w:r w:rsidRPr="00CE1DF1">
        <w:rPr>
          <w:i/>
        </w:rPr>
        <w:t>Amendment (organisational Child Abuse) Act 2017</w:t>
      </w:r>
      <w:r>
        <w:t xml:space="preserve"> (Vic).</w:t>
      </w:r>
    </w:p>
    <w:p w14:paraId="2602AE79" w14:textId="6AF40F11" w:rsidR="006E4BBC" w:rsidRDefault="006E4BBC" w:rsidP="005B5876">
      <w:pPr>
        <w:pStyle w:val="Default"/>
        <w:spacing w:after="240"/>
        <w:jc w:val="both"/>
      </w:pPr>
      <w:r w:rsidRPr="004C40F7">
        <w:t xml:space="preserve">The </w:t>
      </w:r>
      <w:r w:rsidR="0045793A">
        <w:t>Bill was referred to the Legislation Review Committee and has now lapsed i</w:t>
      </w:r>
      <w:r w:rsidR="00481BAF">
        <w:t xml:space="preserve">s will not be progressed in that </w:t>
      </w:r>
      <w:r w:rsidR="0045793A">
        <w:t xml:space="preserve">form.   </w:t>
      </w:r>
      <w:r w:rsidR="00E6484C" w:rsidRPr="004C40F7">
        <w:t xml:space="preserve">  </w:t>
      </w:r>
    </w:p>
    <w:p w14:paraId="000CD321" w14:textId="43DC07C5" w:rsidR="00F74EBC" w:rsidRPr="000F02FF" w:rsidRDefault="003E0A43" w:rsidP="004C40F7">
      <w:pPr>
        <w:pStyle w:val="Heading2"/>
        <w:numPr>
          <w:ilvl w:val="1"/>
          <w:numId w:val="45"/>
        </w:numPr>
        <w:rPr>
          <w:color w:val="auto"/>
        </w:rPr>
      </w:pPr>
      <w:bookmarkStart w:id="184" w:name="_Toc507689337"/>
      <w:r w:rsidRPr="000F02FF">
        <w:rPr>
          <w:color w:val="auto"/>
        </w:rPr>
        <w:t>Proposed Reform</w:t>
      </w:r>
      <w:r w:rsidR="00C117CA" w:rsidRPr="000F02FF">
        <w:rPr>
          <w:color w:val="auto"/>
        </w:rPr>
        <w:t xml:space="preserve"> of </w:t>
      </w:r>
      <w:r w:rsidR="00D64A17" w:rsidRPr="000F02FF">
        <w:rPr>
          <w:color w:val="auto"/>
        </w:rPr>
        <w:t>Territory</w:t>
      </w:r>
      <w:r w:rsidRPr="000F02FF">
        <w:rPr>
          <w:color w:val="auto"/>
        </w:rPr>
        <w:t xml:space="preserve"> L</w:t>
      </w:r>
      <w:r w:rsidR="00F74EBC" w:rsidRPr="000F02FF">
        <w:rPr>
          <w:color w:val="auto"/>
        </w:rPr>
        <w:t>aws</w:t>
      </w:r>
      <w:bookmarkEnd w:id="184"/>
    </w:p>
    <w:p w14:paraId="0FA6ACDC" w14:textId="425F916C" w:rsidR="002E3610" w:rsidRDefault="00F74EBC" w:rsidP="005B5876">
      <w:pPr>
        <w:pStyle w:val="Default"/>
        <w:spacing w:after="240"/>
        <w:jc w:val="both"/>
      </w:pPr>
      <w:r>
        <w:t>Having considered the recommendations of the Royal Commission, the Department of th</w:t>
      </w:r>
      <w:r w:rsidR="00AD6202">
        <w:t>e Attorney</w:t>
      </w:r>
      <w:r w:rsidR="00AD6202">
        <w:noBreakHyphen/>
      </w:r>
      <w:r w:rsidR="00AF42F4">
        <w:t>General and Justice r</w:t>
      </w:r>
      <w:r>
        <w:t>ecommends a</w:t>
      </w:r>
      <w:r w:rsidR="00D15C87">
        <w:t xml:space="preserve">dopting </w:t>
      </w:r>
      <w:r w:rsidR="002E3610">
        <w:t xml:space="preserve">an approach similar to that </w:t>
      </w:r>
      <w:r w:rsidR="00D128CB">
        <w:t>in the Victorian l</w:t>
      </w:r>
      <w:r w:rsidR="00C117CA">
        <w:t xml:space="preserve">egislation. That is, to </w:t>
      </w:r>
      <w:r w:rsidR="002E3610">
        <w:t>introduce a s</w:t>
      </w:r>
      <w:r w:rsidR="00C117CA">
        <w:t>tatutory duty of care provision</w:t>
      </w:r>
      <w:r w:rsidR="00AD6202">
        <w:t xml:space="preserve"> which incorporates a non</w:t>
      </w:r>
      <w:r w:rsidR="00AD6202">
        <w:noBreakHyphen/>
      </w:r>
      <w:r w:rsidR="002E3610">
        <w:t>delegable element and a reverse onus provision</w:t>
      </w:r>
      <w:r w:rsidR="00CF0B45">
        <w:t xml:space="preserve"> (the Proposed Duty)</w:t>
      </w:r>
      <w:r w:rsidR="002E3610">
        <w:t>.</w:t>
      </w:r>
    </w:p>
    <w:p w14:paraId="6E94D2B7" w14:textId="3F272DD0" w:rsidR="002E3610" w:rsidRDefault="002E3610" w:rsidP="005B5876">
      <w:pPr>
        <w:pStyle w:val="Default"/>
        <w:spacing w:after="240"/>
        <w:jc w:val="both"/>
      </w:pPr>
      <w:r>
        <w:t>The benefit</w:t>
      </w:r>
      <w:r w:rsidR="00D64A17">
        <w:t>s</w:t>
      </w:r>
      <w:r>
        <w:t xml:space="preserve"> of this option </w:t>
      </w:r>
      <w:r w:rsidR="00F74EBC">
        <w:t>are that it</w:t>
      </w:r>
      <w:r>
        <w:t xml:space="preserve"> provides certainty about the standard of care expected of institutions that cannot be delegated, and balances interests by providing a defence if reasonable steps are taken to prevent child abuse. This factor is expected to be relevant where an institution seeks to take out insurance cover for this type of liability. </w:t>
      </w:r>
    </w:p>
    <w:p w14:paraId="5A72F12B" w14:textId="24FCB795" w:rsidR="00F74EBC" w:rsidRDefault="0025169F" w:rsidP="005B5876">
      <w:pPr>
        <w:pStyle w:val="Default"/>
        <w:spacing w:after="240"/>
        <w:jc w:val="both"/>
      </w:pPr>
      <w:r>
        <w:rPr>
          <w:noProof/>
          <w:lang w:eastAsia="en-AU"/>
        </w:rPr>
        <w:lastRenderedPageBreak/>
        <mc:AlternateContent>
          <mc:Choice Requires="wps">
            <w:drawing>
              <wp:anchor distT="45720" distB="45720" distL="114300" distR="114300" simplePos="0" relativeHeight="251663360" behindDoc="0" locked="0" layoutInCell="1" allowOverlap="1" wp14:anchorId="522703E8" wp14:editId="1BE36A63">
                <wp:simplePos x="0" y="0"/>
                <wp:positionH relativeFrom="margin">
                  <wp:posOffset>-36830</wp:posOffset>
                </wp:positionH>
                <wp:positionV relativeFrom="paragraph">
                  <wp:posOffset>1564640</wp:posOffset>
                </wp:positionV>
                <wp:extent cx="5964555" cy="2316480"/>
                <wp:effectExtent l="38100" t="38100" r="112395" b="1219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555" cy="2316480"/>
                        </a:xfrm>
                        <a:prstGeom prst="rect">
                          <a:avLst/>
                        </a:prstGeom>
                        <a:solidFill>
                          <a:schemeClr val="tx2">
                            <a:lumMod val="40000"/>
                            <a:lumOff val="60000"/>
                          </a:schemeClr>
                        </a:solidFill>
                        <a:ln w="9525">
                          <a:solidFill>
                            <a:srgbClr val="0070C0"/>
                          </a:solidFill>
                          <a:miter lim="800000"/>
                          <a:headEnd/>
                          <a:tailEnd/>
                        </a:ln>
                        <a:effectLst>
                          <a:outerShdw blurRad="50800" dist="38100" dir="2700000" algn="tl" rotWithShape="0">
                            <a:prstClr val="black">
                              <a:alpha val="40000"/>
                            </a:prstClr>
                          </a:outerShdw>
                        </a:effectLst>
                      </wps:spPr>
                      <wps:txbx>
                        <w:txbxContent>
                          <w:p w14:paraId="6E5B885B" w14:textId="0341900B" w:rsidR="00B1454B" w:rsidRPr="000B57AC" w:rsidRDefault="00B1454B" w:rsidP="001A5BBB">
                            <w:pPr>
                              <w:pStyle w:val="Default"/>
                              <w:jc w:val="both"/>
                              <w:rPr>
                                <w:b/>
                              </w:rPr>
                            </w:pPr>
                            <w:r>
                              <w:rPr>
                                <w:b/>
                              </w:rPr>
                              <w:t>Discussion q</w:t>
                            </w:r>
                            <w:r w:rsidRPr="000B57AC">
                              <w:rPr>
                                <w:b/>
                              </w:rPr>
                              <w:t>uestions</w:t>
                            </w:r>
                          </w:p>
                          <w:p w14:paraId="488AF2C2" w14:textId="77777777" w:rsidR="00B1454B" w:rsidRPr="000B57AC" w:rsidRDefault="00B1454B" w:rsidP="001A5BBB">
                            <w:pPr>
                              <w:pStyle w:val="Default"/>
                              <w:jc w:val="both"/>
                            </w:pPr>
                          </w:p>
                          <w:p w14:paraId="158FE54E" w14:textId="053FA488" w:rsidR="00B1454B" w:rsidRPr="000B57AC" w:rsidRDefault="00B1454B" w:rsidP="005B5876">
                            <w:pPr>
                              <w:pStyle w:val="Default"/>
                              <w:numPr>
                                <w:ilvl w:val="0"/>
                                <w:numId w:val="48"/>
                              </w:numPr>
                              <w:ind w:left="426" w:hanging="426"/>
                              <w:jc w:val="both"/>
                            </w:pPr>
                            <w:r w:rsidRPr="000B57AC">
                              <w:t>What are your views on adopting a statutory duty of care that incorporates a non</w:t>
                            </w:r>
                            <w:r>
                              <w:noBreakHyphen/>
                            </w:r>
                            <w:r w:rsidRPr="000B57AC">
                              <w:t>delegable element and a reverse onus provision, as opposed to the two distinct duties recommended by the Royal Commission?</w:t>
                            </w:r>
                          </w:p>
                          <w:p w14:paraId="4C5C993B" w14:textId="77777777" w:rsidR="00B1454B" w:rsidRPr="000B57AC" w:rsidRDefault="00B1454B" w:rsidP="001A5BBB">
                            <w:pPr>
                              <w:pStyle w:val="Default"/>
                              <w:ind w:left="360"/>
                              <w:jc w:val="both"/>
                            </w:pPr>
                          </w:p>
                          <w:p w14:paraId="176F599B" w14:textId="77777777" w:rsidR="00B1454B" w:rsidRDefault="00B1454B" w:rsidP="005B5876">
                            <w:pPr>
                              <w:pStyle w:val="Default"/>
                              <w:numPr>
                                <w:ilvl w:val="0"/>
                                <w:numId w:val="48"/>
                              </w:numPr>
                              <w:ind w:left="426" w:hanging="426"/>
                              <w:jc w:val="both"/>
                            </w:pPr>
                            <w:r w:rsidRPr="000B57AC">
                              <w:t xml:space="preserve">What are your views on the proposal to extend the Proposed Duty to related physical and psychological abuse? </w:t>
                            </w:r>
                          </w:p>
                          <w:p w14:paraId="25CD5BBD" w14:textId="77777777" w:rsidR="00B1454B" w:rsidRPr="005B5876" w:rsidRDefault="00B1454B" w:rsidP="005B5876">
                            <w:pPr>
                              <w:pStyle w:val="Default"/>
                              <w:ind w:left="426"/>
                              <w:jc w:val="both"/>
                            </w:pPr>
                          </w:p>
                          <w:p w14:paraId="52451FA0" w14:textId="77777777" w:rsidR="00B1454B" w:rsidRPr="000B57AC" w:rsidRDefault="00B1454B" w:rsidP="005B5876">
                            <w:pPr>
                              <w:pStyle w:val="Default"/>
                              <w:numPr>
                                <w:ilvl w:val="0"/>
                                <w:numId w:val="48"/>
                              </w:numPr>
                              <w:ind w:left="426" w:hanging="426"/>
                              <w:jc w:val="both"/>
                            </w:pPr>
                            <w:r w:rsidRPr="005B5876">
                              <w:t>What financial or associated impacts would the Proposed Duty have on Territory institutions</w:t>
                            </w:r>
                            <w:r w:rsidRPr="000B57AC">
                              <w:t xml:space="preserve">, such as the cost and availability of insurance and the ability to provide services to children? </w:t>
                            </w:r>
                          </w:p>
                          <w:p w14:paraId="0859CD4C" w14:textId="479ED9AC" w:rsidR="00B1454B" w:rsidRDefault="00B14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2703E8" id="_x0000_t202" coordsize="21600,21600" o:spt="202" path="m,l,21600r21600,l21600,xe">
                <v:stroke joinstyle="miter"/>
                <v:path gradientshapeok="t" o:connecttype="rect"/>
              </v:shapetype>
              <v:shape id="Text Box 2" o:spid="_x0000_s1026" type="#_x0000_t202" style="position:absolute;left:0;text-align:left;margin-left:-2.9pt;margin-top:123.2pt;width:469.65pt;height:182.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" fillcolor="#8db3e2 [1311]" strokecolor="#0070c0">
                <v:shadow on="t" color="black" opacity="26214f" origin="-.5,-.5" offset=".74836mm,.74836mm"/>
                <v:textbox>
                  <w:txbxContent>
                    <w:p w14:paraId="6E5B885B" w14:textId="0341900B" w:rsidR="00B1454B" w:rsidRPr="000B57AC" w:rsidRDefault="00B1454B" w:rsidP="001A5BBB">
                      <w:pPr>
                        <w:pStyle w:val="Default"/>
                        <w:jc w:val="both"/>
                        <w:rPr>
                          <w:b/>
                        </w:rPr>
                      </w:pPr>
                      <w:bookmarkStart w:id="185" w:name="_GoBack"/>
                      <w:r>
                        <w:rPr>
                          <w:b/>
                        </w:rPr>
                        <w:t>Discussion q</w:t>
                      </w:r>
                      <w:r w:rsidRPr="000B57AC">
                        <w:rPr>
                          <w:b/>
                        </w:rPr>
                        <w:t>uestions</w:t>
                      </w:r>
                    </w:p>
                    <w:p w14:paraId="488AF2C2" w14:textId="77777777" w:rsidR="00B1454B" w:rsidRPr="000B57AC" w:rsidRDefault="00B1454B" w:rsidP="001A5BBB">
                      <w:pPr>
                        <w:pStyle w:val="Default"/>
                        <w:jc w:val="both"/>
                      </w:pPr>
                    </w:p>
                    <w:p w14:paraId="158FE54E" w14:textId="053FA488" w:rsidR="00B1454B" w:rsidRPr="000B57AC" w:rsidRDefault="00B1454B" w:rsidP="005B5876">
                      <w:pPr>
                        <w:pStyle w:val="Default"/>
                        <w:numPr>
                          <w:ilvl w:val="0"/>
                          <w:numId w:val="48"/>
                        </w:numPr>
                        <w:ind w:left="426" w:hanging="426"/>
                        <w:jc w:val="both"/>
                      </w:pPr>
                      <w:r w:rsidRPr="000B57AC">
                        <w:t>What are your views on adopting a statutory duty of care that incorporates a non</w:t>
                      </w:r>
                      <w:r>
                        <w:noBreakHyphen/>
                      </w:r>
                      <w:r w:rsidRPr="000B57AC">
                        <w:t>delegable element and a reverse onus provision, as opposed to the two distinct duties recommended by the Royal Commission?</w:t>
                      </w:r>
                    </w:p>
                    <w:p w14:paraId="4C5C993B" w14:textId="77777777" w:rsidR="00B1454B" w:rsidRPr="000B57AC" w:rsidRDefault="00B1454B" w:rsidP="001A5BBB">
                      <w:pPr>
                        <w:pStyle w:val="Default"/>
                        <w:ind w:left="360"/>
                        <w:jc w:val="both"/>
                      </w:pPr>
                    </w:p>
                    <w:p w14:paraId="176F599B" w14:textId="77777777" w:rsidR="00B1454B" w:rsidRDefault="00B1454B" w:rsidP="005B5876">
                      <w:pPr>
                        <w:pStyle w:val="Default"/>
                        <w:numPr>
                          <w:ilvl w:val="0"/>
                          <w:numId w:val="48"/>
                        </w:numPr>
                        <w:ind w:left="426" w:hanging="426"/>
                        <w:jc w:val="both"/>
                      </w:pPr>
                      <w:r w:rsidRPr="000B57AC">
                        <w:t xml:space="preserve">What are your views on the proposal to extend the Proposed Duty to related physical and psychological abuse? </w:t>
                      </w:r>
                    </w:p>
                    <w:p w14:paraId="25CD5BBD" w14:textId="77777777" w:rsidR="00B1454B" w:rsidRPr="005B5876" w:rsidRDefault="00B1454B" w:rsidP="005B5876">
                      <w:pPr>
                        <w:pStyle w:val="Default"/>
                        <w:ind w:left="426"/>
                        <w:jc w:val="both"/>
                      </w:pPr>
                    </w:p>
                    <w:p w14:paraId="52451FA0" w14:textId="77777777" w:rsidR="00B1454B" w:rsidRPr="000B57AC" w:rsidRDefault="00B1454B" w:rsidP="005B5876">
                      <w:pPr>
                        <w:pStyle w:val="Default"/>
                        <w:numPr>
                          <w:ilvl w:val="0"/>
                          <w:numId w:val="48"/>
                        </w:numPr>
                        <w:ind w:left="426" w:hanging="426"/>
                        <w:jc w:val="both"/>
                      </w:pPr>
                      <w:r w:rsidRPr="005B5876">
                        <w:t>What financial or associated impacts would the Proposed Duty have on Territory institutions</w:t>
                      </w:r>
                      <w:r w:rsidRPr="000B57AC">
                        <w:t xml:space="preserve">, such as the cost and availability of insurance and the ability to provide services to children? </w:t>
                      </w:r>
                    </w:p>
                    <w:bookmarkEnd w:id="185"/>
                    <w:p w14:paraId="0859CD4C" w14:textId="479ED9AC" w:rsidR="00B1454B" w:rsidRDefault="00B1454B"/>
                  </w:txbxContent>
                </v:textbox>
                <w10:wrap type="square" anchorx="margin"/>
              </v:shape>
            </w:pict>
          </mc:Fallback>
        </mc:AlternateContent>
      </w:r>
      <w:r w:rsidR="003E0A43" w:rsidRPr="008718E2">
        <w:t xml:space="preserve">If this option is approved, it is </w:t>
      </w:r>
      <w:r w:rsidR="0074365C">
        <w:t xml:space="preserve">suggested </w:t>
      </w:r>
      <w:r w:rsidR="003E0A43" w:rsidRPr="008718E2">
        <w:t xml:space="preserve">that the </w:t>
      </w:r>
      <w:r w:rsidR="00CF0B45">
        <w:t xml:space="preserve">Proposed Duty </w:t>
      </w:r>
      <w:r w:rsidR="003E0A43" w:rsidRPr="008718E2">
        <w:t xml:space="preserve">will </w:t>
      </w:r>
      <w:r w:rsidR="002E3610" w:rsidRPr="008718E2">
        <w:t>extend to related ph</w:t>
      </w:r>
      <w:r w:rsidR="003E0A43" w:rsidRPr="008718E2">
        <w:t>ysical and psycho</w:t>
      </w:r>
      <w:r w:rsidR="008718E2" w:rsidRPr="008718E2">
        <w:t xml:space="preserve">logical abuse. </w:t>
      </w:r>
      <w:r w:rsidR="002E3610" w:rsidRPr="008718E2">
        <w:t>There appears to be no sound policy reason to provide a more favourable position to survivors of sexual abuse only as serious physical abuse can cause similar damage and often the two</w:t>
      </w:r>
      <w:r w:rsidR="0074365C">
        <w:t xml:space="preserve"> types of abuse</w:t>
      </w:r>
      <w:r w:rsidR="00AD6202">
        <w:t xml:space="preserve"> co</w:t>
      </w:r>
      <w:r w:rsidR="00AD6202">
        <w:noBreakHyphen/>
      </w:r>
      <w:r w:rsidR="002E3610" w:rsidRPr="008718E2">
        <w:t xml:space="preserve">occur. Psychological abuse arising from sexual or serious physical abuse is also generally inseparable from the physical offending, and is consistent with the approach taken by </w:t>
      </w:r>
      <w:r w:rsidR="0074365C">
        <w:t>the Northern Territory</w:t>
      </w:r>
      <w:r w:rsidR="002E3610" w:rsidRPr="008718E2">
        <w:t xml:space="preserve"> in the </w:t>
      </w:r>
      <w:r w:rsidR="002E3610" w:rsidRPr="008718E2">
        <w:rPr>
          <w:i/>
        </w:rPr>
        <w:t xml:space="preserve">Limitation Amendment (Child </w:t>
      </w:r>
      <w:r w:rsidR="0074365C">
        <w:rPr>
          <w:i/>
        </w:rPr>
        <w:t>A</w:t>
      </w:r>
      <w:r w:rsidR="002E3610" w:rsidRPr="008718E2">
        <w:rPr>
          <w:i/>
        </w:rPr>
        <w:t>buse) Act</w:t>
      </w:r>
      <w:r w:rsidR="002E3610" w:rsidRPr="008718E2">
        <w:t xml:space="preserve"> </w:t>
      </w:r>
      <w:r w:rsidR="002E3610" w:rsidRPr="00AD6202">
        <w:rPr>
          <w:i/>
        </w:rPr>
        <w:t>2017</w:t>
      </w:r>
      <w:r w:rsidR="002E3610" w:rsidRPr="008718E2">
        <w:t>.</w:t>
      </w:r>
    </w:p>
    <w:p w14:paraId="5D4F0E54" w14:textId="550E69C6" w:rsidR="00D17307" w:rsidRPr="000F02FF" w:rsidRDefault="00D17307" w:rsidP="004C40F7">
      <w:pPr>
        <w:pStyle w:val="Heading2"/>
        <w:numPr>
          <w:ilvl w:val="1"/>
          <w:numId w:val="45"/>
        </w:numPr>
        <w:rPr>
          <w:color w:val="auto"/>
        </w:rPr>
      </w:pPr>
      <w:bookmarkStart w:id="185" w:name="_Toc507161298"/>
      <w:bookmarkStart w:id="186" w:name="_Toc507161299"/>
      <w:bookmarkStart w:id="187" w:name="_Toc507689338"/>
      <w:bookmarkStart w:id="188" w:name="_Toc507161300"/>
      <w:bookmarkStart w:id="189" w:name="_Toc507689339"/>
      <w:bookmarkStart w:id="190" w:name="_Toc507161301"/>
      <w:bookmarkStart w:id="191" w:name="_Toc507689340"/>
      <w:bookmarkStart w:id="192" w:name="_Toc507161302"/>
      <w:bookmarkStart w:id="193" w:name="_Toc507689341"/>
      <w:bookmarkStart w:id="194" w:name="_Toc507161303"/>
      <w:bookmarkStart w:id="195" w:name="_Toc507689342"/>
      <w:bookmarkStart w:id="196" w:name="_Toc507161304"/>
      <w:bookmarkStart w:id="197" w:name="_Toc507689343"/>
      <w:bookmarkStart w:id="198" w:name="_Toc507161305"/>
      <w:bookmarkStart w:id="199" w:name="_Toc507689344"/>
      <w:bookmarkStart w:id="200" w:name="_Toc507161306"/>
      <w:bookmarkStart w:id="201" w:name="_Toc507689345"/>
      <w:bookmarkStart w:id="202" w:name="_Toc507689346"/>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CD0DFB">
        <w:rPr>
          <w:color w:val="auto"/>
        </w:rPr>
        <w:t>Matters</w:t>
      </w:r>
      <w:r w:rsidRPr="000F02FF">
        <w:rPr>
          <w:color w:val="auto"/>
        </w:rPr>
        <w:t xml:space="preserve"> requiring further consideration</w:t>
      </w:r>
      <w:bookmarkEnd w:id="202"/>
    </w:p>
    <w:p w14:paraId="2B39195B" w14:textId="02B40FA7" w:rsidR="000B1A86" w:rsidRPr="002C1F91" w:rsidRDefault="00CF0B45" w:rsidP="00D442EB">
      <w:pPr>
        <w:pStyle w:val="Default"/>
        <w:keepNext/>
        <w:spacing w:after="240"/>
        <w:rPr>
          <w:b/>
        </w:rPr>
      </w:pPr>
      <w:r w:rsidRPr="002C1F91">
        <w:rPr>
          <w:b/>
        </w:rPr>
        <w:t xml:space="preserve">Need for imposition of </w:t>
      </w:r>
      <w:r w:rsidR="00D442EB" w:rsidRPr="002C1F91">
        <w:rPr>
          <w:b/>
        </w:rPr>
        <w:t xml:space="preserve">Proposed Duty </w:t>
      </w:r>
      <w:r w:rsidRPr="002C1F91">
        <w:rPr>
          <w:b/>
        </w:rPr>
        <w:t>on all organisations</w:t>
      </w:r>
    </w:p>
    <w:p w14:paraId="66850F24" w14:textId="32E548D5" w:rsidR="00CF0B45" w:rsidRDefault="0025169F" w:rsidP="004E7756">
      <w:pPr>
        <w:pStyle w:val="Default"/>
      </w:pPr>
      <w:r>
        <w:rPr>
          <w:noProof/>
          <w:lang w:eastAsia="en-AU"/>
        </w:rPr>
        <mc:AlternateContent>
          <mc:Choice Requires="wps">
            <w:drawing>
              <wp:anchor distT="45720" distB="45720" distL="114300" distR="114300" simplePos="0" relativeHeight="251661312" behindDoc="0" locked="0" layoutInCell="1" allowOverlap="1" wp14:anchorId="6FCA2769" wp14:editId="41CB2F28">
                <wp:simplePos x="0" y="0"/>
                <wp:positionH relativeFrom="margin">
                  <wp:align>left</wp:align>
                </wp:positionH>
                <wp:positionV relativeFrom="paragraph">
                  <wp:posOffset>763270</wp:posOffset>
                </wp:positionV>
                <wp:extent cx="6017895" cy="903605"/>
                <wp:effectExtent l="38100" t="38100" r="116205" b="1060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903605"/>
                        </a:xfrm>
                        <a:prstGeom prst="rect">
                          <a:avLst/>
                        </a:prstGeom>
                        <a:solidFill>
                          <a:schemeClr val="tx2">
                            <a:lumMod val="40000"/>
                            <a:lumOff val="60000"/>
                          </a:schemeClr>
                        </a:solidFill>
                        <a:ln w="9525">
                          <a:solidFill>
                            <a:srgbClr val="0070C0"/>
                          </a:solidFill>
                          <a:miter lim="800000"/>
                          <a:headEnd/>
                          <a:tailEnd/>
                        </a:ln>
                        <a:effectLst>
                          <a:outerShdw blurRad="50800" dist="38100" dir="2700000" algn="tl" rotWithShape="0">
                            <a:prstClr val="black">
                              <a:alpha val="40000"/>
                            </a:prstClr>
                          </a:outerShdw>
                        </a:effectLst>
                      </wps:spPr>
                      <wps:txbx>
                        <w:txbxContent>
                          <w:p w14:paraId="28030319" w14:textId="7597A12A" w:rsidR="00B1454B" w:rsidRPr="004C40F7" w:rsidRDefault="00B1454B" w:rsidP="007C455D">
                            <w:pPr>
                              <w:pStyle w:val="Default"/>
                              <w:jc w:val="both"/>
                              <w:rPr>
                                <w:b/>
                              </w:rPr>
                            </w:pPr>
                            <w:r>
                              <w:rPr>
                                <w:b/>
                              </w:rPr>
                              <w:t>Discussion q</w:t>
                            </w:r>
                            <w:r w:rsidRPr="004C40F7">
                              <w:rPr>
                                <w:b/>
                              </w:rPr>
                              <w:t>uestion</w:t>
                            </w:r>
                          </w:p>
                          <w:p w14:paraId="169AAFC6" w14:textId="77777777" w:rsidR="00B1454B" w:rsidRPr="004C40F7" w:rsidRDefault="00B1454B" w:rsidP="001A5BBB">
                            <w:pPr>
                              <w:pStyle w:val="Default"/>
                              <w:jc w:val="both"/>
                            </w:pPr>
                          </w:p>
                          <w:p w14:paraId="475602AA" w14:textId="1577FD79" w:rsidR="00B1454B" w:rsidRPr="004C40F7" w:rsidRDefault="00B1454B" w:rsidP="004C40F7">
                            <w:pPr>
                              <w:pStyle w:val="Default"/>
                              <w:numPr>
                                <w:ilvl w:val="0"/>
                                <w:numId w:val="48"/>
                              </w:numPr>
                              <w:ind w:left="426" w:hanging="426"/>
                              <w:jc w:val="both"/>
                            </w:pPr>
                            <w:r w:rsidRPr="004C40F7">
                              <w:t>Are there any organisations to which the Proposed Duty should not apply? If so, why?</w:t>
                            </w:r>
                          </w:p>
                          <w:p w14:paraId="21C2657C" w14:textId="44BD2A0D" w:rsidR="00B1454B" w:rsidRDefault="00B14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A2769" id="_x0000_s1027" type="#_x0000_t202" style="position:absolute;margin-left:0;margin-top:60.1pt;width:473.85pt;height:71.1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" fillcolor="#8db3e2 [1311]" strokecolor="#0070c0">
                <v:shadow on="t" color="black" opacity="26214f" origin="-.5,-.5" offset=".74836mm,.74836mm"/>
                <v:textbox>
                  <w:txbxContent>
                    <w:p w14:paraId="28030319" w14:textId="7597A12A" w:rsidR="00B1454B" w:rsidRPr="004C40F7" w:rsidRDefault="00B1454B" w:rsidP="007C455D">
                      <w:pPr>
                        <w:pStyle w:val="Default"/>
                        <w:jc w:val="both"/>
                        <w:rPr>
                          <w:b/>
                        </w:rPr>
                      </w:pPr>
                      <w:r>
                        <w:rPr>
                          <w:b/>
                        </w:rPr>
                        <w:t>Discussion q</w:t>
                      </w:r>
                      <w:r w:rsidRPr="004C40F7">
                        <w:rPr>
                          <w:b/>
                        </w:rPr>
                        <w:t>uestion</w:t>
                      </w:r>
                    </w:p>
                    <w:p w14:paraId="169AAFC6" w14:textId="77777777" w:rsidR="00B1454B" w:rsidRPr="004C40F7" w:rsidRDefault="00B1454B" w:rsidP="001A5BBB">
                      <w:pPr>
                        <w:pStyle w:val="Default"/>
                        <w:jc w:val="both"/>
                      </w:pPr>
                    </w:p>
                    <w:p w14:paraId="475602AA" w14:textId="1577FD79" w:rsidR="00B1454B" w:rsidRPr="004C40F7" w:rsidRDefault="00B1454B" w:rsidP="004C40F7">
                      <w:pPr>
                        <w:pStyle w:val="Default"/>
                        <w:numPr>
                          <w:ilvl w:val="0"/>
                          <w:numId w:val="48"/>
                        </w:numPr>
                        <w:ind w:left="426" w:hanging="426"/>
                        <w:jc w:val="both"/>
                      </w:pPr>
                      <w:r w:rsidRPr="004C40F7">
                        <w:t>Are there any organisations to which the Proposed Duty should not apply? If so, why?</w:t>
                      </w:r>
                    </w:p>
                    <w:p w14:paraId="21C2657C" w14:textId="44BD2A0D" w:rsidR="00B1454B" w:rsidRDefault="00B1454B"/>
                  </w:txbxContent>
                </v:textbox>
                <w10:wrap type="square" anchorx="margin"/>
              </v:shape>
            </w:pict>
          </mc:Fallback>
        </mc:AlternateContent>
      </w:r>
      <w:r w:rsidR="00CF0B45">
        <w:t>The Royal Commission recommended that its proposed reverse onus duty should apply to all institutions, including not</w:t>
      </w:r>
      <w:r w:rsidR="00CF0B45">
        <w:noBreakHyphen/>
        <w:t>for</w:t>
      </w:r>
      <w:r w:rsidR="00CF0B45">
        <w:noBreakHyphen/>
        <w:t>profit and volunteer organisations as well as organisations that administer foster or kinship care</w:t>
      </w:r>
      <w:r w:rsidR="00D16CBE">
        <w:t xml:space="preserve"> services (recommendation 91)</w:t>
      </w:r>
      <w:r w:rsidR="00CF0B45">
        <w:t xml:space="preserve">. </w:t>
      </w:r>
    </w:p>
    <w:p w14:paraId="2898A37C" w14:textId="6415C9A2" w:rsidR="004E7756" w:rsidRPr="002C1F91" w:rsidRDefault="001E2948" w:rsidP="00D442EB">
      <w:pPr>
        <w:pStyle w:val="Default"/>
        <w:keepNext/>
        <w:spacing w:after="240"/>
        <w:rPr>
          <w:b/>
        </w:rPr>
      </w:pPr>
      <w:r w:rsidRPr="002C1F91">
        <w:rPr>
          <w:b/>
        </w:rPr>
        <w:t>Institutional associates</w:t>
      </w:r>
    </w:p>
    <w:p w14:paraId="4BE934F9" w14:textId="5CECB5CD" w:rsidR="004E7756" w:rsidRPr="001E5F3B" w:rsidRDefault="00F36EC4" w:rsidP="00D442EB">
      <w:pPr>
        <w:pStyle w:val="Default"/>
        <w:spacing w:after="240"/>
        <w:jc w:val="both"/>
      </w:pPr>
      <w:r w:rsidRPr="001E5F3B">
        <w:t>T</w:t>
      </w:r>
      <w:r w:rsidR="004E7756" w:rsidRPr="001E5F3B">
        <w:t>he Royal Commission recommended</w:t>
      </w:r>
      <w:r w:rsidRPr="001E5F3B">
        <w:t xml:space="preserve"> that, regardless of which of the two civil liability recommendations are adopted,</w:t>
      </w:r>
      <w:r w:rsidR="004E7756" w:rsidRPr="001E5F3B">
        <w:t xml:space="preserve"> institutional liability </w:t>
      </w:r>
      <w:r w:rsidR="00D8571E">
        <w:t xml:space="preserve">should </w:t>
      </w:r>
      <w:r w:rsidR="004E7756" w:rsidRPr="001E5F3B">
        <w:t>extend to</w:t>
      </w:r>
      <w:r w:rsidR="00D16CBE">
        <w:t xml:space="preserve"> </w:t>
      </w:r>
      <w:r w:rsidR="004E7756" w:rsidRPr="001E5F3B">
        <w:t>the actions of ‘</w:t>
      </w:r>
      <w:r w:rsidR="002E0D89" w:rsidRPr="00EC4D84">
        <w:rPr>
          <w:iCs/>
        </w:rPr>
        <w:t>all </w:t>
      </w:r>
      <w:r w:rsidR="004E7756" w:rsidRPr="00EC4D84">
        <w:rPr>
          <w:iCs/>
        </w:rPr>
        <w:t>persons associated with the institution</w:t>
      </w:r>
      <w:r w:rsidR="004E7756" w:rsidRPr="001E5F3B">
        <w:rPr>
          <w:i/>
          <w:iCs/>
        </w:rPr>
        <w:t xml:space="preserve">’ </w:t>
      </w:r>
      <w:r w:rsidR="004E7756" w:rsidRPr="001E5F3B">
        <w:t>(</w:t>
      </w:r>
      <w:r w:rsidR="00D442EB" w:rsidRPr="001E5F3B">
        <w:t xml:space="preserve">recommendation </w:t>
      </w:r>
      <w:r w:rsidR="004E7756" w:rsidRPr="001E5F3B">
        <w:t>92)</w:t>
      </w:r>
      <w:r w:rsidR="0086066B">
        <w:t>, including</w:t>
      </w:r>
      <w:r w:rsidR="004E7756" w:rsidRPr="001E5F3B">
        <w:t xml:space="preserve">: </w:t>
      </w:r>
    </w:p>
    <w:p w14:paraId="588C1825" w14:textId="5E0A6CB8" w:rsidR="001411B5" w:rsidRDefault="001E5F3B" w:rsidP="00D442EB">
      <w:pPr>
        <w:pStyle w:val="Default"/>
        <w:numPr>
          <w:ilvl w:val="0"/>
          <w:numId w:val="22"/>
        </w:numPr>
        <w:spacing w:after="240"/>
        <w:ind w:left="567" w:hanging="567"/>
        <w:jc w:val="both"/>
      </w:pPr>
      <w:r>
        <w:rPr>
          <w:rFonts w:eastAsiaTheme="minorEastAsia"/>
          <w:iCs/>
        </w:rPr>
        <w:t>f</w:t>
      </w:r>
      <w:r w:rsidR="00D442EB">
        <w:rPr>
          <w:rFonts w:eastAsiaTheme="minorEastAsia"/>
          <w:iCs/>
        </w:rPr>
        <w:t>or non</w:t>
      </w:r>
      <w:r w:rsidR="00D442EB">
        <w:rPr>
          <w:rFonts w:eastAsiaTheme="minorEastAsia"/>
          <w:iCs/>
        </w:rPr>
        <w:noBreakHyphen/>
      </w:r>
      <w:r w:rsidR="004E7756" w:rsidRPr="001E5F3B">
        <w:rPr>
          <w:rFonts w:eastAsiaTheme="minorEastAsia"/>
          <w:iCs/>
        </w:rPr>
        <w:t>religious institutions: the institution’s officers, office holders, employees, age</w:t>
      </w:r>
      <w:r w:rsidR="00F36EC4" w:rsidRPr="001E5F3B">
        <w:rPr>
          <w:rFonts w:eastAsiaTheme="minorEastAsia"/>
          <w:iCs/>
        </w:rPr>
        <w:t>nts,</w:t>
      </w:r>
      <w:r w:rsidR="00F36EC4" w:rsidRPr="001E5F3B">
        <w:t xml:space="preserve"> volunteers and contractors; and</w:t>
      </w:r>
    </w:p>
    <w:p w14:paraId="02D16258" w14:textId="11872500" w:rsidR="004E7756" w:rsidRPr="001411B5" w:rsidRDefault="001E5F3B" w:rsidP="00D442EB">
      <w:pPr>
        <w:pStyle w:val="Default"/>
        <w:numPr>
          <w:ilvl w:val="0"/>
          <w:numId w:val="22"/>
        </w:numPr>
        <w:spacing w:after="240"/>
        <w:ind w:left="567" w:hanging="567"/>
        <w:jc w:val="both"/>
      </w:pPr>
      <w:r w:rsidRPr="001411B5">
        <w:rPr>
          <w:rFonts w:eastAsiaTheme="minorEastAsia"/>
          <w:iCs/>
        </w:rPr>
        <w:lastRenderedPageBreak/>
        <w:t>f</w:t>
      </w:r>
      <w:r w:rsidR="004E7756" w:rsidRPr="001411B5">
        <w:rPr>
          <w:rFonts w:eastAsiaTheme="minorEastAsia"/>
          <w:iCs/>
        </w:rPr>
        <w:t xml:space="preserve">or religious organisations: religious leaders, officers and personnel. </w:t>
      </w:r>
    </w:p>
    <w:p w14:paraId="58FC6AEC" w14:textId="703058B9" w:rsidR="00BA2CB4" w:rsidRDefault="00FE708E" w:rsidP="00D442EB">
      <w:pPr>
        <w:pStyle w:val="Default"/>
        <w:spacing w:after="240"/>
        <w:jc w:val="both"/>
        <w:rPr>
          <w:bCs/>
          <w:szCs w:val="22"/>
        </w:rPr>
      </w:pPr>
      <w:r>
        <w:rPr>
          <w:bCs/>
          <w:szCs w:val="22"/>
        </w:rPr>
        <w:t>While there appears to be no reason no</w:t>
      </w:r>
      <w:r w:rsidR="00621088">
        <w:rPr>
          <w:bCs/>
          <w:szCs w:val="22"/>
        </w:rPr>
        <w:t>t to adopt this recommendation, consideration is required in relation to whether</w:t>
      </w:r>
      <w:r w:rsidR="004348D8">
        <w:rPr>
          <w:bCs/>
          <w:szCs w:val="22"/>
        </w:rPr>
        <w:t xml:space="preserve"> any limits should apply in respect of </w:t>
      </w:r>
      <w:r w:rsidR="00BA2CB4">
        <w:rPr>
          <w:bCs/>
          <w:szCs w:val="22"/>
        </w:rPr>
        <w:t>‘associates’.</w:t>
      </w:r>
    </w:p>
    <w:p w14:paraId="376B3D1B" w14:textId="7BC4B4B8" w:rsidR="002C2AFD" w:rsidRDefault="0086066B" w:rsidP="00D442EB">
      <w:pPr>
        <w:pStyle w:val="Default"/>
        <w:spacing w:after="240"/>
        <w:jc w:val="both"/>
        <w:rPr>
          <w:bCs/>
          <w:szCs w:val="22"/>
        </w:rPr>
      </w:pPr>
      <w:r>
        <w:rPr>
          <w:bCs/>
          <w:szCs w:val="22"/>
        </w:rPr>
        <w:t>To this</w:t>
      </w:r>
      <w:r w:rsidR="002C2AFD">
        <w:rPr>
          <w:bCs/>
          <w:szCs w:val="22"/>
        </w:rPr>
        <w:t xml:space="preserve"> end</w:t>
      </w:r>
      <w:r>
        <w:rPr>
          <w:bCs/>
          <w:szCs w:val="22"/>
        </w:rPr>
        <w:t>, it is noted that</w:t>
      </w:r>
      <w:r w:rsidR="002C2AFD">
        <w:rPr>
          <w:bCs/>
          <w:szCs w:val="22"/>
        </w:rPr>
        <w:t xml:space="preserve"> </w:t>
      </w:r>
      <w:r w:rsidR="00AF42F4">
        <w:rPr>
          <w:bCs/>
          <w:szCs w:val="22"/>
        </w:rPr>
        <w:t xml:space="preserve">in November 2017 </w:t>
      </w:r>
      <w:r w:rsidR="002C2AFD">
        <w:rPr>
          <w:bCs/>
          <w:szCs w:val="22"/>
        </w:rPr>
        <w:t>the New South Wales Departme</w:t>
      </w:r>
      <w:r w:rsidR="00D442EB">
        <w:rPr>
          <w:bCs/>
          <w:szCs w:val="22"/>
        </w:rPr>
        <w:t xml:space="preserve">nt of </w:t>
      </w:r>
      <w:r w:rsidR="002C2AFD">
        <w:rPr>
          <w:bCs/>
          <w:szCs w:val="22"/>
        </w:rPr>
        <w:t>Justice published a consultation paper</w:t>
      </w:r>
      <w:r w:rsidR="00911B14">
        <w:rPr>
          <w:bCs/>
          <w:szCs w:val="22"/>
        </w:rPr>
        <w:t xml:space="preserve"> (the NSW Consultation Paper)</w:t>
      </w:r>
      <w:r w:rsidR="00AF42F4">
        <w:rPr>
          <w:rStyle w:val="FootnoteReference"/>
          <w:bCs/>
          <w:szCs w:val="22"/>
        </w:rPr>
        <w:footnoteReference w:id="4"/>
      </w:r>
      <w:r w:rsidR="002C2AFD">
        <w:rPr>
          <w:bCs/>
          <w:szCs w:val="22"/>
        </w:rPr>
        <w:t xml:space="preserve"> in relation to the Royal Commission’s civil litigation recommendations in which they noted that recommendation 92 raises the following two issues for consideration:</w:t>
      </w:r>
    </w:p>
    <w:p w14:paraId="1CF88358" w14:textId="3537221A" w:rsidR="002C2AFD" w:rsidRPr="00AF42F4" w:rsidRDefault="002C2AFD" w:rsidP="00521F09">
      <w:pPr>
        <w:autoSpaceDE w:val="0"/>
        <w:autoSpaceDN w:val="0"/>
        <w:adjustRightInd w:val="0"/>
        <w:spacing w:after="240"/>
        <w:ind w:left="567" w:hanging="567"/>
        <w:rPr>
          <w:rFonts w:cs="Arial"/>
          <w:color w:val="000000"/>
          <w:sz w:val="24"/>
        </w:rPr>
      </w:pPr>
      <w:r w:rsidRPr="00AF42F4">
        <w:rPr>
          <w:rFonts w:cs="Arial"/>
          <w:color w:val="000000"/>
          <w:sz w:val="24"/>
        </w:rPr>
        <w:t xml:space="preserve">‘(a) </w:t>
      </w:r>
      <w:r w:rsidR="00521F09">
        <w:rPr>
          <w:rFonts w:cs="Arial"/>
          <w:color w:val="000000"/>
          <w:sz w:val="24"/>
        </w:rPr>
        <w:tab/>
      </w:r>
      <w:r w:rsidRPr="00AF42F4">
        <w:rPr>
          <w:rFonts w:cs="Arial"/>
          <w:color w:val="000000"/>
          <w:sz w:val="24"/>
        </w:rPr>
        <w:t xml:space="preserve">First, how close should the connection be between the </w:t>
      </w:r>
      <w:r w:rsidRPr="00AF42F4">
        <w:rPr>
          <w:rFonts w:cs="Arial"/>
          <w:i/>
          <w:iCs/>
          <w:color w:val="000000"/>
          <w:sz w:val="24"/>
        </w:rPr>
        <w:t xml:space="preserve">perpetrator </w:t>
      </w:r>
      <w:r w:rsidRPr="00AF42F4">
        <w:rPr>
          <w:rFonts w:cs="Arial"/>
          <w:color w:val="000000"/>
          <w:sz w:val="24"/>
        </w:rPr>
        <w:t xml:space="preserve">and the institution in order to establish liability? </w:t>
      </w:r>
    </w:p>
    <w:p w14:paraId="04D37CEC" w14:textId="3E55184D" w:rsidR="002C2AFD" w:rsidRPr="00AF42F4" w:rsidRDefault="002C2AFD" w:rsidP="00521F09">
      <w:pPr>
        <w:autoSpaceDE w:val="0"/>
        <w:autoSpaceDN w:val="0"/>
        <w:adjustRightInd w:val="0"/>
        <w:spacing w:after="240"/>
        <w:ind w:left="567" w:hanging="567"/>
        <w:rPr>
          <w:rFonts w:cs="Arial"/>
          <w:color w:val="000000"/>
          <w:sz w:val="24"/>
        </w:rPr>
      </w:pPr>
      <w:r w:rsidRPr="00AF42F4">
        <w:rPr>
          <w:rFonts w:cs="Arial"/>
          <w:color w:val="000000"/>
          <w:sz w:val="24"/>
        </w:rPr>
        <w:t xml:space="preserve">(b) </w:t>
      </w:r>
      <w:r w:rsidR="00521F09">
        <w:rPr>
          <w:rFonts w:cs="Arial"/>
          <w:color w:val="000000"/>
          <w:sz w:val="24"/>
        </w:rPr>
        <w:tab/>
      </w:r>
      <w:r w:rsidRPr="00AF42F4">
        <w:rPr>
          <w:rFonts w:cs="Arial"/>
          <w:color w:val="000000"/>
          <w:sz w:val="24"/>
        </w:rPr>
        <w:t xml:space="preserve">Secondly, how close should the connection be between the </w:t>
      </w:r>
      <w:r w:rsidRPr="00AF42F4">
        <w:rPr>
          <w:rFonts w:cs="Arial"/>
          <w:i/>
          <w:iCs/>
          <w:color w:val="000000"/>
          <w:sz w:val="24"/>
        </w:rPr>
        <w:t xml:space="preserve">abuse </w:t>
      </w:r>
      <w:r w:rsidRPr="00AF42F4">
        <w:rPr>
          <w:rFonts w:cs="Arial"/>
          <w:color w:val="000000"/>
          <w:sz w:val="24"/>
        </w:rPr>
        <w:t>and the institution, in terms of when and where the abuse occurs?</w:t>
      </w:r>
      <w:r w:rsidR="00A04040" w:rsidRPr="00AF42F4">
        <w:rPr>
          <w:rFonts w:cs="Arial"/>
          <w:color w:val="000000"/>
          <w:sz w:val="24"/>
        </w:rPr>
        <w:t>’</w:t>
      </w:r>
    </w:p>
    <w:p w14:paraId="5C705CD4" w14:textId="365917BE" w:rsidR="00BB32DA" w:rsidRPr="002C1F91" w:rsidRDefault="00BB32DA" w:rsidP="00521F09">
      <w:pPr>
        <w:pStyle w:val="Default"/>
        <w:keepNext/>
        <w:spacing w:after="240"/>
        <w:jc w:val="both"/>
        <w:rPr>
          <w:bCs/>
          <w:szCs w:val="22"/>
          <w:u w:val="single"/>
        </w:rPr>
      </w:pPr>
      <w:r w:rsidRPr="002C1F91">
        <w:rPr>
          <w:bCs/>
          <w:szCs w:val="22"/>
          <w:u w:val="single"/>
        </w:rPr>
        <w:t>Association between perpetrator and institution</w:t>
      </w:r>
    </w:p>
    <w:p w14:paraId="10F601A4" w14:textId="0B27676E" w:rsidR="002C2AFD" w:rsidRDefault="00BB32DA" w:rsidP="00521F09">
      <w:pPr>
        <w:pStyle w:val="Default"/>
        <w:spacing w:after="240"/>
        <w:jc w:val="both"/>
        <w:rPr>
          <w:bCs/>
          <w:szCs w:val="22"/>
        </w:rPr>
      </w:pPr>
      <w:r>
        <w:rPr>
          <w:bCs/>
          <w:szCs w:val="22"/>
        </w:rPr>
        <w:t xml:space="preserve">In relation to the first </w:t>
      </w:r>
      <w:r w:rsidR="000E3D59">
        <w:rPr>
          <w:bCs/>
          <w:szCs w:val="22"/>
        </w:rPr>
        <w:t>issue</w:t>
      </w:r>
      <w:r>
        <w:rPr>
          <w:bCs/>
          <w:szCs w:val="22"/>
        </w:rPr>
        <w:t>, NSW noted that it will be important to consider whether liability should be imposed on institutions in respect of persons which they could not reasonably be expect</w:t>
      </w:r>
      <w:r w:rsidR="00A04040">
        <w:rPr>
          <w:bCs/>
          <w:szCs w:val="22"/>
        </w:rPr>
        <w:t>ed</w:t>
      </w:r>
      <w:r>
        <w:rPr>
          <w:bCs/>
          <w:szCs w:val="22"/>
        </w:rPr>
        <w:t xml:space="preserve"> t</w:t>
      </w:r>
      <w:r w:rsidR="00D051D8">
        <w:rPr>
          <w:bCs/>
          <w:szCs w:val="22"/>
        </w:rPr>
        <w:t xml:space="preserve">o have control, </w:t>
      </w:r>
      <w:r>
        <w:rPr>
          <w:bCs/>
          <w:szCs w:val="22"/>
        </w:rPr>
        <w:t>such as a parent who volunteers at their child’s</w:t>
      </w:r>
      <w:r w:rsidR="00D051D8">
        <w:rPr>
          <w:bCs/>
          <w:szCs w:val="22"/>
        </w:rPr>
        <w:t xml:space="preserve"> school once a year, as it may be difficult for the institution to take steps to prevent abuse being perpetrated by such persons.</w:t>
      </w:r>
    </w:p>
    <w:p w14:paraId="4879B59B" w14:textId="312778B7" w:rsidR="00D051D8" w:rsidRDefault="002C1F91" w:rsidP="00521F09">
      <w:pPr>
        <w:pStyle w:val="Default"/>
        <w:spacing w:after="240"/>
        <w:jc w:val="both"/>
        <w:rPr>
          <w:bCs/>
          <w:szCs w:val="22"/>
        </w:rPr>
      </w:pPr>
      <w:r>
        <w:rPr>
          <w:bCs/>
          <w:szCs w:val="22"/>
        </w:rPr>
        <w:t>However, w</w:t>
      </w:r>
      <w:r w:rsidR="00D051D8">
        <w:rPr>
          <w:bCs/>
          <w:szCs w:val="22"/>
        </w:rPr>
        <w:t>hile this may be an issue of considerable signifi</w:t>
      </w:r>
      <w:r w:rsidR="009E398B">
        <w:rPr>
          <w:bCs/>
          <w:szCs w:val="22"/>
        </w:rPr>
        <w:t>cance in relation to the non</w:t>
      </w:r>
      <w:r w:rsidR="009E398B">
        <w:rPr>
          <w:bCs/>
          <w:szCs w:val="22"/>
        </w:rPr>
        <w:noBreakHyphen/>
      </w:r>
      <w:r w:rsidR="00D051D8">
        <w:rPr>
          <w:bCs/>
          <w:szCs w:val="22"/>
        </w:rPr>
        <w:t xml:space="preserve">delegable duty of care </w:t>
      </w:r>
      <w:r w:rsidR="004E2A0E">
        <w:rPr>
          <w:bCs/>
          <w:szCs w:val="22"/>
        </w:rPr>
        <w:t xml:space="preserve">recommended by the Royal Commission, it appears to be of little significance in relation to the Proposed Duty as </w:t>
      </w:r>
      <w:r w:rsidR="00D051D8" w:rsidRPr="00EE2AD2">
        <w:rPr>
          <w:bCs/>
          <w:szCs w:val="22"/>
        </w:rPr>
        <w:t>an institution would only be liable if it failed to take re</w:t>
      </w:r>
      <w:r w:rsidR="004E2A0E">
        <w:rPr>
          <w:bCs/>
          <w:szCs w:val="22"/>
        </w:rPr>
        <w:t xml:space="preserve">asonable steps to prevent abuse and it is expected that </w:t>
      </w:r>
      <w:r w:rsidR="00D051D8" w:rsidRPr="00EE2AD2">
        <w:rPr>
          <w:bCs/>
          <w:szCs w:val="22"/>
        </w:rPr>
        <w:t xml:space="preserve">the steps that might be </w:t>
      </w:r>
      <w:r w:rsidR="004E2A0E">
        <w:rPr>
          <w:bCs/>
          <w:szCs w:val="22"/>
        </w:rPr>
        <w:t xml:space="preserve">considered </w:t>
      </w:r>
      <w:r w:rsidR="00D051D8" w:rsidRPr="00EE2AD2">
        <w:rPr>
          <w:bCs/>
          <w:szCs w:val="22"/>
        </w:rPr>
        <w:t xml:space="preserve">reasonable </w:t>
      </w:r>
      <w:r w:rsidR="004E2A0E">
        <w:rPr>
          <w:bCs/>
          <w:szCs w:val="22"/>
        </w:rPr>
        <w:t>in relation to a one</w:t>
      </w:r>
      <w:r w:rsidR="009E398B">
        <w:rPr>
          <w:bCs/>
          <w:szCs w:val="22"/>
        </w:rPr>
        <w:noBreakHyphen/>
      </w:r>
      <w:r w:rsidR="004E2A0E">
        <w:rPr>
          <w:bCs/>
          <w:szCs w:val="22"/>
        </w:rPr>
        <w:t xml:space="preserve">off volunteer would </w:t>
      </w:r>
      <w:r w:rsidR="00D051D8" w:rsidRPr="00EE2AD2">
        <w:rPr>
          <w:bCs/>
          <w:szCs w:val="22"/>
        </w:rPr>
        <w:t xml:space="preserve">be less than the steps required for </w:t>
      </w:r>
      <w:r w:rsidR="004E2A0E">
        <w:rPr>
          <w:bCs/>
          <w:szCs w:val="22"/>
        </w:rPr>
        <w:t xml:space="preserve">more </w:t>
      </w:r>
      <w:r w:rsidR="00D051D8" w:rsidRPr="00EE2AD2">
        <w:rPr>
          <w:bCs/>
          <w:szCs w:val="22"/>
        </w:rPr>
        <w:t xml:space="preserve">permanent staff. </w:t>
      </w:r>
    </w:p>
    <w:p w14:paraId="7F191962" w14:textId="6B490C72" w:rsidR="00D051D8" w:rsidRPr="004E2A0E" w:rsidRDefault="00D051D8" w:rsidP="00521F09">
      <w:pPr>
        <w:pStyle w:val="Default"/>
        <w:spacing w:after="240"/>
        <w:jc w:val="both"/>
        <w:rPr>
          <w:bCs/>
          <w:szCs w:val="22"/>
        </w:rPr>
      </w:pPr>
      <w:r>
        <w:rPr>
          <w:bCs/>
          <w:szCs w:val="22"/>
        </w:rPr>
        <w:t xml:space="preserve">On this basis, the Victorian legislation </w:t>
      </w:r>
      <w:r w:rsidR="004E2A0E">
        <w:rPr>
          <w:bCs/>
          <w:szCs w:val="22"/>
        </w:rPr>
        <w:t xml:space="preserve">has incorporated </w:t>
      </w:r>
      <w:r>
        <w:rPr>
          <w:bCs/>
          <w:szCs w:val="22"/>
        </w:rPr>
        <w:t>recommendation</w:t>
      </w:r>
      <w:r w:rsidR="004E2A0E">
        <w:rPr>
          <w:bCs/>
          <w:szCs w:val="22"/>
        </w:rPr>
        <w:t xml:space="preserve"> 92</w:t>
      </w:r>
      <w:r>
        <w:rPr>
          <w:bCs/>
          <w:szCs w:val="22"/>
        </w:rPr>
        <w:t xml:space="preserve"> into a n</w:t>
      </w:r>
      <w:r w:rsidR="009E398B">
        <w:rPr>
          <w:bCs/>
          <w:szCs w:val="22"/>
        </w:rPr>
        <w:t>on</w:t>
      </w:r>
      <w:r w:rsidR="009E398B">
        <w:rPr>
          <w:bCs/>
          <w:szCs w:val="22"/>
        </w:rPr>
        <w:noBreakHyphen/>
      </w:r>
      <w:r>
        <w:rPr>
          <w:bCs/>
          <w:szCs w:val="22"/>
        </w:rPr>
        <w:t xml:space="preserve">exhaustive list of the classes of individuals that may trigger institutional liability by the commission of child abuse so as to ensure that borderline cases are not </w:t>
      </w:r>
      <w:r>
        <w:rPr>
          <w:bCs/>
          <w:szCs w:val="22"/>
        </w:rPr>
        <w:lastRenderedPageBreak/>
        <w:t>inadvertently excluded from the scope of the duty.</w:t>
      </w:r>
      <w:r w:rsidR="004E2A0E">
        <w:rPr>
          <w:bCs/>
          <w:szCs w:val="22"/>
        </w:rPr>
        <w:t xml:space="preserve"> However, </w:t>
      </w:r>
      <w:r w:rsidRPr="00EC35D6">
        <w:t xml:space="preserve">section 90(2) provides that an individual is not associated with an institution solely because the institution wholly or partly funds or regulates another organisation. The Explanatory Memorandum to the </w:t>
      </w:r>
      <w:r w:rsidRPr="009E398B">
        <w:t xml:space="preserve">Wrongs Amendment (Organisational Child Abuse) Bill 2016 </w:t>
      </w:r>
      <w:r w:rsidRPr="00EC35D6">
        <w:t xml:space="preserve">(Vic) provides that the purpose of that provision is to ensure that organisations ‘are not held liable for the actions of personnel in another organisation solely because the first organisation funds or regulates the second’. </w:t>
      </w:r>
    </w:p>
    <w:p w14:paraId="35365AE2" w14:textId="2615009D" w:rsidR="00D051D8" w:rsidRDefault="0025169F" w:rsidP="00521F09">
      <w:pPr>
        <w:pStyle w:val="Default"/>
        <w:spacing w:after="240"/>
        <w:jc w:val="both"/>
        <w:rPr>
          <w:bCs/>
          <w:szCs w:val="22"/>
        </w:rPr>
      </w:pPr>
      <w:r w:rsidRPr="001A5BBB">
        <w:rPr>
          <w:bCs/>
          <w:noProof/>
          <w:szCs w:val="22"/>
          <w:lang w:eastAsia="en-AU"/>
        </w:rPr>
        <mc:AlternateContent>
          <mc:Choice Requires="wps">
            <w:drawing>
              <wp:anchor distT="45720" distB="45720" distL="114300" distR="114300" simplePos="0" relativeHeight="251665408" behindDoc="0" locked="0" layoutInCell="1" allowOverlap="1" wp14:anchorId="07732BA5" wp14:editId="3E3B2016">
                <wp:simplePos x="0" y="0"/>
                <wp:positionH relativeFrom="margin">
                  <wp:align>left</wp:align>
                </wp:positionH>
                <wp:positionV relativeFrom="paragraph">
                  <wp:posOffset>979805</wp:posOffset>
                </wp:positionV>
                <wp:extent cx="6092190" cy="1242060"/>
                <wp:effectExtent l="38100" t="38100" r="118110" b="11049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242060"/>
                        </a:xfrm>
                        <a:prstGeom prst="rect">
                          <a:avLst/>
                        </a:prstGeom>
                        <a:solidFill>
                          <a:schemeClr val="tx2">
                            <a:lumMod val="40000"/>
                            <a:lumOff val="60000"/>
                          </a:schemeClr>
                        </a:solidFill>
                        <a:ln w="9525">
                          <a:solidFill>
                            <a:srgbClr val="0070C0"/>
                          </a:solidFill>
                          <a:miter lim="800000"/>
                          <a:headEnd/>
                          <a:tailEnd/>
                        </a:ln>
                        <a:effectLst>
                          <a:outerShdw blurRad="50800" dist="38100" dir="2700000" algn="tl" rotWithShape="0">
                            <a:prstClr val="black">
                              <a:alpha val="40000"/>
                            </a:prstClr>
                          </a:outerShdw>
                        </a:effectLst>
                      </wps:spPr>
                      <wps:txbx>
                        <w:txbxContent>
                          <w:p w14:paraId="03FF28AE" w14:textId="550EBC16" w:rsidR="00B1454B" w:rsidRPr="002C1F91" w:rsidRDefault="00B1454B" w:rsidP="001A5BBB">
                            <w:pPr>
                              <w:pStyle w:val="Default"/>
                              <w:spacing w:after="120"/>
                              <w:jc w:val="both"/>
                              <w:rPr>
                                <w:b/>
                                <w:bCs/>
                                <w:szCs w:val="22"/>
                              </w:rPr>
                            </w:pPr>
                            <w:r>
                              <w:rPr>
                                <w:b/>
                                <w:bCs/>
                                <w:szCs w:val="22"/>
                              </w:rPr>
                              <w:t>Discussion q</w:t>
                            </w:r>
                            <w:r w:rsidRPr="002C1F91">
                              <w:rPr>
                                <w:b/>
                                <w:bCs/>
                                <w:szCs w:val="22"/>
                              </w:rPr>
                              <w:t>uestions</w:t>
                            </w:r>
                          </w:p>
                          <w:p w14:paraId="5E59342B" w14:textId="285E4743" w:rsidR="00B1454B" w:rsidRPr="004C40F7" w:rsidRDefault="00B1454B" w:rsidP="004C40F7">
                            <w:pPr>
                              <w:pStyle w:val="Default"/>
                              <w:numPr>
                                <w:ilvl w:val="0"/>
                                <w:numId w:val="48"/>
                              </w:numPr>
                              <w:spacing w:after="120"/>
                              <w:ind w:left="425" w:hanging="425"/>
                              <w:jc w:val="both"/>
                            </w:pPr>
                            <w:r w:rsidRPr="004C40F7">
                              <w:t>Should there be any limitation on who may be considered an associate of an institution?</w:t>
                            </w:r>
                          </w:p>
                          <w:p w14:paraId="1582677C" w14:textId="77777777" w:rsidR="00B1454B" w:rsidRPr="004C40F7" w:rsidRDefault="00B1454B" w:rsidP="004C40F7">
                            <w:pPr>
                              <w:pStyle w:val="Default"/>
                              <w:numPr>
                                <w:ilvl w:val="0"/>
                                <w:numId w:val="48"/>
                              </w:numPr>
                              <w:ind w:left="426" w:hanging="426"/>
                              <w:jc w:val="both"/>
                            </w:pPr>
                            <w:r w:rsidRPr="004C40F7">
                              <w:t>Should liability extend to acts of abuse committed by children under the care, control or supervision of institutions? Why or why not?</w:t>
                            </w:r>
                          </w:p>
                          <w:p w14:paraId="186839F8" w14:textId="4C6C9DA5" w:rsidR="00B1454B" w:rsidRDefault="00B14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32BA5" id="_x0000_s1028" type="#_x0000_t202" style="position:absolute;left:0;text-align:left;margin-left:0;margin-top:77.15pt;width:479.7pt;height:97.8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" fillcolor="#8db3e2 [1311]" strokecolor="#0070c0">
                <v:shadow on="t" color="black" opacity="26214f" origin="-.5,-.5" offset=".74836mm,.74836mm"/>
                <v:textbox>
                  <w:txbxContent>
                    <w:p w14:paraId="03FF28AE" w14:textId="550EBC16" w:rsidR="00B1454B" w:rsidRPr="002C1F91" w:rsidRDefault="00B1454B" w:rsidP="001A5BBB">
                      <w:pPr>
                        <w:pStyle w:val="Default"/>
                        <w:spacing w:after="120"/>
                        <w:jc w:val="both"/>
                        <w:rPr>
                          <w:b/>
                          <w:bCs/>
                          <w:szCs w:val="22"/>
                        </w:rPr>
                      </w:pPr>
                      <w:r>
                        <w:rPr>
                          <w:b/>
                          <w:bCs/>
                          <w:szCs w:val="22"/>
                        </w:rPr>
                        <w:t>Discussion q</w:t>
                      </w:r>
                      <w:r w:rsidRPr="002C1F91">
                        <w:rPr>
                          <w:b/>
                          <w:bCs/>
                          <w:szCs w:val="22"/>
                        </w:rPr>
                        <w:t>uestions</w:t>
                      </w:r>
                    </w:p>
                    <w:p w14:paraId="5E59342B" w14:textId="285E4743" w:rsidR="00B1454B" w:rsidRPr="004C40F7" w:rsidRDefault="00B1454B" w:rsidP="004C40F7">
                      <w:pPr>
                        <w:pStyle w:val="Default"/>
                        <w:numPr>
                          <w:ilvl w:val="0"/>
                          <w:numId w:val="48"/>
                        </w:numPr>
                        <w:spacing w:after="120"/>
                        <w:ind w:left="425" w:hanging="425"/>
                        <w:jc w:val="both"/>
                      </w:pPr>
                      <w:r w:rsidRPr="004C40F7">
                        <w:t>Should there be any limitation on who may be considered an associate of an institution?</w:t>
                      </w:r>
                    </w:p>
                    <w:p w14:paraId="1582677C" w14:textId="77777777" w:rsidR="00B1454B" w:rsidRPr="004C40F7" w:rsidRDefault="00B1454B" w:rsidP="004C40F7">
                      <w:pPr>
                        <w:pStyle w:val="Default"/>
                        <w:numPr>
                          <w:ilvl w:val="0"/>
                          <w:numId w:val="48"/>
                        </w:numPr>
                        <w:ind w:left="426" w:hanging="426"/>
                        <w:jc w:val="both"/>
                      </w:pPr>
                      <w:r w:rsidRPr="004C40F7">
                        <w:t>Should liability extend to acts of abuse committed by children under the care, control or supervision of institutions? Why or why not?</w:t>
                      </w:r>
                    </w:p>
                    <w:p w14:paraId="186839F8" w14:textId="4C6C9DA5" w:rsidR="00B1454B" w:rsidRDefault="00B1454B"/>
                  </w:txbxContent>
                </v:textbox>
                <w10:wrap type="square" anchorx="margin"/>
              </v:shape>
            </w:pict>
          </mc:Fallback>
        </mc:AlternateContent>
      </w:r>
      <w:r w:rsidR="00D051D8">
        <w:rPr>
          <w:bCs/>
          <w:szCs w:val="22"/>
        </w:rPr>
        <w:t>An additional issue</w:t>
      </w:r>
      <w:r w:rsidR="004E2A0E">
        <w:rPr>
          <w:bCs/>
          <w:szCs w:val="22"/>
        </w:rPr>
        <w:t xml:space="preserve"> identified by NSW in relation to recommendation 92 which </w:t>
      </w:r>
      <w:r w:rsidR="00D051D8">
        <w:rPr>
          <w:bCs/>
          <w:szCs w:val="22"/>
        </w:rPr>
        <w:t xml:space="preserve">was not addressed by the Royal Commission </w:t>
      </w:r>
      <w:r w:rsidR="004E2A0E">
        <w:rPr>
          <w:bCs/>
          <w:szCs w:val="22"/>
        </w:rPr>
        <w:t xml:space="preserve">and is not addressed in the Victorian legislation is whether </w:t>
      </w:r>
      <w:r w:rsidR="00D051D8">
        <w:rPr>
          <w:bCs/>
          <w:szCs w:val="22"/>
        </w:rPr>
        <w:t>liability should extend to acts of abuse committed by children under the care, control or supervision of institution</w:t>
      </w:r>
      <w:r w:rsidR="00A04040">
        <w:rPr>
          <w:bCs/>
          <w:szCs w:val="22"/>
        </w:rPr>
        <w:t>s</w:t>
      </w:r>
      <w:r w:rsidR="00D051D8">
        <w:rPr>
          <w:bCs/>
          <w:szCs w:val="22"/>
        </w:rPr>
        <w:t>. This may be particularly relevant in a school setting.</w:t>
      </w:r>
      <w:r w:rsidR="000E3D59">
        <w:rPr>
          <w:rStyle w:val="FootnoteReference"/>
          <w:bCs/>
          <w:szCs w:val="22"/>
        </w:rPr>
        <w:footnoteReference w:id="5"/>
      </w:r>
      <w:r w:rsidR="00D051D8">
        <w:rPr>
          <w:bCs/>
          <w:szCs w:val="22"/>
        </w:rPr>
        <w:t xml:space="preserve"> </w:t>
      </w:r>
    </w:p>
    <w:p w14:paraId="237F0F08" w14:textId="73A1ED2E" w:rsidR="00BB32DA" w:rsidRPr="002C1F91" w:rsidRDefault="00BB32DA" w:rsidP="009E398B">
      <w:pPr>
        <w:pStyle w:val="Default"/>
        <w:keepNext/>
        <w:spacing w:after="240"/>
        <w:jc w:val="both"/>
        <w:rPr>
          <w:bCs/>
          <w:szCs w:val="22"/>
          <w:u w:val="single"/>
        </w:rPr>
      </w:pPr>
      <w:r w:rsidRPr="002C1F91">
        <w:rPr>
          <w:bCs/>
          <w:szCs w:val="22"/>
          <w:u w:val="single"/>
        </w:rPr>
        <w:t>Association between abuse and institution</w:t>
      </w:r>
    </w:p>
    <w:p w14:paraId="5BB064A3" w14:textId="7392E4D0" w:rsidR="000E3D59" w:rsidRDefault="00A04040" w:rsidP="009E398B">
      <w:pPr>
        <w:pStyle w:val="Default"/>
        <w:spacing w:after="240"/>
        <w:jc w:val="both"/>
        <w:rPr>
          <w:bCs/>
          <w:szCs w:val="22"/>
        </w:rPr>
      </w:pPr>
      <w:r>
        <w:rPr>
          <w:bCs/>
          <w:szCs w:val="22"/>
        </w:rPr>
        <w:t xml:space="preserve">In relation to the second </w:t>
      </w:r>
      <w:r w:rsidR="000E3D59">
        <w:rPr>
          <w:bCs/>
          <w:szCs w:val="22"/>
        </w:rPr>
        <w:t>issue</w:t>
      </w:r>
      <w:r>
        <w:rPr>
          <w:bCs/>
          <w:szCs w:val="22"/>
        </w:rPr>
        <w:t>, NSW noted that consideration is</w:t>
      </w:r>
      <w:r w:rsidR="000E3D59">
        <w:rPr>
          <w:bCs/>
          <w:szCs w:val="22"/>
        </w:rPr>
        <w:t xml:space="preserve"> required in relation to whether abuse would need to have occurred on institutional premises and / or during hours of operation for an institution to be liable.</w:t>
      </w:r>
    </w:p>
    <w:p w14:paraId="7F858745" w14:textId="31614787" w:rsidR="000E3D59" w:rsidRDefault="00911B14" w:rsidP="009E398B">
      <w:pPr>
        <w:pStyle w:val="Default"/>
        <w:spacing w:after="240"/>
        <w:jc w:val="both"/>
        <w:rPr>
          <w:bCs/>
          <w:szCs w:val="22"/>
        </w:rPr>
      </w:pPr>
      <w:r>
        <w:rPr>
          <w:bCs/>
          <w:szCs w:val="22"/>
        </w:rPr>
        <w:t>In addition, the NSW Consultation P</w:t>
      </w:r>
      <w:r w:rsidR="000E3D59">
        <w:rPr>
          <w:bCs/>
          <w:szCs w:val="22"/>
        </w:rPr>
        <w:t>aper noted:</w:t>
      </w:r>
    </w:p>
    <w:p w14:paraId="6B90DCFE" w14:textId="43906B76" w:rsidR="000E3D59" w:rsidRPr="00911B14" w:rsidRDefault="000E3D59" w:rsidP="009E398B">
      <w:pPr>
        <w:pStyle w:val="Default"/>
        <w:spacing w:after="240"/>
        <w:ind w:left="567"/>
        <w:jc w:val="both"/>
        <w:rPr>
          <w:bCs/>
        </w:rPr>
      </w:pPr>
      <w:r w:rsidRPr="00911B14">
        <w:t xml:space="preserve">‘There is uncertainty as to how long an individual will be considered to be ‘associated’ with an institution after the relationship between the individual and the institution comes to an end. For example, if a person meets and befriends a family when briefly volunteering for a local charity, and then subsequently abuses a child at a private gathering of the family a year later, would there be a sufficient connection between the abuse and the charity? Should the charity be responsible when the primary connection between the </w:t>
      </w:r>
      <w:r w:rsidRPr="00911B14">
        <w:lastRenderedPageBreak/>
        <w:t>abuser and the victim at the time of the abuse was directly through the family?’</w:t>
      </w:r>
    </w:p>
    <w:p w14:paraId="52C2E452" w14:textId="29001201" w:rsidR="000E3D59" w:rsidRPr="00911B14" w:rsidRDefault="000E3D59" w:rsidP="009E398B">
      <w:pPr>
        <w:pStyle w:val="Default"/>
        <w:spacing w:after="240"/>
        <w:jc w:val="both"/>
        <w:rPr>
          <w:bCs/>
        </w:rPr>
      </w:pPr>
      <w:r w:rsidRPr="00911B14">
        <w:rPr>
          <w:bCs/>
        </w:rPr>
        <w:t>They listed the following potential options for addressing this uncertainty:</w:t>
      </w:r>
    </w:p>
    <w:p w14:paraId="2F1AFBA9" w14:textId="510B3ED2" w:rsidR="000E3D59" w:rsidRPr="00911B14" w:rsidRDefault="009E398B" w:rsidP="00E2420C">
      <w:pPr>
        <w:pStyle w:val="ListParagraph"/>
        <w:numPr>
          <w:ilvl w:val="0"/>
          <w:numId w:val="26"/>
        </w:numPr>
        <w:autoSpaceDE w:val="0"/>
        <w:autoSpaceDN w:val="0"/>
        <w:adjustRightInd w:val="0"/>
        <w:ind w:left="284" w:hanging="284"/>
        <w:jc w:val="both"/>
        <w:rPr>
          <w:rFonts w:cs="Arial"/>
          <w:color w:val="000000"/>
          <w:sz w:val="24"/>
          <w:szCs w:val="24"/>
        </w:rPr>
      </w:pPr>
      <w:r w:rsidRPr="00911B14">
        <w:rPr>
          <w:rFonts w:cs="Arial"/>
          <w:color w:val="000000"/>
          <w:sz w:val="24"/>
          <w:szCs w:val="24"/>
        </w:rPr>
        <w:t xml:space="preserve">adopting </w:t>
      </w:r>
      <w:r w:rsidR="000E3D59" w:rsidRPr="00911B14">
        <w:rPr>
          <w:rFonts w:cs="Arial"/>
          <w:color w:val="000000"/>
          <w:sz w:val="24"/>
          <w:szCs w:val="24"/>
        </w:rPr>
        <w:t>a test to determine whether the child would reasonably have assumed that the person was part of, or associated with, the institution at the time of the abuse</w:t>
      </w:r>
      <w:r>
        <w:rPr>
          <w:rFonts w:cs="Arial"/>
          <w:color w:val="000000"/>
          <w:sz w:val="24"/>
          <w:szCs w:val="24"/>
        </w:rPr>
        <w:t>;</w:t>
      </w:r>
      <w:r w:rsidR="000E3D59" w:rsidRPr="00911B14">
        <w:rPr>
          <w:rFonts w:cs="Arial"/>
          <w:color w:val="000000"/>
          <w:sz w:val="24"/>
          <w:szCs w:val="24"/>
        </w:rPr>
        <w:t xml:space="preserve"> </w:t>
      </w:r>
    </w:p>
    <w:p w14:paraId="3935550B" w14:textId="5D3AC7AF" w:rsidR="000E3D59" w:rsidRPr="00911B14" w:rsidRDefault="009E398B" w:rsidP="00E2420C">
      <w:pPr>
        <w:pStyle w:val="ListParagraph"/>
        <w:numPr>
          <w:ilvl w:val="0"/>
          <w:numId w:val="26"/>
        </w:numPr>
        <w:autoSpaceDE w:val="0"/>
        <w:autoSpaceDN w:val="0"/>
        <w:adjustRightInd w:val="0"/>
        <w:ind w:left="284" w:hanging="284"/>
        <w:jc w:val="both"/>
        <w:rPr>
          <w:rFonts w:cs="Arial"/>
          <w:color w:val="000000"/>
          <w:sz w:val="24"/>
          <w:szCs w:val="24"/>
        </w:rPr>
      </w:pPr>
      <w:r w:rsidRPr="00911B14">
        <w:rPr>
          <w:rFonts w:cs="Arial"/>
          <w:color w:val="000000"/>
          <w:sz w:val="24"/>
          <w:szCs w:val="24"/>
        </w:rPr>
        <w:t xml:space="preserve">limiting </w:t>
      </w:r>
      <w:r w:rsidR="000E3D59" w:rsidRPr="00911B14">
        <w:rPr>
          <w:rFonts w:cs="Arial"/>
          <w:color w:val="000000"/>
          <w:sz w:val="24"/>
          <w:szCs w:val="24"/>
        </w:rPr>
        <w:t xml:space="preserve">liability to the actions of persons which are </w:t>
      </w:r>
      <w:r w:rsidR="000E3D59" w:rsidRPr="00911B14">
        <w:rPr>
          <w:rFonts w:cs="Arial"/>
          <w:i/>
          <w:color w:val="000000"/>
          <w:sz w:val="24"/>
          <w:szCs w:val="24"/>
        </w:rPr>
        <w:t xml:space="preserve">under the control or authority </w:t>
      </w:r>
      <w:r w:rsidR="000E3D59" w:rsidRPr="00911B14">
        <w:rPr>
          <w:rFonts w:cs="Arial"/>
          <w:color w:val="000000"/>
          <w:sz w:val="24"/>
          <w:szCs w:val="24"/>
        </w:rPr>
        <w:t>of the institution</w:t>
      </w:r>
      <w:r>
        <w:rPr>
          <w:rFonts w:cs="Arial"/>
          <w:color w:val="000000"/>
          <w:sz w:val="24"/>
          <w:szCs w:val="24"/>
        </w:rPr>
        <w:t>;</w:t>
      </w:r>
      <w:r w:rsidR="000E3D59" w:rsidRPr="00911B14">
        <w:rPr>
          <w:rFonts w:cs="Arial"/>
          <w:color w:val="000000"/>
          <w:sz w:val="24"/>
          <w:szCs w:val="24"/>
        </w:rPr>
        <w:t xml:space="preserve"> </w:t>
      </w:r>
    </w:p>
    <w:p w14:paraId="4E0C47E2" w14:textId="13A36667" w:rsidR="000E3D59" w:rsidRPr="00911B14" w:rsidRDefault="0025169F" w:rsidP="00E2420C">
      <w:pPr>
        <w:pStyle w:val="ListParagraph"/>
        <w:numPr>
          <w:ilvl w:val="0"/>
          <w:numId w:val="26"/>
        </w:numPr>
        <w:autoSpaceDE w:val="0"/>
        <w:autoSpaceDN w:val="0"/>
        <w:adjustRightInd w:val="0"/>
        <w:spacing w:after="0"/>
        <w:ind w:left="284" w:hanging="284"/>
        <w:jc w:val="both"/>
        <w:rPr>
          <w:rFonts w:cs="Arial"/>
          <w:color w:val="000000"/>
          <w:sz w:val="24"/>
          <w:szCs w:val="24"/>
        </w:rPr>
      </w:pPr>
      <w:r w:rsidRPr="001A5BBB">
        <w:rPr>
          <w:bCs/>
          <w:noProof/>
          <w:lang w:eastAsia="en-AU"/>
        </w:rPr>
        <mc:AlternateContent>
          <mc:Choice Requires="wps">
            <w:drawing>
              <wp:anchor distT="45720" distB="45720" distL="114300" distR="114300" simplePos="0" relativeHeight="251667456" behindDoc="0" locked="0" layoutInCell="1" allowOverlap="1" wp14:anchorId="6F14E0AB" wp14:editId="7EC3144F">
                <wp:simplePos x="0" y="0"/>
                <wp:positionH relativeFrom="margin">
                  <wp:posOffset>19050</wp:posOffset>
                </wp:positionH>
                <wp:positionV relativeFrom="paragraph">
                  <wp:posOffset>593090</wp:posOffset>
                </wp:positionV>
                <wp:extent cx="6092190" cy="1137285"/>
                <wp:effectExtent l="38100" t="38100" r="118110" b="12001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137285"/>
                        </a:xfrm>
                        <a:prstGeom prst="rect">
                          <a:avLst/>
                        </a:prstGeom>
                        <a:solidFill>
                          <a:schemeClr val="tx2">
                            <a:lumMod val="40000"/>
                            <a:lumOff val="60000"/>
                          </a:schemeClr>
                        </a:solidFill>
                        <a:ln w="9525">
                          <a:solidFill>
                            <a:srgbClr val="0070C0"/>
                          </a:solidFill>
                          <a:miter lim="800000"/>
                          <a:headEnd/>
                          <a:tailEnd/>
                        </a:ln>
                        <a:effectLst>
                          <a:outerShdw blurRad="50800" dist="38100" dir="2700000" algn="tl" rotWithShape="0">
                            <a:prstClr val="black">
                              <a:alpha val="40000"/>
                            </a:prstClr>
                          </a:outerShdw>
                        </a:effectLst>
                      </wps:spPr>
                      <wps:txbx>
                        <w:txbxContent>
                          <w:p w14:paraId="544E8557" w14:textId="4552AE1E" w:rsidR="00B1454B" w:rsidRPr="004C40F7" w:rsidRDefault="00B1454B" w:rsidP="001A5BBB">
                            <w:pPr>
                              <w:pStyle w:val="Default"/>
                              <w:spacing w:after="120"/>
                              <w:jc w:val="both"/>
                              <w:rPr>
                                <w:b/>
                                <w:bCs/>
                                <w:szCs w:val="22"/>
                              </w:rPr>
                            </w:pPr>
                            <w:r>
                              <w:rPr>
                                <w:b/>
                                <w:bCs/>
                                <w:szCs w:val="22"/>
                              </w:rPr>
                              <w:t>Discussion q</w:t>
                            </w:r>
                            <w:r w:rsidRPr="004C40F7">
                              <w:rPr>
                                <w:b/>
                                <w:bCs/>
                                <w:szCs w:val="22"/>
                              </w:rPr>
                              <w:t>uestion</w:t>
                            </w:r>
                          </w:p>
                          <w:p w14:paraId="635E4E4B" w14:textId="033CA5E2" w:rsidR="00B1454B" w:rsidRPr="004C40F7" w:rsidRDefault="00B1454B" w:rsidP="004C40F7">
                            <w:pPr>
                              <w:pStyle w:val="Default"/>
                              <w:numPr>
                                <w:ilvl w:val="0"/>
                                <w:numId w:val="48"/>
                              </w:numPr>
                              <w:ind w:left="426" w:hanging="426"/>
                              <w:jc w:val="both"/>
                            </w:pPr>
                            <w:r w:rsidRPr="004C40F7">
                              <w:t xml:space="preserve">How closely associated should an institution and a perpetrator need to be to result in potential liability? For example, should an institution be liable for abuse committed by an employee or volunteer in their own home, against a child met through the institution? </w:t>
                            </w:r>
                          </w:p>
                          <w:p w14:paraId="3C50F38D" w14:textId="63CB67C7" w:rsidR="00B1454B" w:rsidRDefault="00B14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4E0AB" id="_x0000_s1029" type="#_x0000_t202" style="position:absolute;left:0;text-align:left;margin-left:1.5pt;margin-top:46.7pt;width:479.7pt;height:89.5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" fillcolor="#8db3e2 [1311]" strokecolor="#0070c0">
                <v:shadow on="t" color="black" opacity="26214f" origin="-.5,-.5" offset=".74836mm,.74836mm"/>
                <v:textbox>
                  <w:txbxContent>
                    <w:p w14:paraId="544E8557" w14:textId="4552AE1E" w:rsidR="00B1454B" w:rsidRPr="004C40F7" w:rsidRDefault="00B1454B" w:rsidP="001A5BBB">
                      <w:pPr>
                        <w:pStyle w:val="Default"/>
                        <w:spacing w:after="120"/>
                        <w:jc w:val="both"/>
                        <w:rPr>
                          <w:b/>
                          <w:bCs/>
                          <w:szCs w:val="22"/>
                        </w:rPr>
                      </w:pPr>
                      <w:r>
                        <w:rPr>
                          <w:b/>
                          <w:bCs/>
                          <w:szCs w:val="22"/>
                        </w:rPr>
                        <w:t>Discussion q</w:t>
                      </w:r>
                      <w:r w:rsidRPr="004C40F7">
                        <w:rPr>
                          <w:b/>
                          <w:bCs/>
                          <w:szCs w:val="22"/>
                        </w:rPr>
                        <w:t>uestion</w:t>
                      </w:r>
                    </w:p>
                    <w:p w14:paraId="635E4E4B" w14:textId="033CA5E2" w:rsidR="00B1454B" w:rsidRPr="004C40F7" w:rsidRDefault="00B1454B" w:rsidP="004C40F7">
                      <w:pPr>
                        <w:pStyle w:val="Default"/>
                        <w:numPr>
                          <w:ilvl w:val="0"/>
                          <w:numId w:val="48"/>
                        </w:numPr>
                        <w:ind w:left="426" w:hanging="426"/>
                        <w:jc w:val="both"/>
                      </w:pPr>
                      <w:r w:rsidRPr="004C40F7">
                        <w:t xml:space="preserve">How closely associated should an institution and a perpetrator need to be to result in potential liability? For example, should an institution be liable for abuse committed by an employee or volunteer in their own home, against a child met through the institution? </w:t>
                      </w:r>
                    </w:p>
                    <w:p w14:paraId="3C50F38D" w14:textId="63CB67C7" w:rsidR="00B1454B" w:rsidRDefault="00B1454B"/>
                  </w:txbxContent>
                </v:textbox>
                <w10:wrap type="square" anchorx="margin"/>
              </v:shape>
            </w:pict>
          </mc:Fallback>
        </mc:AlternateContent>
      </w:r>
      <w:r w:rsidR="009E398B" w:rsidRPr="00911B14">
        <w:rPr>
          <w:rFonts w:cs="Arial"/>
          <w:color w:val="000000"/>
          <w:sz w:val="24"/>
          <w:szCs w:val="24"/>
        </w:rPr>
        <w:t xml:space="preserve">adopting </w:t>
      </w:r>
      <w:r w:rsidR="000E3D59" w:rsidRPr="00911B14">
        <w:rPr>
          <w:rFonts w:cs="Arial"/>
          <w:color w:val="000000"/>
          <w:sz w:val="24"/>
          <w:szCs w:val="24"/>
        </w:rPr>
        <w:t xml:space="preserve">a similar test to the one adopted by </w:t>
      </w:r>
      <w:r w:rsidR="0043711C">
        <w:rPr>
          <w:rFonts w:cs="Arial"/>
          <w:color w:val="000000"/>
          <w:sz w:val="24"/>
          <w:szCs w:val="24"/>
        </w:rPr>
        <w:t xml:space="preserve">the </w:t>
      </w:r>
      <w:r w:rsidR="000E3D59" w:rsidRPr="00911B14">
        <w:rPr>
          <w:rFonts w:cs="Arial"/>
          <w:color w:val="000000"/>
          <w:sz w:val="24"/>
          <w:szCs w:val="24"/>
        </w:rPr>
        <w:t xml:space="preserve">United Kingdom and Canadian courts – that is, whether the relationship is </w:t>
      </w:r>
      <w:r w:rsidR="000E3D59" w:rsidRPr="00911B14">
        <w:rPr>
          <w:rFonts w:cs="Arial"/>
          <w:i/>
          <w:color w:val="000000"/>
          <w:sz w:val="24"/>
          <w:szCs w:val="24"/>
        </w:rPr>
        <w:t xml:space="preserve">sufficiently analogous </w:t>
      </w:r>
      <w:r w:rsidR="000E3D59" w:rsidRPr="00911B14">
        <w:rPr>
          <w:rFonts w:cs="Arial"/>
          <w:color w:val="000000"/>
          <w:sz w:val="24"/>
          <w:szCs w:val="24"/>
        </w:rPr>
        <w:t xml:space="preserve">or </w:t>
      </w:r>
      <w:r w:rsidR="000E3D59" w:rsidRPr="00911B14">
        <w:rPr>
          <w:rFonts w:cs="Arial"/>
          <w:i/>
          <w:color w:val="000000"/>
          <w:sz w:val="24"/>
          <w:szCs w:val="24"/>
        </w:rPr>
        <w:t xml:space="preserve">akin </w:t>
      </w:r>
      <w:r w:rsidR="000E3D59" w:rsidRPr="00911B14">
        <w:rPr>
          <w:rFonts w:cs="Arial"/>
          <w:color w:val="000000"/>
          <w:sz w:val="24"/>
          <w:szCs w:val="24"/>
        </w:rPr>
        <w:t>to employment.</w:t>
      </w:r>
      <w:r w:rsidR="00911B14">
        <w:rPr>
          <w:rStyle w:val="FootnoteReference"/>
          <w:rFonts w:cs="Arial"/>
          <w:color w:val="000000"/>
          <w:sz w:val="24"/>
          <w:szCs w:val="24"/>
        </w:rPr>
        <w:footnoteReference w:id="6"/>
      </w:r>
      <w:r w:rsidR="000E3D59" w:rsidRPr="00911B14">
        <w:rPr>
          <w:rFonts w:cs="Arial"/>
          <w:color w:val="000000"/>
          <w:sz w:val="24"/>
          <w:szCs w:val="24"/>
        </w:rPr>
        <w:t xml:space="preserve"> </w:t>
      </w:r>
    </w:p>
    <w:p w14:paraId="04F034F3" w14:textId="566D7D55" w:rsidR="001A5BBB" w:rsidRDefault="001A5BBB" w:rsidP="000E3D59">
      <w:pPr>
        <w:pStyle w:val="Default"/>
        <w:jc w:val="both"/>
        <w:rPr>
          <w:bCs/>
          <w:szCs w:val="22"/>
        </w:rPr>
      </w:pPr>
    </w:p>
    <w:p w14:paraId="3C3E9624" w14:textId="2EE7DB00" w:rsidR="00C414E5" w:rsidRPr="00C65951" w:rsidRDefault="00C414E5" w:rsidP="0043711C">
      <w:pPr>
        <w:pStyle w:val="Default"/>
        <w:keepNext/>
        <w:spacing w:after="240"/>
        <w:rPr>
          <w:u w:val="single"/>
        </w:rPr>
      </w:pPr>
      <w:r w:rsidRPr="00C65951">
        <w:rPr>
          <w:u w:val="single"/>
        </w:rPr>
        <w:t>Reasonable steps</w:t>
      </w:r>
    </w:p>
    <w:p w14:paraId="5D09FDBF" w14:textId="0E3D4940" w:rsidR="00D17307" w:rsidRPr="00C65951" w:rsidRDefault="00D17307" w:rsidP="0043711C">
      <w:pPr>
        <w:pStyle w:val="Default"/>
        <w:spacing w:after="240"/>
        <w:jc w:val="both"/>
      </w:pPr>
      <w:r w:rsidRPr="00C65951">
        <w:t xml:space="preserve">The Royal Commission </w:t>
      </w:r>
      <w:r w:rsidR="004E7756" w:rsidRPr="00C65951">
        <w:t>did</w:t>
      </w:r>
      <w:r w:rsidRPr="00C65951">
        <w:t xml:space="preserve"> not propose a definition of </w:t>
      </w:r>
      <w:r w:rsidR="004E7756" w:rsidRPr="00C65951">
        <w:t>‘reasonable steps’</w:t>
      </w:r>
      <w:r w:rsidR="008E2EA5" w:rsidRPr="00C65951">
        <w:t xml:space="preserve"> in relation to its recommended reverse onus duty</w:t>
      </w:r>
      <w:r w:rsidRPr="00C65951">
        <w:t>. This is a key term, because proof that ‘reasonable steps’ have been taken will wholly defeat a claim, even if those steps failed to prevent the abuse from occurring.</w:t>
      </w:r>
    </w:p>
    <w:p w14:paraId="15EE2379" w14:textId="589D56ED" w:rsidR="00312F7D" w:rsidRPr="00C65951" w:rsidRDefault="004E7756" w:rsidP="0043711C">
      <w:pPr>
        <w:pStyle w:val="Default"/>
        <w:spacing w:after="240"/>
        <w:jc w:val="both"/>
      </w:pPr>
      <w:r w:rsidRPr="00C65951">
        <w:t xml:space="preserve">The Victorian </w:t>
      </w:r>
      <w:r w:rsidR="0043711C" w:rsidRPr="00C65951">
        <w:t xml:space="preserve">legislation </w:t>
      </w:r>
      <w:r w:rsidR="00CC7F00" w:rsidRPr="00C65951">
        <w:t>does not define ‘reasonable preca</w:t>
      </w:r>
      <w:r w:rsidR="0043711C">
        <w:t>utions’, but does provide a non</w:t>
      </w:r>
      <w:r w:rsidR="0043711C">
        <w:noBreakHyphen/>
      </w:r>
      <w:r w:rsidR="00CC7F00" w:rsidRPr="00C65951">
        <w:t xml:space="preserve">exhaustive list of factors </w:t>
      </w:r>
      <w:r w:rsidR="00312F7D" w:rsidRPr="00C65951">
        <w:t>that may affect them. Specifically</w:t>
      </w:r>
      <w:r w:rsidR="0043711C">
        <w:t>:</w:t>
      </w:r>
      <w:r w:rsidR="00312F7D" w:rsidRPr="00C65951">
        <w:t xml:space="preserve"> </w:t>
      </w:r>
    </w:p>
    <w:p w14:paraId="2C945D73" w14:textId="20FEC504" w:rsidR="00312F7D" w:rsidRPr="00C65951" w:rsidRDefault="00312F7D" w:rsidP="0043711C">
      <w:pPr>
        <w:pStyle w:val="Default"/>
        <w:spacing w:after="240"/>
        <w:ind w:left="567" w:hanging="567"/>
        <w:jc w:val="both"/>
      </w:pPr>
      <w:r w:rsidRPr="00C65951">
        <w:t xml:space="preserve">‘Reasonable precautions will vary depending on factors including, but not limited to – </w:t>
      </w:r>
    </w:p>
    <w:p w14:paraId="1096E392" w14:textId="27A0BA6D" w:rsidR="00312F7D" w:rsidRPr="00C65951" w:rsidRDefault="002B26C0" w:rsidP="0043711C">
      <w:pPr>
        <w:pStyle w:val="Default"/>
        <w:numPr>
          <w:ilvl w:val="0"/>
          <w:numId w:val="20"/>
        </w:numPr>
        <w:spacing w:after="240"/>
        <w:ind w:left="567" w:hanging="567"/>
        <w:jc w:val="both"/>
      </w:pPr>
      <w:r w:rsidRPr="00C65951">
        <w:t>t</w:t>
      </w:r>
      <w:r w:rsidR="00312F7D" w:rsidRPr="00C65951">
        <w:t>he nature of the relevant organisation; and</w:t>
      </w:r>
    </w:p>
    <w:p w14:paraId="64B870AF" w14:textId="54304EA3" w:rsidR="00312F7D" w:rsidRPr="00C65951" w:rsidRDefault="002B26C0" w:rsidP="0043711C">
      <w:pPr>
        <w:pStyle w:val="Default"/>
        <w:numPr>
          <w:ilvl w:val="0"/>
          <w:numId w:val="20"/>
        </w:numPr>
        <w:spacing w:after="240"/>
        <w:ind w:left="567" w:hanging="567"/>
        <w:jc w:val="both"/>
      </w:pPr>
      <w:r w:rsidRPr="00C65951">
        <w:lastRenderedPageBreak/>
        <w:t>t</w:t>
      </w:r>
      <w:r w:rsidR="00312F7D" w:rsidRPr="00C65951">
        <w:t>he resources that are reasonably available to the relevant organisation; and</w:t>
      </w:r>
    </w:p>
    <w:p w14:paraId="64B679F4" w14:textId="77841E49" w:rsidR="00312F7D" w:rsidRPr="00C65951" w:rsidRDefault="002B26C0" w:rsidP="0043711C">
      <w:pPr>
        <w:pStyle w:val="Default"/>
        <w:numPr>
          <w:ilvl w:val="0"/>
          <w:numId w:val="20"/>
        </w:numPr>
        <w:spacing w:after="240"/>
        <w:ind w:left="567" w:hanging="567"/>
        <w:jc w:val="both"/>
      </w:pPr>
      <w:r w:rsidRPr="00C65951">
        <w:t>t</w:t>
      </w:r>
      <w:r w:rsidR="00312F7D" w:rsidRPr="00C65951">
        <w:t xml:space="preserve">he </w:t>
      </w:r>
      <w:r w:rsidRPr="00C65951">
        <w:t>relationship</w:t>
      </w:r>
      <w:r w:rsidR="00312F7D" w:rsidRPr="00C65951">
        <w:t xml:space="preserve"> between the relevant organisation and the child; and</w:t>
      </w:r>
    </w:p>
    <w:p w14:paraId="1145615D" w14:textId="44423E9C" w:rsidR="00312F7D" w:rsidRPr="00C65951" w:rsidRDefault="002B26C0" w:rsidP="0043711C">
      <w:pPr>
        <w:pStyle w:val="Default"/>
        <w:numPr>
          <w:ilvl w:val="0"/>
          <w:numId w:val="20"/>
        </w:numPr>
        <w:spacing w:after="240"/>
        <w:ind w:left="567" w:hanging="567"/>
        <w:jc w:val="both"/>
      </w:pPr>
      <w:r w:rsidRPr="00C65951">
        <w:t>w</w:t>
      </w:r>
      <w:r w:rsidR="00312F7D" w:rsidRPr="00C65951">
        <w:t>hether the relevant organisation has delegated the care, supervision or authority over the child to another organisation; and</w:t>
      </w:r>
    </w:p>
    <w:p w14:paraId="4ECF629F" w14:textId="12D79F94" w:rsidR="00312F7D" w:rsidRPr="00C65951" w:rsidRDefault="002B26C0" w:rsidP="0043711C">
      <w:pPr>
        <w:pStyle w:val="Default"/>
        <w:numPr>
          <w:ilvl w:val="0"/>
          <w:numId w:val="20"/>
        </w:numPr>
        <w:spacing w:after="240"/>
        <w:ind w:left="567" w:hanging="567"/>
        <w:jc w:val="both"/>
      </w:pPr>
      <w:r w:rsidRPr="00C65951">
        <w:t>t</w:t>
      </w:r>
      <w:r w:rsidR="00312F7D" w:rsidRPr="00C65951">
        <w:t>he role in the organisation of the perpetrator of the abuse.</w:t>
      </w:r>
      <w:r w:rsidRPr="00C65951">
        <w:t>’</w:t>
      </w:r>
    </w:p>
    <w:p w14:paraId="00DA949C" w14:textId="0CC3C4B6" w:rsidR="004E7756" w:rsidRDefault="002B26C0" w:rsidP="0043711C">
      <w:pPr>
        <w:pStyle w:val="Default"/>
        <w:spacing w:after="240"/>
        <w:jc w:val="both"/>
      </w:pPr>
      <w:r w:rsidRPr="00C65951">
        <w:t>The Second Reading S</w:t>
      </w:r>
      <w:r w:rsidR="00312F7D" w:rsidRPr="00C65951">
        <w:t xml:space="preserve">peech for the Wrongs Amendment (Organisational Child Abuse) Bill 2017 provides that </w:t>
      </w:r>
      <w:r w:rsidRPr="00C65951">
        <w:t>‘[t]he interpretive guidance given by the bill is non</w:t>
      </w:r>
      <w:r w:rsidR="0043711C">
        <w:noBreakHyphen/>
      </w:r>
      <w:r w:rsidRPr="00C65951">
        <w:t>exhaustive, ensuring that the courts are able to consider any other appropriate factors on a case</w:t>
      </w:r>
      <w:r w:rsidR="0043711C">
        <w:noBreakHyphen/>
      </w:r>
      <w:r w:rsidRPr="00C65951">
        <w:t>by</w:t>
      </w:r>
      <w:r w:rsidR="0043711C">
        <w:noBreakHyphen/>
      </w:r>
      <w:r w:rsidRPr="00C65951">
        <w:t>case basis’.</w:t>
      </w:r>
      <w:r w:rsidR="00CC7F00" w:rsidRPr="00C65951">
        <w:t xml:space="preserve"> </w:t>
      </w:r>
      <w:r w:rsidRPr="00C65951">
        <w:t xml:space="preserve">This seems appropriate given the substantial variation in size, structure and activities of organisations that would be captured by the proposed </w:t>
      </w:r>
      <w:r w:rsidR="00C171C6" w:rsidRPr="00C65951">
        <w:t>legislation.</w:t>
      </w:r>
    </w:p>
    <w:p w14:paraId="0555D21E" w14:textId="4D5E37EF" w:rsidR="00D17307" w:rsidRDefault="00405BC8" w:rsidP="0043711C">
      <w:pPr>
        <w:pStyle w:val="Default"/>
        <w:spacing w:after="240"/>
        <w:jc w:val="both"/>
      </w:pPr>
      <w:r>
        <w:t xml:space="preserve">New South Wales and Queensland have both queried whether </w:t>
      </w:r>
      <w:r w:rsidR="004E7756" w:rsidRPr="006C3B5F">
        <w:t xml:space="preserve">it may </w:t>
      </w:r>
      <w:r w:rsidR="00D17307" w:rsidRPr="006C3B5F">
        <w:t>be necessary to provide guidance about the scope of what would be ‘reasonable’ by developing legally binding standards.</w:t>
      </w:r>
      <w:r w:rsidR="00EC5974">
        <w:rPr>
          <w:rStyle w:val="FootnoteReference"/>
        </w:rPr>
        <w:footnoteReference w:id="7"/>
      </w:r>
      <w:r w:rsidR="00D17307" w:rsidRPr="006C3B5F">
        <w:t xml:space="preserve"> </w:t>
      </w:r>
      <w:r w:rsidR="00F00A43">
        <w:t>In particular, the NSW Consultation Paper suggests that this</w:t>
      </w:r>
      <w:r w:rsidR="00D17307" w:rsidRPr="006C3B5F">
        <w:t xml:space="preserve"> could clarify what is expected of service providers and reduce the risk of lengthy disputes. </w:t>
      </w:r>
      <w:r w:rsidR="0043711C">
        <w:br/>
      </w:r>
      <w:r w:rsidR="00D17307" w:rsidRPr="006C3B5F">
        <w:t xml:space="preserve">For example, under the </w:t>
      </w:r>
      <w:r w:rsidR="00D17307" w:rsidRPr="006C3B5F">
        <w:rPr>
          <w:i/>
          <w:iCs/>
        </w:rPr>
        <w:t>Disability Discrimination Act</w:t>
      </w:r>
      <w:r>
        <w:t xml:space="preserve"> 1994 (Cth)</w:t>
      </w:r>
      <w:r w:rsidR="00D17307" w:rsidRPr="006C3B5F">
        <w:t xml:space="preserve"> the</w:t>
      </w:r>
      <w:r>
        <w:t xml:space="preserve"> Commonwealth </w:t>
      </w:r>
      <w:r w:rsidR="00D17307" w:rsidRPr="006C3B5F">
        <w:t>Attorney</w:t>
      </w:r>
      <w:r w:rsidR="0043711C">
        <w:noBreakHyphen/>
      </w:r>
      <w:r w:rsidR="00D17307" w:rsidRPr="006C3B5F">
        <w:t xml:space="preserve">General can develop binding standards to provide certainty and guidance on obligations under the legislation. </w:t>
      </w:r>
    </w:p>
    <w:p w14:paraId="785D61A3" w14:textId="2D692686" w:rsidR="00F00A43" w:rsidRDefault="00F00A43" w:rsidP="0043711C">
      <w:pPr>
        <w:pStyle w:val="Default"/>
        <w:spacing w:after="240"/>
        <w:jc w:val="both"/>
      </w:pPr>
      <w:r>
        <w:t>The issue is also raised in th</w:t>
      </w:r>
      <w:r w:rsidRPr="00C65951">
        <w:t>e Second Reading Speech for the Wrongs Amendment (Organisational Child Abuse) Bill 2017</w:t>
      </w:r>
      <w:r>
        <w:t>, which provides:</w:t>
      </w:r>
    </w:p>
    <w:p w14:paraId="587829AE" w14:textId="4D6775CF" w:rsidR="00F00A43" w:rsidRPr="00F00A43" w:rsidRDefault="0025169F" w:rsidP="0043711C">
      <w:pPr>
        <w:pStyle w:val="Default"/>
        <w:spacing w:after="240"/>
        <w:ind w:left="284"/>
        <w:jc w:val="both"/>
      </w:pPr>
      <w:r w:rsidRPr="001A5BBB">
        <w:rPr>
          <w:b/>
          <w:noProof/>
          <w:lang w:eastAsia="en-AU"/>
        </w:rPr>
        <w:lastRenderedPageBreak/>
        <mc:AlternateContent>
          <mc:Choice Requires="wps">
            <w:drawing>
              <wp:anchor distT="45720" distB="45720" distL="114300" distR="114300" simplePos="0" relativeHeight="251669504" behindDoc="0" locked="0" layoutInCell="1" allowOverlap="1" wp14:anchorId="6E7E6E47" wp14:editId="1622D9ED">
                <wp:simplePos x="0" y="0"/>
                <wp:positionH relativeFrom="margin">
                  <wp:align>right</wp:align>
                </wp:positionH>
                <wp:positionV relativeFrom="paragraph">
                  <wp:posOffset>1328420</wp:posOffset>
                </wp:positionV>
                <wp:extent cx="6060440" cy="1404620"/>
                <wp:effectExtent l="38100" t="38100" r="111760" b="1130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440" cy="1404620"/>
                        </a:xfrm>
                        <a:prstGeom prst="rect">
                          <a:avLst/>
                        </a:prstGeom>
                        <a:solidFill>
                          <a:schemeClr val="tx2">
                            <a:lumMod val="40000"/>
                            <a:lumOff val="60000"/>
                          </a:schemeClr>
                        </a:solidFill>
                        <a:ln w="9525">
                          <a:solidFill>
                            <a:srgbClr val="0070C0"/>
                          </a:solidFill>
                          <a:miter lim="800000"/>
                          <a:headEnd/>
                          <a:tailEnd/>
                        </a:ln>
                        <a:effectLst>
                          <a:outerShdw blurRad="50800" dist="38100" dir="2700000" algn="tl" rotWithShape="0">
                            <a:prstClr val="black">
                              <a:alpha val="40000"/>
                            </a:prstClr>
                          </a:outerShdw>
                        </a:effectLst>
                      </wps:spPr>
                      <wps:txbx>
                        <w:txbxContent>
                          <w:p w14:paraId="3D7A6F98" w14:textId="0FEE8680" w:rsidR="00B1454B" w:rsidRPr="001A5BBB" w:rsidRDefault="00B1454B" w:rsidP="001A5BBB">
                            <w:pPr>
                              <w:spacing w:after="120"/>
                              <w:rPr>
                                <w:b/>
                                <w:sz w:val="24"/>
                                <w:szCs w:val="24"/>
                              </w:rPr>
                            </w:pPr>
                            <w:r>
                              <w:rPr>
                                <w:rFonts w:cs="Arial"/>
                                <w:b/>
                                <w:color w:val="000000"/>
                                <w:sz w:val="24"/>
                                <w:szCs w:val="24"/>
                              </w:rPr>
                              <w:t>Discussion q</w:t>
                            </w:r>
                            <w:r w:rsidRPr="004C40F7">
                              <w:rPr>
                                <w:rFonts w:cs="Arial"/>
                                <w:b/>
                                <w:color w:val="000000"/>
                                <w:sz w:val="24"/>
                                <w:szCs w:val="24"/>
                              </w:rPr>
                              <w:t>u</w:t>
                            </w:r>
                            <w:r w:rsidRPr="004C40F7">
                              <w:rPr>
                                <w:b/>
                                <w:sz w:val="24"/>
                                <w:szCs w:val="24"/>
                              </w:rPr>
                              <w:t>estions</w:t>
                            </w:r>
                            <w:r w:rsidRPr="001A5BBB">
                              <w:rPr>
                                <w:b/>
                                <w:sz w:val="24"/>
                                <w:szCs w:val="24"/>
                              </w:rPr>
                              <w:t xml:space="preserve"> </w:t>
                            </w:r>
                          </w:p>
                          <w:p w14:paraId="1D1801BC" w14:textId="318E3AE0" w:rsidR="00B1454B" w:rsidRPr="004C40F7" w:rsidRDefault="00B1454B" w:rsidP="004C40F7">
                            <w:pPr>
                              <w:pStyle w:val="Default"/>
                              <w:numPr>
                                <w:ilvl w:val="0"/>
                                <w:numId w:val="48"/>
                              </w:numPr>
                              <w:spacing w:after="120"/>
                              <w:ind w:left="425" w:hanging="425"/>
                              <w:jc w:val="both"/>
                            </w:pPr>
                            <w:r w:rsidRPr="004C40F7">
                              <w:t xml:space="preserve">What would be the benefit and/or implications of defining the term ‘reasonable steps’ in legislation? </w:t>
                            </w:r>
                          </w:p>
                          <w:p w14:paraId="3D074D7B" w14:textId="77777777" w:rsidR="00B1454B" w:rsidRPr="004C40F7" w:rsidRDefault="00B1454B" w:rsidP="004C40F7">
                            <w:pPr>
                              <w:pStyle w:val="Default"/>
                              <w:numPr>
                                <w:ilvl w:val="0"/>
                                <w:numId w:val="48"/>
                              </w:numPr>
                              <w:spacing w:after="120"/>
                              <w:ind w:left="425" w:hanging="425"/>
                              <w:jc w:val="both"/>
                            </w:pPr>
                            <w:r w:rsidRPr="004C40F7">
                              <w:t xml:space="preserve">If the recommendation is adopted, would it be useful to develop guidelines or industry standards about what is considered to be ‘reasonable’? </w:t>
                            </w:r>
                          </w:p>
                          <w:p w14:paraId="61A88256" w14:textId="77777777" w:rsidR="00B1454B" w:rsidRDefault="00B1454B" w:rsidP="004C40F7">
                            <w:pPr>
                              <w:pStyle w:val="Default"/>
                              <w:numPr>
                                <w:ilvl w:val="0"/>
                                <w:numId w:val="48"/>
                              </w:numPr>
                              <w:spacing w:after="120"/>
                              <w:ind w:left="425" w:hanging="425"/>
                              <w:jc w:val="both"/>
                            </w:pPr>
                            <w:r w:rsidRPr="004C40F7">
                              <w:t xml:space="preserve">Would it be appropriate for a definition of reasonable steps to be graduated according to the type of service provided? If so, on what basis? </w:t>
                            </w:r>
                          </w:p>
                          <w:p w14:paraId="197A02A7" w14:textId="5EB921BA" w:rsidR="00B1454B" w:rsidRDefault="00B1454B" w:rsidP="004C40F7">
                            <w:pPr>
                              <w:pStyle w:val="Default"/>
                              <w:numPr>
                                <w:ilvl w:val="0"/>
                                <w:numId w:val="48"/>
                              </w:numPr>
                              <w:spacing w:after="120"/>
                              <w:ind w:left="425" w:hanging="425"/>
                              <w:jc w:val="both"/>
                            </w:pPr>
                            <w:r w:rsidRPr="004C40F7">
                              <w:t xml:space="preserve">How could it be ensured that ‘reasonable steps’ were actually effective to improve the safety of children?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7E6E47" id="_x0000_s1030" type="#_x0000_t202" style="position:absolute;left:0;text-align:left;margin-left:426pt;margin-top:104.6pt;width:477.2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" fillcolor="#8db3e2 [1311]" strokecolor="#0070c0">
                <v:shadow on="t" color="black" opacity="26214f" origin="-.5,-.5" offset=".74836mm,.74836mm"/>
                <v:textbox style="mso-fit-shape-to-text:t">
                  <w:txbxContent>
                    <w:p w14:paraId="3D7A6F98" w14:textId="0FEE8680" w:rsidR="00B1454B" w:rsidRPr="001A5BBB" w:rsidRDefault="00B1454B" w:rsidP="001A5BBB">
                      <w:pPr>
                        <w:spacing w:after="120"/>
                        <w:rPr>
                          <w:b/>
                          <w:sz w:val="24"/>
                          <w:szCs w:val="24"/>
                        </w:rPr>
                      </w:pPr>
                      <w:r>
                        <w:rPr>
                          <w:rFonts w:cs="Arial"/>
                          <w:b/>
                          <w:color w:val="000000"/>
                          <w:sz w:val="24"/>
                          <w:szCs w:val="24"/>
                        </w:rPr>
                        <w:t>Discussion q</w:t>
                      </w:r>
                      <w:r w:rsidRPr="004C40F7">
                        <w:rPr>
                          <w:rFonts w:cs="Arial"/>
                          <w:b/>
                          <w:color w:val="000000"/>
                          <w:sz w:val="24"/>
                          <w:szCs w:val="24"/>
                        </w:rPr>
                        <w:t>u</w:t>
                      </w:r>
                      <w:r w:rsidRPr="004C40F7">
                        <w:rPr>
                          <w:b/>
                          <w:sz w:val="24"/>
                          <w:szCs w:val="24"/>
                        </w:rPr>
                        <w:t>estions</w:t>
                      </w:r>
                      <w:r w:rsidRPr="001A5BBB">
                        <w:rPr>
                          <w:b/>
                          <w:sz w:val="24"/>
                          <w:szCs w:val="24"/>
                        </w:rPr>
                        <w:t xml:space="preserve"> </w:t>
                      </w:r>
                    </w:p>
                    <w:p w14:paraId="1D1801BC" w14:textId="318E3AE0" w:rsidR="00B1454B" w:rsidRPr="004C40F7" w:rsidRDefault="00B1454B" w:rsidP="004C40F7">
                      <w:pPr>
                        <w:pStyle w:val="Default"/>
                        <w:numPr>
                          <w:ilvl w:val="0"/>
                          <w:numId w:val="48"/>
                        </w:numPr>
                        <w:spacing w:after="120"/>
                        <w:ind w:left="425" w:hanging="425"/>
                        <w:jc w:val="both"/>
                      </w:pPr>
                      <w:r w:rsidRPr="004C40F7">
                        <w:t xml:space="preserve">What would be the benefit and/or implications of defining the term ‘reasonable steps’ in legislation? </w:t>
                      </w:r>
                    </w:p>
                    <w:p w14:paraId="3D074D7B" w14:textId="77777777" w:rsidR="00B1454B" w:rsidRPr="004C40F7" w:rsidRDefault="00B1454B" w:rsidP="004C40F7">
                      <w:pPr>
                        <w:pStyle w:val="Default"/>
                        <w:numPr>
                          <w:ilvl w:val="0"/>
                          <w:numId w:val="48"/>
                        </w:numPr>
                        <w:spacing w:after="120"/>
                        <w:ind w:left="425" w:hanging="425"/>
                        <w:jc w:val="both"/>
                      </w:pPr>
                      <w:r w:rsidRPr="004C40F7">
                        <w:t xml:space="preserve">If the recommendation is adopted, would it be useful to develop guidelines or industry standards about what is considered to be ‘reasonable’? </w:t>
                      </w:r>
                    </w:p>
                    <w:p w14:paraId="61A88256" w14:textId="77777777" w:rsidR="00B1454B" w:rsidRDefault="00B1454B" w:rsidP="004C40F7">
                      <w:pPr>
                        <w:pStyle w:val="Default"/>
                        <w:numPr>
                          <w:ilvl w:val="0"/>
                          <w:numId w:val="48"/>
                        </w:numPr>
                        <w:spacing w:after="120"/>
                        <w:ind w:left="425" w:hanging="425"/>
                        <w:jc w:val="both"/>
                      </w:pPr>
                      <w:r w:rsidRPr="004C40F7">
                        <w:t xml:space="preserve">Would it be appropriate for a definition of reasonable steps to be graduated according to the type of service provided? If so, on what basis? </w:t>
                      </w:r>
                    </w:p>
                    <w:p w14:paraId="197A02A7" w14:textId="5EB921BA" w:rsidR="00B1454B" w:rsidRDefault="00B1454B" w:rsidP="004C40F7">
                      <w:pPr>
                        <w:pStyle w:val="Default"/>
                        <w:numPr>
                          <w:ilvl w:val="0"/>
                          <w:numId w:val="48"/>
                        </w:numPr>
                        <w:spacing w:after="120"/>
                        <w:ind w:left="425" w:hanging="425"/>
                        <w:jc w:val="both"/>
                      </w:pPr>
                      <w:r w:rsidRPr="004C40F7">
                        <w:t xml:space="preserve">How could it be ensured that ‘reasonable steps’ were actually effective to improve the safety of children? </w:t>
                      </w:r>
                    </w:p>
                  </w:txbxContent>
                </v:textbox>
                <w10:wrap type="square" anchorx="margin"/>
              </v:shape>
            </w:pict>
          </mc:Fallback>
        </mc:AlternateContent>
      </w:r>
      <w:r w:rsidR="00F00A43" w:rsidRPr="00F00A43">
        <w:rPr>
          <w:lang w:val="en-GB"/>
        </w:rPr>
        <w:t>‘The interpretive guidance given by the bill [in relation to what constitutes reasonable precautions] is non</w:t>
      </w:r>
      <w:r w:rsidR="0043711C">
        <w:rPr>
          <w:lang w:val="en-GB"/>
        </w:rPr>
        <w:noBreakHyphen/>
      </w:r>
      <w:r w:rsidR="00F00A43" w:rsidRPr="00F00A43">
        <w:rPr>
          <w:lang w:val="en-GB"/>
        </w:rPr>
        <w:t>exhaustive, ensuring that the courts are able to consider any other appropriate factors on a case</w:t>
      </w:r>
      <w:r w:rsidR="0043711C">
        <w:rPr>
          <w:lang w:val="en-GB"/>
        </w:rPr>
        <w:noBreakHyphen/>
      </w:r>
      <w:r w:rsidR="00F00A43" w:rsidRPr="00F00A43">
        <w:rPr>
          <w:lang w:val="en-GB"/>
        </w:rPr>
        <w:t>by</w:t>
      </w:r>
      <w:r w:rsidR="0043711C">
        <w:rPr>
          <w:lang w:val="en-GB"/>
        </w:rPr>
        <w:noBreakHyphen/>
      </w:r>
      <w:r w:rsidR="00F00A43" w:rsidRPr="00F00A43">
        <w:rPr>
          <w:lang w:val="en-GB"/>
        </w:rPr>
        <w:t xml:space="preserve">case basis, such as compliance with relevant standards including the government's recently released Child Safe Standards, which are compulsory minimum standards that apply to organisations that provide services for children, and were also released in response to </w:t>
      </w:r>
      <w:r w:rsidR="00F00A43" w:rsidRPr="00F00A43">
        <w:rPr>
          <w:i/>
          <w:iCs/>
          <w:lang w:val="en-GB"/>
        </w:rPr>
        <w:t>Betrayal of Trust</w:t>
      </w:r>
      <w:r w:rsidR="00F00A43" w:rsidRPr="00F00A43">
        <w:rPr>
          <w:lang w:val="en-GB"/>
        </w:rPr>
        <w:t>.’</w:t>
      </w:r>
    </w:p>
    <w:p w14:paraId="1330721C" w14:textId="4A08C481" w:rsidR="001A5BBB" w:rsidRDefault="001A5BBB" w:rsidP="00A64FFC">
      <w:pPr>
        <w:spacing w:after="0"/>
        <w:rPr>
          <w:rFonts w:cs="Arial"/>
          <w:b/>
          <w:color w:val="000000"/>
          <w:sz w:val="24"/>
          <w:szCs w:val="24"/>
        </w:rPr>
      </w:pPr>
    </w:p>
    <w:p w14:paraId="38204D41" w14:textId="5516A3D9" w:rsidR="001A5BBB" w:rsidRDefault="001A5BBB" w:rsidP="00A64FFC">
      <w:pPr>
        <w:spacing w:after="0"/>
        <w:rPr>
          <w:rFonts w:cs="Arial"/>
          <w:b/>
          <w:color w:val="000000"/>
          <w:sz w:val="24"/>
          <w:szCs w:val="24"/>
        </w:rPr>
      </w:pPr>
    </w:p>
    <w:p w14:paraId="2B69EB70" w14:textId="54B10A0A" w:rsidR="005B6437" w:rsidRDefault="005B6437">
      <w:pPr>
        <w:rPr>
          <w:rFonts w:eastAsiaTheme="majorEastAsia" w:cs="Arial"/>
          <w:bCs/>
          <w:color w:val="000000"/>
          <w:kern w:val="32"/>
          <w:sz w:val="24"/>
          <w:szCs w:val="24"/>
        </w:rPr>
      </w:pPr>
      <w:bookmarkStart w:id="203" w:name="_Toc507161308"/>
      <w:bookmarkEnd w:id="203"/>
      <w:r>
        <w:rPr>
          <w:rFonts w:cs="Arial"/>
          <w:b/>
          <w:color w:val="000000"/>
          <w:sz w:val="24"/>
          <w:szCs w:val="24"/>
        </w:rPr>
        <w:br w:type="page"/>
      </w:r>
    </w:p>
    <w:p w14:paraId="35D59441" w14:textId="77777777" w:rsidR="000F02FF" w:rsidRPr="004C40F7" w:rsidRDefault="00060141" w:rsidP="004C40F7">
      <w:pPr>
        <w:pStyle w:val="Heading1"/>
        <w:numPr>
          <w:ilvl w:val="0"/>
          <w:numId w:val="19"/>
        </w:numPr>
        <w:ind w:left="357" w:hanging="357"/>
        <w:rPr>
          <w:caps/>
        </w:rPr>
      </w:pPr>
      <w:bookmarkStart w:id="204" w:name="_Toc507683888"/>
      <w:bookmarkStart w:id="205" w:name="_Toc507684697"/>
      <w:bookmarkStart w:id="206" w:name="_Toc507689347"/>
      <w:bookmarkStart w:id="207" w:name="_Toc507161309"/>
      <w:bookmarkStart w:id="208" w:name="_Toc507683889"/>
      <w:bookmarkStart w:id="209" w:name="_Toc507684698"/>
      <w:bookmarkStart w:id="210" w:name="_Toc507689348"/>
      <w:bookmarkStart w:id="211" w:name="_Toc507161310"/>
      <w:bookmarkStart w:id="212" w:name="_Toc507683890"/>
      <w:bookmarkStart w:id="213" w:name="_Toc507684699"/>
      <w:bookmarkStart w:id="214" w:name="_Toc507689349"/>
      <w:bookmarkStart w:id="215" w:name="_Toc507161311"/>
      <w:bookmarkStart w:id="216" w:name="_Toc507683891"/>
      <w:bookmarkStart w:id="217" w:name="_Toc507684700"/>
      <w:bookmarkStart w:id="218" w:name="_Toc507689350"/>
      <w:bookmarkStart w:id="219" w:name="_Toc507161312"/>
      <w:bookmarkStart w:id="220" w:name="_Toc507683892"/>
      <w:bookmarkStart w:id="221" w:name="_Toc507684701"/>
      <w:bookmarkStart w:id="222" w:name="_Toc507689351"/>
      <w:bookmarkStart w:id="223" w:name="_Toc507161313"/>
      <w:bookmarkStart w:id="224" w:name="_Toc507683893"/>
      <w:bookmarkStart w:id="225" w:name="_Toc507684702"/>
      <w:bookmarkStart w:id="226" w:name="_Toc507689352"/>
      <w:bookmarkStart w:id="227" w:name="_Toc50768935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4C40F7">
        <w:rPr>
          <w:caps/>
        </w:rPr>
        <w:lastRenderedPageBreak/>
        <w:t>Identifying a Proper Defendant</w:t>
      </w:r>
      <w:bookmarkEnd w:id="227"/>
    </w:p>
    <w:p w14:paraId="38823B3A" w14:textId="423AE80D" w:rsidR="00A64FFC" w:rsidRPr="00A64FFC" w:rsidRDefault="00A64FFC" w:rsidP="004C40F7">
      <w:pPr>
        <w:pStyle w:val="ListParagraph"/>
        <w:keepNext/>
        <w:keepLines/>
        <w:numPr>
          <w:ilvl w:val="0"/>
          <w:numId w:val="45"/>
        </w:numPr>
        <w:spacing w:before="240" w:after="200"/>
        <w:outlineLvl w:val="1"/>
        <w:rPr>
          <w:rFonts w:eastAsiaTheme="majorEastAsia" w:cstheme="majorBidi"/>
          <w:b/>
          <w:bCs/>
          <w:vanish/>
          <w:color w:val="606060"/>
          <w:sz w:val="28"/>
          <w:szCs w:val="28"/>
        </w:rPr>
      </w:pPr>
      <w:bookmarkStart w:id="228" w:name="_Toc507153649"/>
      <w:bookmarkStart w:id="229" w:name="_Toc507154345"/>
      <w:bookmarkStart w:id="230" w:name="_Toc507161315"/>
      <w:bookmarkStart w:id="231" w:name="_Toc507683895"/>
      <w:bookmarkStart w:id="232" w:name="_Toc507684704"/>
      <w:bookmarkStart w:id="233" w:name="_Toc507689354"/>
      <w:bookmarkEnd w:id="228"/>
      <w:bookmarkEnd w:id="229"/>
      <w:bookmarkEnd w:id="230"/>
      <w:bookmarkEnd w:id="231"/>
      <w:bookmarkEnd w:id="232"/>
      <w:bookmarkEnd w:id="233"/>
    </w:p>
    <w:p w14:paraId="5EE6EDC0" w14:textId="49C332B3" w:rsidR="00FB1CF2" w:rsidRPr="00A64FFC" w:rsidRDefault="00FB1CF2" w:rsidP="004C40F7">
      <w:pPr>
        <w:pStyle w:val="Heading2"/>
        <w:numPr>
          <w:ilvl w:val="1"/>
          <w:numId w:val="45"/>
        </w:numPr>
        <w:rPr>
          <w:color w:val="auto"/>
        </w:rPr>
      </w:pPr>
      <w:bookmarkStart w:id="234" w:name="_Toc507689355"/>
      <w:r w:rsidRPr="00A64FFC">
        <w:rPr>
          <w:color w:val="auto"/>
        </w:rPr>
        <w:t>What the Royal Commission considered</w:t>
      </w:r>
      <w:bookmarkEnd w:id="234"/>
    </w:p>
    <w:p w14:paraId="53696208" w14:textId="5D4E8E3A" w:rsidR="00FB1CF2" w:rsidRDefault="00FB1CF2" w:rsidP="004C40F7">
      <w:pPr>
        <w:autoSpaceDE w:val="0"/>
        <w:autoSpaceDN w:val="0"/>
        <w:adjustRightInd w:val="0"/>
        <w:spacing w:after="240"/>
        <w:jc w:val="both"/>
        <w:rPr>
          <w:rFonts w:cs="Arial"/>
          <w:sz w:val="24"/>
          <w:szCs w:val="24"/>
        </w:rPr>
      </w:pPr>
      <w:r w:rsidRPr="004D5398">
        <w:rPr>
          <w:rFonts w:cs="Arial"/>
          <w:sz w:val="24"/>
          <w:szCs w:val="24"/>
        </w:rPr>
        <w:t xml:space="preserve">One of the major impediments to claims for damages by survivors in respect of institutional child sexual abuse is identifying a legal entity </w:t>
      </w:r>
      <w:r>
        <w:rPr>
          <w:rFonts w:cs="Arial"/>
          <w:sz w:val="24"/>
          <w:szCs w:val="24"/>
        </w:rPr>
        <w:t>who is capable of being sued such</w:t>
      </w:r>
      <w:r w:rsidRPr="004D5398">
        <w:rPr>
          <w:rFonts w:cs="Arial"/>
          <w:sz w:val="24"/>
          <w:szCs w:val="24"/>
        </w:rPr>
        <w:t xml:space="preserve"> that it can be named as a defendant, and ensuring </w:t>
      </w:r>
      <w:r>
        <w:rPr>
          <w:rFonts w:cs="Arial"/>
          <w:sz w:val="24"/>
          <w:szCs w:val="24"/>
        </w:rPr>
        <w:t xml:space="preserve">that </w:t>
      </w:r>
      <w:r w:rsidRPr="004D5398">
        <w:rPr>
          <w:rFonts w:cs="Arial"/>
          <w:sz w:val="24"/>
          <w:szCs w:val="24"/>
        </w:rPr>
        <w:t xml:space="preserve">the institution holds sufficient assets to meet any liability from the claim. The reasons for this include, particularly in the case of religious institutions, </w:t>
      </w:r>
      <w:r>
        <w:rPr>
          <w:rFonts w:cs="Arial"/>
          <w:sz w:val="24"/>
          <w:szCs w:val="24"/>
        </w:rPr>
        <w:t xml:space="preserve">that </w:t>
      </w:r>
      <w:r w:rsidRPr="004D5398">
        <w:rPr>
          <w:rFonts w:cs="Arial"/>
          <w:sz w:val="24"/>
          <w:szCs w:val="24"/>
        </w:rPr>
        <w:t>the assets are generally held in a property trust, and while a survivor may also have the option of claiming directly against the perpetrator, that person may have no</w:t>
      </w:r>
      <w:r>
        <w:rPr>
          <w:rFonts w:cs="Arial"/>
          <w:sz w:val="24"/>
          <w:szCs w:val="24"/>
        </w:rPr>
        <w:t>,</w:t>
      </w:r>
      <w:r w:rsidRPr="004D5398">
        <w:rPr>
          <w:rFonts w:cs="Arial"/>
          <w:sz w:val="24"/>
          <w:szCs w:val="24"/>
        </w:rPr>
        <w:t xml:space="preserve"> or insufficient</w:t>
      </w:r>
      <w:r>
        <w:rPr>
          <w:rFonts w:cs="Arial"/>
          <w:sz w:val="24"/>
          <w:szCs w:val="24"/>
        </w:rPr>
        <w:t>,</w:t>
      </w:r>
      <w:r w:rsidRPr="004D5398">
        <w:rPr>
          <w:rFonts w:cs="Arial"/>
          <w:sz w:val="24"/>
          <w:szCs w:val="24"/>
        </w:rPr>
        <w:t xml:space="preserve"> assets to meet a claim.  </w:t>
      </w:r>
    </w:p>
    <w:p w14:paraId="1BC580E8" w14:textId="29B333F1" w:rsidR="00FB1CF2" w:rsidRDefault="00FB1CF2" w:rsidP="004C40F7">
      <w:pPr>
        <w:autoSpaceDE w:val="0"/>
        <w:autoSpaceDN w:val="0"/>
        <w:adjustRightInd w:val="0"/>
        <w:spacing w:after="240"/>
        <w:jc w:val="both"/>
        <w:rPr>
          <w:rFonts w:cs="Arial"/>
          <w:sz w:val="24"/>
          <w:szCs w:val="24"/>
        </w:rPr>
      </w:pPr>
      <w:r w:rsidRPr="004D5398">
        <w:rPr>
          <w:rFonts w:cs="Arial"/>
          <w:sz w:val="24"/>
          <w:szCs w:val="24"/>
        </w:rPr>
        <w:t xml:space="preserve">The leading Australian case on the issue of the identification of the ‘proper defendant’ is </w:t>
      </w:r>
      <w:r w:rsidRPr="004D5398">
        <w:rPr>
          <w:rFonts w:cs="Arial"/>
          <w:i/>
          <w:sz w:val="24"/>
          <w:szCs w:val="24"/>
        </w:rPr>
        <w:t>Trustees of the Roman Catholic Church v Ellis and Anor</w:t>
      </w:r>
      <w:r w:rsidRPr="004D5398">
        <w:rPr>
          <w:rFonts w:cs="Arial"/>
          <w:sz w:val="24"/>
          <w:szCs w:val="24"/>
        </w:rPr>
        <w:t xml:space="preserve"> [2007] NSWCA 117. In that case, the claimant sought to sue the Trustees of the Roman Catholic Church for abuse perpetrated by an assistant priest. The New South Wales Court of Appeal held that the</w:t>
      </w:r>
      <w:r>
        <w:rPr>
          <w:rFonts w:cs="Arial"/>
          <w:sz w:val="24"/>
          <w:szCs w:val="24"/>
        </w:rPr>
        <w:t xml:space="preserve"> </w:t>
      </w:r>
      <w:r>
        <w:rPr>
          <w:rFonts w:cs="Arial"/>
          <w:sz w:val="24"/>
          <w:szCs w:val="24"/>
        </w:rPr>
        <w:br/>
      </w:r>
      <w:r w:rsidRPr="000327C1">
        <w:rPr>
          <w:rFonts w:cs="Arial"/>
          <w:sz w:val="24"/>
          <w:szCs w:val="24"/>
        </w:rPr>
        <w:t>Catholic Archdiocese of Sydney was an unincorporated association and as such could not be sued in its name</w:t>
      </w:r>
      <w:r>
        <w:rPr>
          <w:rFonts w:cs="Arial"/>
          <w:sz w:val="24"/>
          <w:szCs w:val="24"/>
        </w:rPr>
        <w:t xml:space="preserve">. Further, the other legal entity which could be sued and which had assets, namely the </w:t>
      </w:r>
      <w:r w:rsidRPr="000327C1">
        <w:rPr>
          <w:rFonts w:cs="Arial"/>
          <w:sz w:val="24"/>
          <w:szCs w:val="24"/>
        </w:rPr>
        <w:t>Trustees of the Roman Catholic Church for the Archdiocese of Sydney</w:t>
      </w:r>
      <w:r>
        <w:rPr>
          <w:rFonts w:cs="Arial"/>
          <w:sz w:val="24"/>
          <w:szCs w:val="24"/>
        </w:rPr>
        <w:t>,</w:t>
      </w:r>
      <w:r w:rsidRPr="004D5398">
        <w:rPr>
          <w:rFonts w:cs="Arial"/>
          <w:sz w:val="24"/>
          <w:szCs w:val="24"/>
        </w:rPr>
        <w:t xml:space="preserve"> could not be held liable as they were not associated with the management or oversight of religious personnel or the conduct of religious business within the church.</w:t>
      </w:r>
    </w:p>
    <w:p w14:paraId="68C624F6" w14:textId="1EEA759C" w:rsidR="00FB1CF2" w:rsidRPr="00A64FFC" w:rsidRDefault="00FB1CF2" w:rsidP="004C40F7">
      <w:pPr>
        <w:pStyle w:val="Heading2"/>
        <w:numPr>
          <w:ilvl w:val="1"/>
          <w:numId w:val="45"/>
        </w:numPr>
        <w:rPr>
          <w:color w:val="auto"/>
        </w:rPr>
      </w:pPr>
      <w:bookmarkStart w:id="235" w:name="_Toc507689356"/>
      <w:r w:rsidRPr="00A64FFC">
        <w:rPr>
          <w:color w:val="auto"/>
        </w:rPr>
        <w:t>What the Royal Commission Recommended</w:t>
      </w:r>
      <w:bookmarkEnd w:id="235"/>
    </w:p>
    <w:p w14:paraId="248E18E9" w14:textId="7A5E5BF6" w:rsidR="00FB1CF2" w:rsidRPr="004D5398" w:rsidRDefault="00FB1CF2" w:rsidP="00FB1CF2">
      <w:pPr>
        <w:autoSpaceDE w:val="0"/>
        <w:autoSpaceDN w:val="0"/>
        <w:adjustRightInd w:val="0"/>
        <w:spacing w:after="120"/>
        <w:jc w:val="both"/>
        <w:rPr>
          <w:rFonts w:cs="Arial"/>
          <w:sz w:val="24"/>
          <w:szCs w:val="24"/>
        </w:rPr>
      </w:pPr>
      <w:r w:rsidRPr="004D5398">
        <w:rPr>
          <w:rFonts w:cs="Arial"/>
          <w:sz w:val="24"/>
          <w:szCs w:val="24"/>
        </w:rPr>
        <w:t xml:space="preserve">Recognising that the majority of claims are made against religious institutions, and that such institutions are generally associated with a property trust, the Royal Commission recommended that unless the institution nominates a proper defendant to sue that has sufficient assets to meet any liability arising from a claim: </w:t>
      </w:r>
    </w:p>
    <w:p w14:paraId="46C5191E" w14:textId="15899170" w:rsidR="00FB1CF2" w:rsidRPr="004C40F7" w:rsidRDefault="0098178C" w:rsidP="004C40F7">
      <w:pPr>
        <w:pStyle w:val="ListParagraph"/>
        <w:numPr>
          <w:ilvl w:val="1"/>
          <w:numId w:val="10"/>
        </w:numPr>
        <w:ind w:left="567" w:hanging="567"/>
        <w:jc w:val="both"/>
        <w:rPr>
          <w:rFonts w:cs="Arial"/>
          <w:sz w:val="24"/>
          <w:szCs w:val="24"/>
        </w:rPr>
      </w:pPr>
      <w:r>
        <w:rPr>
          <w:rFonts w:cs="Arial"/>
          <w:sz w:val="24"/>
          <w:szCs w:val="24"/>
        </w:rPr>
        <w:t>‘</w:t>
      </w:r>
      <w:r w:rsidR="00FB1CF2" w:rsidRPr="004C40F7">
        <w:rPr>
          <w:rFonts w:cs="Arial"/>
          <w:sz w:val="24"/>
          <w:szCs w:val="24"/>
        </w:rPr>
        <w:t>the property trust is a proper defendant to the litigation</w:t>
      </w:r>
      <w:r w:rsidR="005B6437">
        <w:rPr>
          <w:rFonts w:cs="Arial"/>
          <w:sz w:val="24"/>
          <w:szCs w:val="24"/>
        </w:rPr>
        <w:t>;</w:t>
      </w:r>
    </w:p>
    <w:p w14:paraId="4793737F" w14:textId="7B2083A1" w:rsidR="00E428E6" w:rsidRPr="005B6437" w:rsidRDefault="00FB1CF2" w:rsidP="004C40F7">
      <w:pPr>
        <w:pStyle w:val="ListParagraph"/>
        <w:numPr>
          <w:ilvl w:val="1"/>
          <w:numId w:val="10"/>
        </w:numPr>
        <w:spacing w:after="0"/>
        <w:ind w:left="567" w:hanging="567"/>
        <w:jc w:val="both"/>
      </w:pPr>
      <w:r w:rsidRPr="004D5398">
        <w:rPr>
          <w:rFonts w:cs="Arial"/>
          <w:sz w:val="24"/>
          <w:szCs w:val="24"/>
        </w:rPr>
        <w:t xml:space="preserve">any liability of the institution with which the property trust is associated </w:t>
      </w:r>
      <w:r w:rsidR="00BC55B9">
        <w:rPr>
          <w:rFonts w:cs="Arial"/>
          <w:sz w:val="24"/>
          <w:szCs w:val="24"/>
        </w:rPr>
        <w:t xml:space="preserve">that arises from </w:t>
      </w:r>
      <w:r w:rsidRPr="004D5398">
        <w:rPr>
          <w:rFonts w:cs="Arial"/>
          <w:sz w:val="24"/>
          <w:szCs w:val="24"/>
        </w:rPr>
        <w:t>the proceedings can be met from the assets of the trust.</w:t>
      </w:r>
      <w:r w:rsidR="00BC55B9">
        <w:rPr>
          <w:rFonts w:cs="Arial"/>
          <w:sz w:val="24"/>
          <w:szCs w:val="24"/>
        </w:rPr>
        <w:t>’</w:t>
      </w:r>
      <w:r w:rsidRPr="004D5398">
        <w:rPr>
          <w:rFonts w:cs="Arial"/>
          <w:sz w:val="24"/>
          <w:szCs w:val="24"/>
        </w:rPr>
        <w:t xml:space="preserve"> </w:t>
      </w:r>
    </w:p>
    <w:p w14:paraId="55D34E63" w14:textId="77777777" w:rsidR="00FB1CF2" w:rsidRPr="00A64FFC" w:rsidRDefault="00FB1CF2" w:rsidP="004C40F7">
      <w:pPr>
        <w:pStyle w:val="Heading2"/>
        <w:numPr>
          <w:ilvl w:val="1"/>
          <w:numId w:val="45"/>
        </w:numPr>
        <w:rPr>
          <w:color w:val="auto"/>
        </w:rPr>
      </w:pPr>
      <w:bookmarkStart w:id="236" w:name="_Toc507161318"/>
      <w:bookmarkStart w:id="237" w:name="_Toc507683898"/>
      <w:bookmarkStart w:id="238" w:name="_Toc507684707"/>
      <w:bookmarkStart w:id="239" w:name="_Toc507689357"/>
      <w:bookmarkStart w:id="240" w:name="_Toc507689358"/>
      <w:bookmarkEnd w:id="236"/>
      <w:bookmarkEnd w:id="237"/>
      <w:bookmarkEnd w:id="238"/>
      <w:bookmarkEnd w:id="239"/>
      <w:r w:rsidRPr="00A64FFC">
        <w:rPr>
          <w:color w:val="auto"/>
        </w:rPr>
        <w:lastRenderedPageBreak/>
        <w:t>Situation in other jurisdictions</w:t>
      </w:r>
      <w:bookmarkEnd w:id="240"/>
    </w:p>
    <w:p w14:paraId="40450A94" w14:textId="0C36EB3D" w:rsidR="00AE4BD7" w:rsidRPr="00A64FFC" w:rsidRDefault="00AE4BD7" w:rsidP="004C40F7">
      <w:pPr>
        <w:keepNext/>
        <w:spacing w:after="240"/>
        <w:jc w:val="both"/>
        <w:rPr>
          <w:rFonts w:cs="Arial"/>
          <w:b/>
          <w:sz w:val="24"/>
          <w:szCs w:val="24"/>
        </w:rPr>
      </w:pPr>
      <w:r w:rsidRPr="00A64FFC">
        <w:rPr>
          <w:rFonts w:cs="Arial"/>
          <w:b/>
          <w:sz w:val="24"/>
          <w:szCs w:val="24"/>
        </w:rPr>
        <w:t>Victoria</w:t>
      </w:r>
    </w:p>
    <w:p w14:paraId="26E486CA" w14:textId="7D609B6E" w:rsidR="00CF0D42" w:rsidRDefault="00FB1CF2" w:rsidP="004C40F7">
      <w:pPr>
        <w:spacing w:after="240"/>
        <w:ind w:right="-1"/>
        <w:jc w:val="both"/>
        <w:rPr>
          <w:rFonts w:cs="Arial"/>
          <w:sz w:val="24"/>
          <w:szCs w:val="24"/>
        </w:rPr>
      </w:pPr>
      <w:r w:rsidRPr="004D5398">
        <w:rPr>
          <w:rFonts w:cs="Arial"/>
          <w:sz w:val="24"/>
          <w:szCs w:val="24"/>
        </w:rPr>
        <w:t xml:space="preserve">Victoria </w:t>
      </w:r>
      <w:r w:rsidR="00416F6D">
        <w:rPr>
          <w:rFonts w:cs="Arial"/>
          <w:sz w:val="24"/>
          <w:szCs w:val="24"/>
        </w:rPr>
        <w:t xml:space="preserve">was the first </w:t>
      </w:r>
      <w:r w:rsidRPr="004D5398">
        <w:rPr>
          <w:rFonts w:cs="Arial"/>
          <w:sz w:val="24"/>
          <w:szCs w:val="24"/>
        </w:rPr>
        <w:t xml:space="preserve">jurisdiction to have implemented a statutory duty of care for institutions and it </w:t>
      </w:r>
      <w:r w:rsidR="00416F6D">
        <w:rPr>
          <w:rFonts w:cs="Arial"/>
          <w:sz w:val="24"/>
          <w:szCs w:val="24"/>
        </w:rPr>
        <w:t xml:space="preserve">recently enacted the </w:t>
      </w:r>
      <w:r w:rsidR="00416F6D" w:rsidRPr="00416F6D">
        <w:rPr>
          <w:rFonts w:cs="Arial"/>
          <w:i/>
          <w:sz w:val="24"/>
          <w:szCs w:val="24"/>
        </w:rPr>
        <w:t>Legal Identity of Defendants (Organisational Child Abuse) Act</w:t>
      </w:r>
      <w:r w:rsidR="00416F6D">
        <w:rPr>
          <w:rFonts w:cs="Arial"/>
          <w:sz w:val="24"/>
          <w:szCs w:val="24"/>
        </w:rPr>
        <w:t xml:space="preserve"> </w:t>
      </w:r>
      <w:r w:rsidR="00416F6D" w:rsidRPr="00416F6D">
        <w:rPr>
          <w:rFonts w:cs="Arial"/>
          <w:i/>
          <w:sz w:val="24"/>
          <w:szCs w:val="24"/>
        </w:rPr>
        <w:t>2018</w:t>
      </w:r>
      <w:r w:rsidRPr="004D5398">
        <w:rPr>
          <w:rFonts w:cs="Arial"/>
          <w:sz w:val="24"/>
          <w:szCs w:val="24"/>
        </w:rPr>
        <w:t xml:space="preserve"> </w:t>
      </w:r>
      <w:r w:rsidR="00416F6D">
        <w:rPr>
          <w:rFonts w:cs="Arial"/>
          <w:sz w:val="24"/>
          <w:szCs w:val="24"/>
        </w:rPr>
        <w:t xml:space="preserve">(Vic) </w:t>
      </w:r>
      <w:r w:rsidRPr="004D5398">
        <w:rPr>
          <w:rFonts w:cs="Arial"/>
          <w:sz w:val="24"/>
          <w:szCs w:val="24"/>
        </w:rPr>
        <w:t xml:space="preserve">on </w:t>
      </w:r>
      <w:r w:rsidR="00416F6D">
        <w:rPr>
          <w:rFonts w:cs="Arial"/>
          <w:sz w:val="24"/>
          <w:szCs w:val="24"/>
        </w:rPr>
        <w:t xml:space="preserve">facilitate the </w:t>
      </w:r>
      <w:r w:rsidRPr="004D5398">
        <w:rPr>
          <w:rFonts w:cs="Arial"/>
          <w:sz w:val="24"/>
          <w:szCs w:val="24"/>
        </w:rPr>
        <w:t>i</w:t>
      </w:r>
      <w:r w:rsidR="00416F6D">
        <w:rPr>
          <w:rFonts w:cs="Arial"/>
          <w:sz w:val="24"/>
          <w:szCs w:val="24"/>
        </w:rPr>
        <w:t>dentification of</w:t>
      </w:r>
      <w:r>
        <w:rPr>
          <w:rFonts w:cs="Arial"/>
          <w:sz w:val="24"/>
          <w:szCs w:val="24"/>
        </w:rPr>
        <w:t xml:space="preserve"> a proper defendant. </w:t>
      </w:r>
    </w:p>
    <w:p w14:paraId="26731EFB" w14:textId="00C8D22E" w:rsidR="00FB1CF2" w:rsidRPr="004D5398" w:rsidRDefault="00FB1CF2" w:rsidP="00CF0D42">
      <w:pPr>
        <w:spacing w:after="240"/>
        <w:ind w:right="-1"/>
        <w:jc w:val="both"/>
        <w:rPr>
          <w:rFonts w:cs="Arial"/>
          <w:sz w:val="24"/>
          <w:szCs w:val="24"/>
        </w:rPr>
      </w:pPr>
      <w:r>
        <w:rPr>
          <w:rFonts w:cs="Arial"/>
          <w:sz w:val="24"/>
          <w:szCs w:val="24"/>
        </w:rPr>
        <w:t>S</w:t>
      </w:r>
      <w:r w:rsidRPr="004D5398">
        <w:rPr>
          <w:rFonts w:cs="Arial"/>
          <w:sz w:val="24"/>
          <w:szCs w:val="24"/>
        </w:rPr>
        <w:t xml:space="preserve">ection 92 of the </w:t>
      </w:r>
      <w:r w:rsidRPr="004D5398">
        <w:rPr>
          <w:rFonts w:cs="Arial"/>
          <w:i/>
          <w:sz w:val="24"/>
          <w:szCs w:val="24"/>
        </w:rPr>
        <w:t>Wrongs Act</w:t>
      </w:r>
      <w:r>
        <w:rPr>
          <w:rFonts w:cs="Arial"/>
          <w:i/>
          <w:sz w:val="24"/>
          <w:szCs w:val="24"/>
        </w:rPr>
        <w:t xml:space="preserve"> 1958</w:t>
      </w:r>
      <w:r w:rsidRPr="004D5398">
        <w:rPr>
          <w:rFonts w:cs="Arial"/>
          <w:i/>
          <w:sz w:val="24"/>
          <w:szCs w:val="24"/>
        </w:rPr>
        <w:t xml:space="preserve"> </w:t>
      </w:r>
      <w:r w:rsidRPr="007360FB">
        <w:rPr>
          <w:rFonts w:cs="Arial"/>
          <w:sz w:val="24"/>
          <w:szCs w:val="24"/>
        </w:rPr>
        <w:t>(Vic)</w:t>
      </w:r>
      <w:r w:rsidRPr="004D5398">
        <w:rPr>
          <w:rFonts w:cs="Arial"/>
          <w:sz w:val="24"/>
          <w:szCs w:val="24"/>
        </w:rPr>
        <w:t xml:space="preserve"> includes an ability for an organisation that is not capable of being sued to nominate, with the consent of the nominee, an appropriate defendant.</w:t>
      </w:r>
      <w:r>
        <w:rPr>
          <w:rFonts w:cs="Arial"/>
          <w:sz w:val="24"/>
          <w:szCs w:val="24"/>
        </w:rPr>
        <w:t xml:space="preserve"> This does not go as far as the recommendation made by the Royal Commission, namely where no</w:t>
      </w:r>
      <w:r w:rsidR="00E17E78">
        <w:rPr>
          <w:rFonts w:cs="Arial"/>
          <w:sz w:val="24"/>
          <w:szCs w:val="24"/>
        </w:rPr>
        <w:noBreakHyphen/>
      </w:r>
      <w:r>
        <w:rPr>
          <w:rFonts w:cs="Arial"/>
          <w:sz w:val="24"/>
          <w:szCs w:val="24"/>
        </w:rPr>
        <w:t xml:space="preserve">one is nominated the property trust automatically becomes the defendant which is liable from its assets. However, the Victorian amendments were </w:t>
      </w:r>
      <w:r w:rsidRPr="005839B7">
        <w:rPr>
          <w:rFonts w:cs="Arial"/>
          <w:sz w:val="24"/>
          <w:szCs w:val="24"/>
        </w:rPr>
        <w:t>focussed on implementing the</w:t>
      </w:r>
      <w:r w:rsidR="00A64FFC">
        <w:rPr>
          <w:rFonts w:cs="Arial"/>
          <w:sz w:val="24"/>
          <w:szCs w:val="24"/>
        </w:rPr>
        <w:t xml:space="preserve"> recommendations from the</w:t>
      </w:r>
      <w:r>
        <w:rPr>
          <w:rFonts w:cs="Arial"/>
          <w:sz w:val="24"/>
          <w:szCs w:val="24"/>
        </w:rPr>
        <w:t xml:space="preserve"> report of the Family and Community Development Committee inquiry</w:t>
      </w:r>
      <w:r w:rsidRPr="005839B7">
        <w:rPr>
          <w:rFonts w:cs="Arial"/>
          <w:sz w:val="24"/>
          <w:szCs w:val="24"/>
        </w:rPr>
        <w:t xml:space="preserve"> "Betrayal of Trust", as well as referr</w:t>
      </w:r>
      <w:r>
        <w:rPr>
          <w:rFonts w:cs="Arial"/>
          <w:sz w:val="24"/>
          <w:szCs w:val="24"/>
        </w:rPr>
        <w:t>ing</w:t>
      </w:r>
      <w:r w:rsidRPr="005839B7">
        <w:rPr>
          <w:rFonts w:cs="Arial"/>
          <w:sz w:val="24"/>
          <w:szCs w:val="24"/>
        </w:rPr>
        <w:t xml:space="preserve"> to the Royal Commission</w:t>
      </w:r>
      <w:r>
        <w:rPr>
          <w:rFonts w:cs="Arial"/>
          <w:sz w:val="24"/>
          <w:szCs w:val="24"/>
        </w:rPr>
        <w:t xml:space="preserve"> recommendations on civil litigation reform. It was </w:t>
      </w:r>
      <w:r w:rsidRPr="005839B7">
        <w:rPr>
          <w:rFonts w:cs="Arial"/>
          <w:sz w:val="24"/>
          <w:szCs w:val="24"/>
        </w:rPr>
        <w:t>noted that arising out of the Betrayal of Trust inquiry, some unincorporated associations and organisations</w:t>
      </w:r>
      <w:r>
        <w:rPr>
          <w:rFonts w:cs="Arial"/>
          <w:sz w:val="24"/>
          <w:szCs w:val="24"/>
        </w:rPr>
        <w:t>, which otherwise were not capable of being sued,</w:t>
      </w:r>
      <w:r w:rsidRPr="005839B7">
        <w:rPr>
          <w:rFonts w:cs="Arial"/>
          <w:sz w:val="24"/>
          <w:szCs w:val="24"/>
        </w:rPr>
        <w:t xml:space="preserve"> had proactively set up entities for </w:t>
      </w:r>
      <w:r>
        <w:rPr>
          <w:rFonts w:cs="Arial"/>
          <w:sz w:val="24"/>
          <w:szCs w:val="24"/>
        </w:rPr>
        <w:t xml:space="preserve">child </w:t>
      </w:r>
      <w:r w:rsidRPr="005839B7">
        <w:rPr>
          <w:rFonts w:cs="Arial"/>
          <w:sz w:val="24"/>
          <w:szCs w:val="24"/>
        </w:rPr>
        <w:t>abuse plaintiffs to sue. Section 92(1) was intended to facilitate these arrangements</w:t>
      </w:r>
      <w:r>
        <w:rPr>
          <w:rFonts w:cs="Arial"/>
          <w:sz w:val="24"/>
          <w:szCs w:val="24"/>
        </w:rPr>
        <w:t xml:space="preserve"> and it is understood Victoria continues to </w:t>
      </w:r>
      <w:r w:rsidR="00416F6D">
        <w:rPr>
          <w:rFonts w:cs="Arial"/>
          <w:sz w:val="24"/>
          <w:szCs w:val="24"/>
        </w:rPr>
        <w:t>implement</w:t>
      </w:r>
      <w:r>
        <w:rPr>
          <w:rFonts w:cs="Arial"/>
          <w:sz w:val="24"/>
          <w:szCs w:val="24"/>
        </w:rPr>
        <w:t xml:space="preserve"> the Royal Commission’s recommendations with respect to identifying a proper defendant, particularly with respect to religious organisations associated with a property trust.</w:t>
      </w:r>
    </w:p>
    <w:p w14:paraId="7880BA88" w14:textId="266E0A78" w:rsidR="00AE4BD7" w:rsidRPr="00A64FFC" w:rsidRDefault="00AE4BD7" w:rsidP="00CF0D42">
      <w:pPr>
        <w:pStyle w:val="Default"/>
        <w:keepNext/>
        <w:spacing w:after="240"/>
        <w:rPr>
          <w:b/>
        </w:rPr>
      </w:pPr>
      <w:r w:rsidRPr="00A64FFC">
        <w:rPr>
          <w:b/>
        </w:rPr>
        <w:t>Western Australia</w:t>
      </w:r>
    </w:p>
    <w:p w14:paraId="21157754" w14:textId="69F1AC2B" w:rsidR="00B53B60" w:rsidRPr="00A11355" w:rsidRDefault="008F6F3C" w:rsidP="00E17E78">
      <w:pPr>
        <w:pStyle w:val="Default"/>
        <w:spacing w:after="120"/>
        <w:jc w:val="both"/>
      </w:pPr>
      <w:r w:rsidRPr="00A11355">
        <w:t>In November 201</w:t>
      </w:r>
      <w:r w:rsidR="001966F7" w:rsidRPr="00A11355">
        <w:t>7, the Civil Liability Legislation Amendment (Child Sexual Abuse Actions) Bill 2017</w:t>
      </w:r>
      <w:r w:rsidR="00D100B0">
        <w:t xml:space="preserve"> (WA)</w:t>
      </w:r>
      <w:r w:rsidR="001966F7" w:rsidRPr="00A11355">
        <w:t xml:space="preserve"> was introduced into the </w:t>
      </w:r>
      <w:r w:rsidR="00021500" w:rsidRPr="00A11355">
        <w:t>Western Australian S</w:t>
      </w:r>
      <w:r w:rsidR="001966F7" w:rsidRPr="00A11355">
        <w:t xml:space="preserve">tate </w:t>
      </w:r>
      <w:r w:rsidR="00021500" w:rsidRPr="00A11355">
        <w:t>P</w:t>
      </w:r>
      <w:r w:rsidR="004D6F83">
        <w:t>arliament. The legislation</w:t>
      </w:r>
      <w:r w:rsidR="00573780">
        <w:t xml:space="preserve"> came into force on 1 July 2018. The </w:t>
      </w:r>
      <w:r w:rsidR="00573780" w:rsidRPr="00416F6D">
        <w:rPr>
          <w:i/>
        </w:rPr>
        <w:t>Civil Liability Legislation Amendment (Child Sexual Abuse Actions) Act 2018</w:t>
      </w:r>
      <w:r w:rsidR="00416F6D">
        <w:rPr>
          <w:i/>
        </w:rPr>
        <w:t xml:space="preserve"> </w:t>
      </w:r>
      <w:r w:rsidR="00416F6D">
        <w:t>(WA)</w:t>
      </w:r>
      <w:r w:rsidR="00B53B60" w:rsidRPr="00A11355">
        <w:t>:</w:t>
      </w:r>
    </w:p>
    <w:p w14:paraId="4DC9710C" w14:textId="3370FC33" w:rsidR="00AB020D" w:rsidRPr="00A11355" w:rsidRDefault="00F86C17" w:rsidP="00E17E78">
      <w:pPr>
        <w:pStyle w:val="Default"/>
        <w:numPr>
          <w:ilvl w:val="0"/>
          <w:numId w:val="31"/>
        </w:numPr>
        <w:spacing w:after="120"/>
        <w:ind w:left="567" w:hanging="567"/>
        <w:jc w:val="both"/>
      </w:pPr>
      <w:r w:rsidRPr="00A11355">
        <w:t>provide</w:t>
      </w:r>
      <w:r w:rsidR="004D6F83">
        <w:t>s</w:t>
      </w:r>
      <w:r w:rsidRPr="00A11355">
        <w:t xml:space="preserve"> a legal basis for </w:t>
      </w:r>
      <w:r w:rsidR="00AB020D" w:rsidRPr="00A11355">
        <w:t>commencing action</w:t>
      </w:r>
      <w:r w:rsidR="007C1454" w:rsidRPr="00A11355">
        <w:t>s</w:t>
      </w:r>
      <w:r w:rsidR="00AB020D" w:rsidRPr="00A11355">
        <w:t xml:space="preserve"> against institutions (whether currently incorporated or unincorporated) in the name of their current office holders for historical child sexual abuse that occurred while the institution was unincorporated;</w:t>
      </w:r>
    </w:p>
    <w:p w14:paraId="531F83FD" w14:textId="7766CFBD" w:rsidR="007C1454" w:rsidRPr="00A11355" w:rsidRDefault="00F86C17" w:rsidP="00E17E78">
      <w:pPr>
        <w:pStyle w:val="Default"/>
        <w:numPr>
          <w:ilvl w:val="0"/>
          <w:numId w:val="31"/>
        </w:numPr>
        <w:spacing w:after="120"/>
        <w:ind w:left="567" w:hanging="567"/>
        <w:jc w:val="both"/>
      </w:pPr>
      <w:r>
        <w:t>establish</w:t>
      </w:r>
      <w:r w:rsidR="00416F6D">
        <w:t>es</w:t>
      </w:r>
      <w:r>
        <w:t xml:space="preserve"> a process for </w:t>
      </w:r>
      <w:r w:rsidR="00590C4F" w:rsidRPr="00A11355">
        <w:t xml:space="preserve">linking a historical institution to </w:t>
      </w:r>
      <w:r>
        <w:t>a current institution so</w:t>
      </w:r>
      <w:r w:rsidR="00590C4F" w:rsidRPr="00A11355">
        <w:t xml:space="preserve"> that the current office holder can be sued and held liable in the place of </w:t>
      </w:r>
      <w:r w:rsidR="00590C4F" w:rsidRPr="00A11355">
        <w:lastRenderedPageBreak/>
        <w:t>the historical office holder</w:t>
      </w:r>
      <w:r w:rsidR="007C1454" w:rsidRPr="00A11355">
        <w:t xml:space="preserve">. This includes </w:t>
      </w:r>
      <w:r w:rsidR="00D100B0">
        <w:t xml:space="preserve">enabling the </w:t>
      </w:r>
      <w:r w:rsidR="007C1454" w:rsidRPr="00A11355">
        <w:t>Governor,</w:t>
      </w:r>
      <w:r w:rsidR="006245C4">
        <w:t xml:space="preserve"> on recommendation of the relevant minister, </w:t>
      </w:r>
      <w:r w:rsidR="00D100B0">
        <w:t xml:space="preserve">to </w:t>
      </w:r>
      <w:r w:rsidR="00556DA7">
        <w:t>make</w:t>
      </w:r>
      <w:r w:rsidR="006245C4">
        <w:t xml:space="preserve"> regulation</w:t>
      </w:r>
      <w:r w:rsidR="00556DA7">
        <w:t>s</w:t>
      </w:r>
      <w:r w:rsidR="006245C4">
        <w:t xml:space="preserve"> naming </w:t>
      </w:r>
      <w:r w:rsidR="007C1454" w:rsidRPr="00A11355">
        <w:t>a current institution as the relevant successor of an earlier institution where there is no current institution that is the same or substantially the same as the institution at the time of the accrual of the cause of action; and</w:t>
      </w:r>
    </w:p>
    <w:p w14:paraId="0740DD49" w14:textId="3E3C6D36" w:rsidR="006245C4" w:rsidRPr="006245C4" w:rsidRDefault="00D100B0" w:rsidP="00CF0D42">
      <w:pPr>
        <w:pStyle w:val="Default"/>
        <w:numPr>
          <w:ilvl w:val="0"/>
          <w:numId w:val="31"/>
        </w:numPr>
        <w:spacing w:after="240"/>
        <w:ind w:left="567" w:hanging="567"/>
        <w:jc w:val="both"/>
      </w:pPr>
      <w:r w:rsidRPr="00A11355">
        <w:t>provide</w:t>
      </w:r>
      <w:r w:rsidR="00416F6D">
        <w:t>s</w:t>
      </w:r>
      <w:r w:rsidRPr="00A11355">
        <w:t xml:space="preserve"> a legal basis for </w:t>
      </w:r>
      <w:r w:rsidR="007C1454" w:rsidRPr="006245C4">
        <w:t>institutions</w:t>
      </w:r>
      <w:r w:rsidR="009F02DC" w:rsidRPr="006245C4">
        <w:t>, trustees and office holders to use assets that are held by or for liable institutions or office holders to discharge a</w:t>
      </w:r>
      <w:r w:rsidR="006245C4" w:rsidRPr="006245C4">
        <w:t>ny child sexual abuse liability, notwithstanding any restrictions that would arise from an institutions asset holding structures.</w:t>
      </w:r>
    </w:p>
    <w:p w14:paraId="74C48B34" w14:textId="16EE2357" w:rsidR="007C1454" w:rsidRPr="006245C4" w:rsidRDefault="007C1454" w:rsidP="00CF0D42">
      <w:pPr>
        <w:pStyle w:val="Default"/>
        <w:spacing w:after="240"/>
        <w:jc w:val="both"/>
      </w:pPr>
      <w:r w:rsidRPr="006245C4">
        <w:t>In relation to the first two points, the second reading speech</w:t>
      </w:r>
      <w:r w:rsidR="00F86C17">
        <w:t xml:space="preserve"> for the </w:t>
      </w:r>
      <w:r w:rsidR="00D80CE1">
        <w:t>Act</w:t>
      </w:r>
      <w:r w:rsidRPr="006245C4">
        <w:t xml:space="preserve"> provides that the relevant provisions:</w:t>
      </w:r>
    </w:p>
    <w:p w14:paraId="01915BDB" w14:textId="77777777" w:rsidR="007C1454" w:rsidRPr="006245C4" w:rsidRDefault="007C1454" w:rsidP="00CF0D42">
      <w:pPr>
        <w:pStyle w:val="Default"/>
        <w:spacing w:after="240"/>
        <w:ind w:left="567"/>
        <w:jc w:val="both"/>
      </w:pPr>
      <w:r w:rsidRPr="006245C4">
        <w:t xml:space="preserve">‘…are required to overcome the difficulties that a victim may face in identifying a proper defendant, particularly those arising out of the lack of perpetual succession in unincorporated institutions as identified in the </w:t>
      </w:r>
      <w:r w:rsidRPr="006245C4">
        <w:rPr>
          <w:i/>
        </w:rPr>
        <w:t>Ellis</w:t>
      </w:r>
      <w:r w:rsidRPr="006245C4">
        <w:t xml:space="preserve"> decision.’ </w:t>
      </w:r>
    </w:p>
    <w:p w14:paraId="40ED1004" w14:textId="7048DB19" w:rsidR="007C1454" w:rsidRPr="006245C4" w:rsidRDefault="006245C4" w:rsidP="00CF0D42">
      <w:pPr>
        <w:pStyle w:val="Default"/>
        <w:spacing w:after="240"/>
        <w:jc w:val="both"/>
      </w:pPr>
      <w:r>
        <w:t>I</w:t>
      </w:r>
      <w:r w:rsidR="007C1454" w:rsidRPr="006245C4">
        <w:t>t should</w:t>
      </w:r>
      <w:r>
        <w:t xml:space="preserve"> </w:t>
      </w:r>
      <w:r w:rsidR="007C1454" w:rsidRPr="006245C4">
        <w:t xml:space="preserve">be noted that the regulation making power of the Governor </w:t>
      </w:r>
      <w:r>
        <w:t xml:space="preserve">identified at </w:t>
      </w:r>
      <w:r w:rsidR="00CF0D42">
        <w:t xml:space="preserve">dot </w:t>
      </w:r>
      <w:r>
        <w:t xml:space="preserve">point two </w:t>
      </w:r>
      <w:r w:rsidR="007C1454" w:rsidRPr="006245C4">
        <w:t xml:space="preserve">is not unfettered. The </w:t>
      </w:r>
      <w:r>
        <w:t xml:space="preserve">relevant </w:t>
      </w:r>
      <w:r w:rsidR="007C1454" w:rsidRPr="006245C4">
        <w:t>minister cannot make a recommendation unless satisfied that the current institution has some relevant connection to the earlier institution, or the individual or body with overall responsibility for the current institution has agreed to the current institution being taken to be the relevant successor of the earlier institution.</w:t>
      </w:r>
    </w:p>
    <w:p w14:paraId="18F35CCA" w14:textId="394E866C" w:rsidR="009D592A" w:rsidRPr="009D592A" w:rsidRDefault="009D592A" w:rsidP="00CF0D42">
      <w:pPr>
        <w:pStyle w:val="Default"/>
        <w:spacing w:after="240"/>
        <w:jc w:val="both"/>
      </w:pPr>
      <w:r w:rsidRPr="009D592A">
        <w:t>It should also be noted that</w:t>
      </w:r>
      <w:r w:rsidR="00FE496A">
        <w:t>,</w:t>
      </w:r>
      <w:r w:rsidRPr="009D592A">
        <w:t xml:space="preserve"> while an office holder may be held liable for child sexual abuse, and the office holder may satisfy the liability out of the assets held by or for the office or institution, the personal assets of the office holder cannot be used to satisfy the liability.</w:t>
      </w:r>
    </w:p>
    <w:p w14:paraId="7E0CAA8A" w14:textId="48CE6E50" w:rsidR="00653352" w:rsidRDefault="00570422" w:rsidP="00CF0D42">
      <w:pPr>
        <w:pStyle w:val="Default"/>
        <w:spacing w:after="240"/>
        <w:jc w:val="both"/>
      </w:pPr>
      <w:r w:rsidRPr="00F86C17">
        <w:t>Th</w:t>
      </w:r>
      <w:r w:rsidR="009D592A">
        <w:t xml:space="preserve">e legislation </w:t>
      </w:r>
      <w:r w:rsidR="0074365C">
        <w:t xml:space="preserve">appears to </w:t>
      </w:r>
      <w:r w:rsidR="009D592A">
        <w:t>go</w:t>
      </w:r>
      <w:r w:rsidRPr="00F86C17">
        <w:t xml:space="preserve"> further than</w:t>
      </w:r>
      <w:r w:rsidR="00653352">
        <w:t xml:space="preserve"> Royal Commission recommendation 9</w:t>
      </w:r>
      <w:r w:rsidR="00FE496A">
        <w:t>4</w:t>
      </w:r>
      <w:r w:rsidR="00653352">
        <w:t xml:space="preserve"> </w:t>
      </w:r>
      <w:r w:rsidRPr="00F86C17">
        <w:t>insofar as it enables office holders of unincorporated institutions</w:t>
      </w:r>
      <w:r w:rsidR="00653352">
        <w:t xml:space="preserve"> to be sued in the name of their office</w:t>
      </w:r>
      <w:r w:rsidRPr="00F86C17">
        <w:t xml:space="preserve">. </w:t>
      </w:r>
      <w:r w:rsidR="00786E1A">
        <w:t>However, it does not go so far as to provide that a property trust may be named as the proper defendant as a</w:t>
      </w:r>
      <w:r w:rsidR="0074365C">
        <w:t>n automatic fall</w:t>
      </w:r>
      <w:r w:rsidR="00785920">
        <w:noBreakHyphen/>
      </w:r>
      <w:r w:rsidR="0074365C">
        <w:t>back position as recommended by the Royal</w:t>
      </w:r>
      <w:r w:rsidR="0098178C">
        <w:t> </w:t>
      </w:r>
      <w:r w:rsidR="0074365C">
        <w:t>Commission</w:t>
      </w:r>
      <w:r w:rsidR="00786E1A">
        <w:t>.</w:t>
      </w:r>
    </w:p>
    <w:p w14:paraId="6D03F6E0" w14:textId="77777777" w:rsidR="00C6493B" w:rsidRPr="00A64FFC" w:rsidRDefault="00C6493B" w:rsidP="004C40F7">
      <w:pPr>
        <w:pStyle w:val="Heading2"/>
        <w:numPr>
          <w:ilvl w:val="1"/>
          <w:numId w:val="45"/>
        </w:numPr>
        <w:rPr>
          <w:color w:val="auto"/>
        </w:rPr>
      </w:pPr>
      <w:bookmarkStart w:id="241" w:name="_Toc507689359"/>
      <w:r w:rsidRPr="00A64FFC">
        <w:rPr>
          <w:color w:val="auto"/>
        </w:rPr>
        <w:lastRenderedPageBreak/>
        <w:t>Proposed Reform of Territory Laws</w:t>
      </w:r>
      <w:bookmarkEnd w:id="241"/>
    </w:p>
    <w:p w14:paraId="44F1415D" w14:textId="63D797DB" w:rsidR="00C6493B" w:rsidRDefault="00785920" w:rsidP="00785920">
      <w:pPr>
        <w:keepNext/>
        <w:spacing w:after="360"/>
        <w:jc w:val="both"/>
        <w:rPr>
          <w:rFonts w:cs="Arial"/>
          <w:sz w:val="24"/>
          <w:szCs w:val="24"/>
        </w:rPr>
      </w:pPr>
      <w:r>
        <w:rPr>
          <w:sz w:val="24"/>
          <w:szCs w:val="24"/>
        </w:rPr>
        <w:t>The Department of the Attorney</w:t>
      </w:r>
      <w:r>
        <w:rPr>
          <w:sz w:val="24"/>
          <w:szCs w:val="24"/>
        </w:rPr>
        <w:noBreakHyphen/>
      </w:r>
      <w:r w:rsidR="00C6493B" w:rsidRPr="00E83DCD">
        <w:rPr>
          <w:sz w:val="24"/>
          <w:szCs w:val="24"/>
        </w:rPr>
        <w:t xml:space="preserve">General and Justice proposes adopting </w:t>
      </w:r>
      <w:r w:rsidR="00FE496A">
        <w:rPr>
          <w:sz w:val="24"/>
          <w:szCs w:val="24"/>
        </w:rPr>
        <w:t>Royal Commission recommendation 94,</w:t>
      </w:r>
      <w:r w:rsidR="0074365C">
        <w:rPr>
          <w:sz w:val="24"/>
          <w:szCs w:val="24"/>
        </w:rPr>
        <w:t xml:space="preserve"> namely, to</w:t>
      </w:r>
      <w:r w:rsidR="00FE496A">
        <w:rPr>
          <w:sz w:val="24"/>
          <w:szCs w:val="24"/>
        </w:rPr>
        <w:t xml:space="preserve"> i</w:t>
      </w:r>
      <w:r w:rsidR="00C6493B" w:rsidRPr="00E83DCD">
        <w:rPr>
          <w:sz w:val="24"/>
          <w:szCs w:val="24"/>
        </w:rPr>
        <w:t>ntroduc</w:t>
      </w:r>
      <w:r w:rsidR="0074365C">
        <w:rPr>
          <w:sz w:val="24"/>
          <w:szCs w:val="24"/>
        </w:rPr>
        <w:t>e</w:t>
      </w:r>
      <w:r w:rsidR="00C6493B" w:rsidRPr="00E83DCD">
        <w:rPr>
          <w:sz w:val="24"/>
          <w:szCs w:val="24"/>
        </w:rPr>
        <w:t xml:space="preserve"> legislation to provide that </w:t>
      </w:r>
      <w:r w:rsidR="00C6493B" w:rsidRPr="00E83DCD">
        <w:rPr>
          <w:rFonts w:cs="Arial"/>
          <w:sz w:val="24"/>
          <w:szCs w:val="24"/>
        </w:rPr>
        <w:t>where a survivor wishes to commence proceedings for damages in respect of child sexual abuse where the institution is associated with a property trust, then unless the institution nominates a proper defendant to sue that has sufficient assets to meet any liability, the property trust will be the proper defendant to the litigation</w:t>
      </w:r>
      <w:r w:rsidR="0074365C">
        <w:rPr>
          <w:rFonts w:cs="Arial"/>
          <w:sz w:val="24"/>
          <w:szCs w:val="24"/>
        </w:rPr>
        <w:t xml:space="preserve">. This would mean that </w:t>
      </w:r>
      <w:r w:rsidR="00C6493B" w:rsidRPr="00E83DCD">
        <w:rPr>
          <w:rFonts w:cs="Arial"/>
          <w:sz w:val="24"/>
          <w:szCs w:val="24"/>
        </w:rPr>
        <w:t xml:space="preserve">any liability of the institution with which the property trust is associated arising from the proceedings can be met from the assets of the </w:t>
      </w:r>
      <w:r w:rsidR="0025169F" w:rsidRPr="001A5BBB">
        <w:rPr>
          <w:rFonts w:cs="Arial"/>
          <w:noProof/>
          <w:sz w:val="24"/>
          <w:szCs w:val="24"/>
          <w:lang w:eastAsia="en-AU"/>
        </w:rPr>
        <mc:AlternateContent>
          <mc:Choice Requires="wps">
            <w:drawing>
              <wp:anchor distT="45720" distB="45720" distL="114300" distR="114300" simplePos="0" relativeHeight="251671552" behindDoc="0" locked="0" layoutInCell="1" allowOverlap="1" wp14:anchorId="397F1A39" wp14:editId="170A4D30">
                <wp:simplePos x="0" y="0"/>
                <wp:positionH relativeFrom="margin">
                  <wp:align>left</wp:align>
                </wp:positionH>
                <wp:positionV relativeFrom="paragraph">
                  <wp:posOffset>1033145</wp:posOffset>
                </wp:positionV>
                <wp:extent cx="6060440" cy="1104900"/>
                <wp:effectExtent l="38100" t="38100" r="111760" b="1143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440" cy="1104900"/>
                        </a:xfrm>
                        <a:prstGeom prst="rect">
                          <a:avLst/>
                        </a:prstGeom>
                        <a:solidFill>
                          <a:schemeClr val="tx2">
                            <a:lumMod val="40000"/>
                            <a:lumOff val="60000"/>
                          </a:schemeClr>
                        </a:solidFill>
                        <a:ln w="9525">
                          <a:solidFill>
                            <a:srgbClr val="0070C0"/>
                          </a:solidFill>
                          <a:miter lim="800000"/>
                          <a:headEnd/>
                          <a:tailEnd/>
                        </a:ln>
                        <a:effectLst>
                          <a:outerShdw blurRad="50800" dist="38100" dir="2700000" algn="tl" rotWithShape="0">
                            <a:prstClr val="black">
                              <a:alpha val="40000"/>
                            </a:prstClr>
                          </a:outerShdw>
                        </a:effectLst>
                      </wps:spPr>
                      <wps:txbx>
                        <w:txbxContent>
                          <w:p w14:paraId="5F48CF2D" w14:textId="4545A84C" w:rsidR="00B1454B" w:rsidRPr="004C40F7" w:rsidRDefault="00B1454B" w:rsidP="001A5BBB">
                            <w:pPr>
                              <w:spacing w:after="120"/>
                              <w:ind w:right="-1"/>
                              <w:jc w:val="both"/>
                              <w:rPr>
                                <w:rFonts w:cs="Arial"/>
                                <w:b/>
                                <w:sz w:val="24"/>
                                <w:szCs w:val="24"/>
                              </w:rPr>
                            </w:pPr>
                            <w:r>
                              <w:rPr>
                                <w:rFonts w:cs="Arial"/>
                                <w:b/>
                                <w:sz w:val="24"/>
                                <w:szCs w:val="24"/>
                              </w:rPr>
                              <w:t>Discussion q</w:t>
                            </w:r>
                            <w:r w:rsidRPr="004C40F7">
                              <w:rPr>
                                <w:rFonts w:cs="Arial"/>
                                <w:b/>
                                <w:sz w:val="24"/>
                                <w:szCs w:val="24"/>
                              </w:rPr>
                              <w:t>uestion</w:t>
                            </w:r>
                          </w:p>
                          <w:p w14:paraId="0740C978" w14:textId="7C263555" w:rsidR="00B1454B" w:rsidRPr="004C40F7" w:rsidRDefault="00B1454B" w:rsidP="004C40F7">
                            <w:pPr>
                              <w:pStyle w:val="Default"/>
                              <w:numPr>
                                <w:ilvl w:val="0"/>
                                <w:numId w:val="48"/>
                              </w:numPr>
                              <w:spacing w:after="120"/>
                              <w:ind w:left="425" w:hanging="425"/>
                              <w:jc w:val="both"/>
                            </w:pPr>
                            <w:r w:rsidRPr="004C40F7">
                              <w:t>Should the Royal Commissions ‘proper defendant’ recommendation be adopted?</w:t>
                            </w:r>
                          </w:p>
                          <w:p w14:paraId="5B7DA515" w14:textId="77777777" w:rsidR="00B1454B" w:rsidRPr="004C40F7" w:rsidRDefault="00B1454B" w:rsidP="004C40F7">
                            <w:pPr>
                              <w:pStyle w:val="Default"/>
                              <w:numPr>
                                <w:ilvl w:val="0"/>
                                <w:numId w:val="48"/>
                              </w:numPr>
                              <w:spacing w:after="120"/>
                              <w:ind w:left="425" w:hanging="425"/>
                              <w:jc w:val="both"/>
                            </w:pPr>
                            <w:r w:rsidRPr="004C40F7">
                              <w:t>How would the proposed reforms impact your organisation?</w:t>
                            </w:r>
                          </w:p>
                          <w:p w14:paraId="6C13461A" w14:textId="418DB1A8" w:rsidR="00B1454B" w:rsidRDefault="00B1454B" w:rsidP="004C40F7">
                            <w:pPr>
                              <w:pStyle w:val="Default"/>
                              <w:numPr>
                                <w:ilvl w:val="0"/>
                                <w:numId w:val="48"/>
                              </w:numPr>
                              <w:spacing w:after="120"/>
                              <w:ind w:left="425" w:hanging="425"/>
                              <w:jc w:val="both"/>
                            </w:pPr>
                            <w:r w:rsidRPr="004C40F7">
                              <w:t>Should a different model / approach be adopted? If so, what should it look like?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F1A39" id="_x0000_s1031" type="#_x0000_t202" style="position:absolute;left:0;text-align:left;margin-left:0;margin-top:81.35pt;width:477.2pt;height:87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" fillcolor="#8db3e2 [1311]" strokecolor="#0070c0">
                <v:shadow on="t" color="black" opacity="26214f" origin="-.5,-.5" offset=".74836mm,.74836mm"/>
                <v:textbox>
                  <w:txbxContent>
                    <w:p w14:paraId="5F48CF2D" w14:textId="4545A84C" w:rsidR="00B1454B" w:rsidRPr="004C40F7" w:rsidRDefault="00B1454B" w:rsidP="001A5BBB">
                      <w:pPr>
                        <w:spacing w:after="120"/>
                        <w:ind w:right="-1"/>
                        <w:jc w:val="both"/>
                        <w:rPr>
                          <w:rFonts w:cs="Arial"/>
                          <w:b/>
                          <w:sz w:val="24"/>
                          <w:szCs w:val="24"/>
                        </w:rPr>
                      </w:pPr>
                      <w:r>
                        <w:rPr>
                          <w:rFonts w:cs="Arial"/>
                          <w:b/>
                          <w:sz w:val="24"/>
                          <w:szCs w:val="24"/>
                        </w:rPr>
                        <w:t>Discussion q</w:t>
                      </w:r>
                      <w:r w:rsidRPr="004C40F7">
                        <w:rPr>
                          <w:rFonts w:cs="Arial"/>
                          <w:b/>
                          <w:sz w:val="24"/>
                          <w:szCs w:val="24"/>
                        </w:rPr>
                        <w:t>uestion</w:t>
                      </w:r>
                    </w:p>
                    <w:p w14:paraId="0740C978" w14:textId="7C263555" w:rsidR="00B1454B" w:rsidRPr="004C40F7" w:rsidRDefault="00B1454B" w:rsidP="004C40F7">
                      <w:pPr>
                        <w:pStyle w:val="Default"/>
                        <w:numPr>
                          <w:ilvl w:val="0"/>
                          <w:numId w:val="48"/>
                        </w:numPr>
                        <w:spacing w:after="120"/>
                        <w:ind w:left="425" w:hanging="425"/>
                        <w:jc w:val="both"/>
                      </w:pPr>
                      <w:r w:rsidRPr="004C40F7">
                        <w:t>Should the Royal Commissions ‘proper defendant’ recommendation be adopted?</w:t>
                      </w:r>
                    </w:p>
                    <w:p w14:paraId="5B7DA515" w14:textId="77777777" w:rsidR="00B1454B" w:rsidRPr="004C40F7" w:rsidRDefault="00B1454B" w:rsidP="004C40F7">
                      <w:pPr>
                        <w:pStyle w:val="Default"/>
                        <w:numPr>
                          <w:ilvl w:val="0"/>
                          <w:numId w:val="48"/>
                        </w:numPr>
                        <w:spacing w:after="120"/>
                        <w:ind w:left="425" w:hanging="425"/>
                        <w:jc w:val="both"/>
                      </w:pPr>
                      <w:r w:rsidRPr="004C40F7">
                        <w:t>How would the proposed reforms impact your organisation?</w:t>
                      </w:r>
                    </w:p>
                    <w:p w14:paraId="6C13461A" w14:textId="418DB1A8" w:rsidR="00B1454B" w:rsidRDefault="00B1454B" w:rsidP="004C40F7">
                      <w:pPr>
                        <w:pStyle w:val="Default"/>
                        <w:numPr>
                          <w:ilvl w:val="0"/>
                          <w:numId w:val="48"/>
                        </w:numPr>
                        <w:spacing w:after="120"/>
                        <w:ind w:left="425" w:hanging="425"/>
                        <w:jc w:val="both"/>
                      </w:pPr>
                      <w:r w:rsidRPr="004C40F7">
                        <w:t>Should a different model / approach be adopted? If so, what should it look like?</w:t>
                      </w:r>
                    </w:p>
                  </w:txbxContent>
                </v:textbox>
                <w10:wrap type="square" anchorx="margin"/>
              </v:shape>
            </w:pict>
          </mc:Fallback>
        </mc:AlternateContent>
      </w:r>
      <w:r w:rsidR="00C6493B" w:rsidRPr="00E83DCD">
        <w:rPr>
          <w:rFonts w:cs="Arial"/>
          <w:sz w:val="24"/>
          <w:szCs w:val="24"/>
        </w:rPr>
        <w:t xml:space="preserve">trust. </w:t>
      </w:r>
    </w:p>
    <w:p w14:paraId="0161C93E" w14:textId="734BCFC8" w:rsidR="00E83DCD" w:rsidRPr="00A64FFC" w:rsidRDefault="00E83DCD" w:rsidP="004C40F7">
      <w:pPr>
        <w:pStyle w:val="Heading2"/>
        <w:numPr>
          <w:ilvl w:val="1"/>
          <w:numId w:val="45"/>
        </w:numPr>
        <w:rPr>
          <w:color w:val="auto"/>
        </w:rPr>
      </w:pPr>
      <w:bookmarkStart w:id="242" w:name="_Toc507161321"/>
      <w:bookmarkStart w:id="243" w:name="_Toc507683901"/>
      <w:bookmarkStart w:id="244" w:name="_Toc507684710"/>
      <w:bookmarkStart w:id="245" w:name="_Toc507689360"/>
      <w:bookmarkStart w:id="246" w:name="_Toc507161322"/>
      <w:bookmarkStart w:id="247" w:name="_Toc507683902"/>
      <w:bookmarkStart w:id="248" w:name="_Toc507684711"/>
      <w:bookmarkStart w:id="249" w:name="_Toc507689361"/>
      <w:bookmarkStart w:id="250" w:name="_Toc507161323"/>
      <w:bookmarkStart w:id="251" w:name="_Toc507683903"/>
      <w:bookmarkStart w:id="252" w:name="_Toc507684712"/>
      <w:bookmarkStart w:id="253" w:name="_Toc507689362"/>
      <w:bookmarkStart w:id="254" w:name="_Toc507161324"/>
      <w:bookmarkStart w:id="255" w:name="_Toc507683904"/>
      <w:bookmarkStart w:id="256" w:name="_Toc507684713"/>
      <w:bookmarkStart w:id="257" w:name="_Toc507689363"/>
      <w:bookmarkStart w:id="258" w:name="_Toc507161325"/>
      <w:bookmarkStart w:id="259" w:name="_Toc507683905"/>
      <w:bookmarkStart w:id="260" w:name="_Toc507684714"/>
      <w:bookmarkStart w:id="261" w:name="_Toc507689364"/>
      <w:bookmarkStart w:id="262" w:name="_Toc507689365"/>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A64FFC">
        <w:rPr>
          <w:color w:val="auto"/>
        </w:rPr>
        <w:t>Matters requiring further consideration</w:t>
      </w:r>
      <w:bookmarkEnd w:id="262"/>
    </w:p>
    <w:p w14:paraId="53F1746D" w14:textId="10A571E3" w:rsidR="0094418D" w:rsidRPr="006F4FF5" w:rsidRDefault="008E24D5" w:rsidP="00785920">
      <w:pPr>
        <w:pStyle w:val="Default"/>
        <w:keepNext/>
        <w:spacing w:after="240"/>
        <w:rPr>
          <w:b/>
        </w:rPr>
      </w:pPr>
      <w:r w:rsidRPr="006F4FF5">
        <w:rPr>
          <w:b/>
        </w:rPr>
        <w:t>Controls for defendant nomination</w:t>
      </w:r>
    </w:p>
    <w:p w14:paraId="0FA76B2D" w14:textId="06D47C2B" w:rsidR="00624698" w:rsidRDefault="00C92BF7" w:rsidP="004C40F7">
      <w:pPr>
        <w:autoSpaceDE w:val="0"/>
        <w:autoSpaceDN w:val="0"/>
        <w:adjustRightInd w:val="0"/>
        <w:spacing w:after="240"/>
        <w:jc w:val="both"/>
        <w:rPr>
          <w:rFonts w:cs="Arial"/>
          <w:sz w:val="24"/>
          <w:szCs w:val="24"/>
        </w:rPr>
      </w:pPr>
      <w:r w:rsidRPr="001A5BBB">
        <w:rPr>
          <w:rFonts w:cs="Arial"/>
          <w:noProof/>
          <w:sz w:val="24"/>
          <w:szCs w:val="24"/>
          <w:lang w:eastAsia="en-AU"/>
        </w:rPr>
        <mc:AlternateContent>
          <mc:Choice Requires="wps">
            <w:drawing>
              <wp:anchor distT="45720" distB="45720" distL="114300" distR="114300" simplePos="0" relativeHeight="251673600" behindDoc="0" locked="0" layoutInCell="1" allowOverlap="1" wp14:anchorId="2CC8DA18" wp14:editId="341762E0">
                <wp:simplePos x="0" y="0"/>
                <wp:positionH relativeFrom="margin">
                  <wp:align>center</wp:align>
                </wp:positionH>
                <wp:positionV relativeFrom="paragraph">
                  <wp:posOffset>1256665</wp:posOffset>
                </wp:positionV>
                <wp:extent cx="6102350" cy="1881505"/>
                <wp:effectExtent l="38100" t="38100" r="107950" b="118745"/>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881505"/>
                        </a:xfrm>
                        <a:prstGeom prst="rect">
                          <a:avLst/>
                        </a:prstGeom>
                        <a:solidFill>
                          <a:schemeClr val="tx2">
                            <a:lumMod val="40000"/>
                            <a:lumOff val="60000"/>
                          </a:schemeClr>
                        </a:solidFill>
                        <a:ln w="9525">
                          <a:solidFill>
                            <a:srgbClr val="0070C0"/>
                          </a:solidFill>
                          <a:miter lim="800000"/>
                          <a:headEnd/>
                          <a:tailEnd/>
                        </a:ln>
                        <a:effectLst>
                          <a:outerShdw blurRad="50800" dist="38100" dir="2700000" algn="tl" rotWithShape="0">
                            <a:prstClr val="black">
                              <a:alpha val="40000"/>
                            </a:prstClr>
                          </a:outerShdw>
                        </a:effectLst>
                      </wps:spPr>
                      <wps:txbx>
                        <w:txbxContent>
                          <w:p w14:paraId="4CB4FC60" w14:textId="1C5636FD" w:rsidR="00B1454B" w:rsidRPr="004C40F7" w:rsidRDefault="00B1454B" w:rsidP="001A5BBB">
                            <w:pPr>
                              <w:autoSpaceDE w:val="0"/>
                              <w:autoSpaceDN w:val="0"/>
                              <w:adjustRightInd w:val="0"/>
                              <w:spacing w:after="120"/>
                              <w:jc w:val="both"/>
                              <w:rPr>
                                <w:rFonts w:cs="Arial"/>
                                <w:b/>
                                <w:sz w:val="24"/>
                                <w:szCs w:val="24"/>
                              </w:rPr>
                            </w:pPr>
                            <w:r>
                              <w:rPr>
                                <w:rFonts w:cs="Arial"/>
                                <w:b/>
                                <w:sz w:val="24"/>
                                <w:szCs w:val="24"/>
                              </w:rPr>
                              <w:t>Discussion q</w:t>
                            </w:r>
                            <w:r w:rsidRPr="004C40F7">
                              <w:rPr>
                                <w:rFonts w:cs="Arial"/>
                                <w:b/>
                                <w:sz w:val="24"/>
                                <w:szCs w:val="24"/>
                              </w:rPr>
                              <w:t>uestions</w:t>
                            </w:r>
                          </w:p>
                          <w:p w14:paraId="5642D766" w14:textId="1BE792F0" w:rsidR="00B1454B" w:rsidRPr="004C40F7" w:rsidRDefault="00B1454B" w:rsidP="004C40F7">
                            <w:pPr>
                              <w:pStyle w:val="Default"/>
                              <w:numPr>
                                <w:ilvl w:val="0"/>
                                <w:numId w:val="48"/>
                              </w:numPr>
                              <w:spacing w:after="120"/>
                              <w:ind w:left="425" w:hanging="425"/>
                              <w:jc w:val="both"/>
                            </w:pPr>
                            <w:r w:rsidRPr="004C40F7">
                              <w:t>Should the consent of the nominee be required before it can be named a proper defendant?</w:t>
                            </w:r>
                          </w:p>
                          <w:p w14:paraId="5D4E4CCE" w14:textId="77777777" w:rsidR="00B1454B" w:rsidRPr="004C40F7" w:rsidRDefault="00B1454B" w:rsidP="004C40F7">
                            <w:pPr>
                              <w:pStyle w:val="Default"/>
                              <w:numPr>
                                <w:ilvl w:val="0"/>
                                <w:numId w:val="48"/>
                              </w:numPr>
                              <w:spacing w:after="120"/>
                              <w:ind w:left="425" w:hanging="425"/>
                              <w:jc w:val="both"/>
                            </w:pPr>
                            <w:r w:rsidRPr="004C40F7">
                              <w:t>Should nomination be limited by the nature of association between the institution and the nominee?</w:t>
                            </w:r>
                          </w:p>
                          <w:p w14:paraId="1FE55221" w14:textId="77777777" w:rsidR="00B1454B" w:rsidRPr="004C40F7" w:rsidRDefault="00B1454B" w:rsidP="004C40F7">
                            <w:pPr>
                              <w:pStyle w:val="Default"/>
                              <w:numPr>
                                <w:ilvl w:val="0"/>
                                <w:numId w:val="48"/>
                              </w:numPr>
                              <w:spacing w:after="120"/>
                              <w:ind w:left="425" w:hanging="425"/>
                              <w:jc w:val="both"/>
                            </w:pPr>
                            <w:r w:rsidRPr="004C40F7">
                              <w:t xml:space="preserve">How can victims obtain access to justice where consent of a nominee is not provided to name an alternative proper defendant?  </w:t>
                            </w:r>
                          </w:p>
                          <w:p w14:paraId="3B8C86EB" w14:textId="77777777" w:rsidR="00B1454B" w:rsidRPr="004C40F7" w:rsidRDefault="00B1454B" w:rsidP="004C40F7">
                            <w:pPr>
                              <w:pStyle w:val="Default"/>
                              <w:numPr>
                                <w:ilvl w:val="0"/>
                                <w:numId w:val="48"/>
                              </w:numPr>
                              <w:spacing w:after="120"/>
                              <w:ind w:left="425" w:hanging="425"/>
                              <w:jc w:val="both"/>
                            </w:pPr>
                            <w:r w:rsidRPr="004C40F7">
                              <w:t>Are there any other controls that you think are necessary?</w:t>
                            </w:r>
                          </w:p>
                          <w:p w14:paraId="1FC6F3CB" w14:textId="32637064" w:rsidR="00B1454B" w:rsidRDefault="00B14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8DA18" id="_x0000_s1032" type="#_x0000_t202" style="position:absolute;left:0;text-align:left;margin-left:0;margin-top:98.95pt;width:480.5pt;height:148.15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" fillcolor="#8db3e2 [1311]" strokecolor="#0070c0">
                <v:shadow on="t" color="black" opacity="26214f" origin="-.5,-.5" offset=".74836mm,.74836mm"/>
                <v:textbox>
                  <w:txbxContent>
                    <w:p w14:paraId="4CB4FC60" w14:textId="1C5636FD" w:rsidR="00B1454B" w:rsidRPr="004C40F7" w:rsidRDefault="00B1454B" w:rsidP="001A5BBB">
                      <w:pPr>
                        <w:autoSpaceDE w:val="0"/>
                        <w:autoSpaceDN w:val="0"/>
                        <w:adjustRightInd w:val="0"/>
                        <w:spacing w:after="120"/>
                        <w:jc w:val="both"/>
                        <w:rPr>
                          <w:rFonts w:cs="Arial"/>
                          <w:b/>
                          <w:sz w:val="24"/>
                          <w:szCs w:val="24"/>
                        </w:rPr>
                      </w:pPr>
                      <w:r>
                        <w:rPr>
                          <w:rFonts w:cs="Arial"/>
                          <w:b/>
                          <w:sz w:val="24"/>
                          <w:szCs w:val="24"/>
                        </w:rPr>
                        <w:t>Discussion q</w:t>
                      </w:r>
                      <w:r w:rsidRPr="004C40F7">
                        <w:rPr>
                          <w:rFonts w:cs="Arial"/>
                          <w:b/>
                          <w:sz w:val="24"/>
                          <w:szCs w:val="24"/>
                        </w:rPr>
                        <w:t>uestions</w:t>
                      </w:r>
                    </w:p>
                    <w:p w14:paraId="5642D766" w14:textId="1BE792F0" w:rsidR="00B1454B" w:rsidRPr="004C40F7" w:rsidRDefault="00B1454B" w:rsidP="004C40F7">
                      <w:pPr>
                        <w:pStyle w:val="Default"/>
                        <w:numPr>
                          <w:ilvl w:val="0"/>
                          <w:numId w:val="48"/>
                        </w:numPr>
                        <w:spacing w:after="120"/>
                        <w:ind w:left="425" w:hanging="425"/>
                        <w:jc w:val="both"/>
                      </w:pPr>
                      <w:r w:rsidRPr="004C40F7">
                        <w:t>Should the consent of the nominee be required before it can be named a proper defendant?</w:t>
                      </w:r>
                    </w:p>
                    <w:p w14:paraId="5D4E4CCE" w14:textId="77777777" w:rsidR="00B1454B" w:rsidRPr="004C40F7" w:rsidRDefault="00B1454B" w:rsidP="004C40F7">
                      <w:pPr>
                        <w:pStyle w:val="Default"/>
                        <w:numPr>
                          <w:ilvl w:val="0"/>
                          <w:numId w:val="48"/>
                        </w:numPr>
                        <w:spacing w:after="120"/>
                        <w:ind w:left="425" w:hanging="425"/>
                        <w:jc w:val="both"/>
                      </w:pPr>
                      <w:r w:rsidRPr="004C40F7">
                        <w:t>Should nomination be limited by the nature of association between the institution and the nominee?</w:t>
                      </w:r>
                    </w:p>
                    <w:p w14:paraId="1FE55221" w14:textId="77777777" w:rsidR="00B1454B" w:rsidRPr="004C40F7" w:rsidRDefault="00B1454B" w:rsidP="004C40F7">
                      <w:pPr>
                        <w:pStyle w:val="Default"/>
                        <w:numPr>
                          <w:ilvl w:val="0"/>
                          <w:numId w:val="48"/>
                        </w:numPr>
                        <w:spacing w:after="120"/>
                        <w:ind w:left="425" w:hanging="425"/>
                        <w:jc w:val="both"/>
                      </w:pPr>
                      <w:r w:rsidRPr="004C40F7">
                        <w:t xml:space="preserve">How can victims obtain access to justice where consent of a nominee is not provided to name an alternative proper defendant?  </w:t>
                      </w:r>
                    </w:p>
                    <w:p w14:paraId="3B8C86EB" w14:textId="77777777" w:rsidR="00B1454B" w:rsidRPr="004C40F7" w:rsidRDefault="00B1454B" w:rsidP="004C40F7">
                      <w:pPr>
                        <w:pStyle w:val="Default"/>
                        <w:numPr>
                          <w:ilvl w:val="0"/>
                          <w:numId w:val="48"/>
                        </w:numPr>
                        <w:spacing w:after="120"/>
                        <w:ind w:left="425" w:hanging="425"/>
                        <w:jc w:val="both"/>
                      </w:pPr>
                      <w:r w:rsidRPr="004C40F7">
                        <w:t>Are there any other controls that you think are necessary?</w:t>
                      </w:r>
                    </w:p>
                    <w:p w14:paraId="1FC6F3CB" w14:textId="32637064" w:rsidR="00B1454B" w:rsidRDefault="00B1454B"/>
                  </w:txbxContent>
                </v:textbox>
                <w10:wrap type="topAndBottom" anchorx="margin"/>
              </v:shape>
            </w:pict>
          </mc:Fallback>
        </mc:AlternateContent>
      </w:r>
      <w:r w:rsidR="00FE496A">
        <w:rPr>
          <w:rFonts w:cs="Arial"/>
          <w:sz w:val="24"/>
          <w:szCs w:val="24"/>
        </w:rPr>
        <w:t xml:space="preserve">Royal Commission recommendation 94 </w:t>
      </w:r>
      <w:r w:rsidR="008529F4">
        <w:rPr>
          <w:rFonts w:cs="Arial"/>
          <w:sz w:val="24"/>
          <w:szCs w:val="24"/>
        </w:rPr>
        <w:t xml:space="preserve">does not </w:t>
      </w:r>
      <w:r w:rsidR="0074365C">
        <w:rPr>
          <w:rFonts w:cs="Arial"/>
          <w:sz w:val="24"/>
          <w:szCs w:val="24"/>
        </w:rPr>
        <w:t xml:space="preserve">address </w:t>
      </w:r>
      <w:r w:rsidR="008529F4">
        <w:rPr>
          <w:rFonts w:cs="Arial"/>
          <w:sz w:val="24"/>
          <w:szCs w:val="24"/>
        </w:rPr>
        <w:t xml:space="preserve">the need for </w:t>
      </w:r>
      <w:r w:rsidR="0074365C">
        <w:rPr>
          <w:rFonts w:cs="Arial"/>
          <w:sz w:val="24"/>
          <w:szCs w:val="24"/>
        </w:rPr>
        <w:t xml:space="preserve">any </w:t>
      </w:r>
      <w:r w:rsidR="008529F4">
        <w:rPr>
          <w:rFonts w:cs="Arial"/>
          <w:sz w:val="24"/>
          <w:szCs w:val="24"/>
        </w:rPr>
        <w:t>controls</w:t>
      </w:r>
      <w:r w:rsidR="0074365C">
        <w:rPr>
          <w:rFonts w:cs="Arial"/>
          <w:sz w:val="24"/>
          <w:szCs w:val="24"/>
        </w:rPr>
        <w:t xml:space="preserve"> that may be appropriate</w:t>
      </w:r>
      <w:r w:rsidR="008529F4">
        <w:rPr>
          <w:rFonts w:cs="Arial"/>
          <w:sz w:val="24"/>
          <w:szCs w:val="24"/>
        </w:rPr>
        <w:t xml:space="preserve"> in respect of the nomination of proper defendants</w:t>
      </w:r>
      <w:r w:rsidR="008E24D5">
        <w:rPr>
          <w:rFonts w:cs="Arial"/>
          <w:sz w:val="24"/>
          <w:szCs w:val="24"/>
        </w:rPr>
        <w:t>, such as whether nomination</w:t>
      </w:r>
      <w:r w:rsidR="00785920">
        <w:rPr>
          <w:rFonts w:cs="Arial"/>
          <w:sz w:val="24"/>
          <w:szCs w:val="24"/>
        </w:rPr>
        <w:t>s</w:t>
      </w:r>
      <w:r w:rsidR="008E24D5">
        <w:rPr>
          <w:rFonts w:cs="Arial"/>
          <w:sz w:val="24"/>
          <w:szCs w:val="24"/>
        </w:rPr>
        <w:t xml:space="preserve"> should be limited by the nature of the association between </w:t>
      </w:r>
      <w:r w:rsidR="006F4FF5">
        <w:rPr>
          <w:rFonts w:cs="Arial"/>
          <w:sz w:val="24"/>
          <w:szCs w:val="24"/>
        </w:rPr>
        <w:t xml:space="preserve">an </w:t>
      </w:r>
      <w:r w:rsidR="008E24D5">
        <w:rPr>
          <w:rFonts w:cs="Arial"/>
          <w:sz w:val="24"/>
          <w:szCs w:val="24"/>
        </w:rPr>
        <w:t xml:space="preserve">institution and </w:t>
      </w:r>
      <w:r w:rsidR="006F4FF5">
        <w:rPr>
          <w:rFonts w:cs="Arial"/>
          <w:sz w:val="24"/>
          <w:szCs w:val="24"/>
        </w:rPr>
        <w:t>its</w:t>
      </w:r>
      <w:r w:rsidR="008E24D5">
        <w:rPr>
          <w:rFonts w:cs="Arial"/>
          <w:sz w:val="24"/>
          <w:szCs w:val="24"/>
        </w:rPr>
        <w:t xml:space="preserve"> nominee or whether the consent of the nominee should be required</w:t>
      </w:r>
      <w:r w:rsidR="0074365C">
        <w:rPr>
          <w:rFonts w:cs="Arial"/>
          <w:sz w:val="24"/>
          <w:szCs w:val="24"/>
        </w:rPr>
        <w:t>.</w:t>
      </w:r>
      <w:r w:rsidR="008E24D5">
        <w:rPr>
          <w:rFonts w:cs="Arial"/>
          <w:sz w:val="24"/>
          <w:szCs w:val="24"/>
        </w:rPr>
        <w:t xml:space="preserve"> </w:t>
      </w:r>
      <w:r w:rsidR="00896268">
        <w:rPr>
          <w:rFonts w:cs="Arial"/>
          <w:sz w:val="24"/>
          <w:szCs w:val="24"/>
        </w:rPr>
        <w:t>For example, section</w:t>
      </w:r>
      <w:r w:rsidR="00785920">
        <w:rPr>
          <w:rFonts w:cs="Arial"/>
          <w:sz w:val="24"/>
          <w:szCs w:val="24"/>
        </w:rPr>
        <w:t> </w:t>
      </w:r>
      <w:r w:rsidR="00896268">
        <w:rPr>
          <w:rFonts w:cs="Arial"/>
          <w:sz w:val="24"/>
          <w:szCs w:val="24"/>
        </w:rPr>
        <w:t xml:space="preserve">92 of the </w:t>
      </w:r>
      <w:r w:rsidR="008E24D5" w:rsidRPr="00896268">
        <w:rPr>
          <w:rFonts w:cs="Arial"/>
          <w:i/>
          <w:sz w:val="24"/>
          <w:szCs w:val="24"/>
        </w:rPr>
        <w:t>W</w:t>
      </w:r>
      <w:r w:rsidR="00624698" w:rsidRPr="00896268">
        <w:rPr>
          <w:rFonts w:cs="Arial"/>
          <w:i/>
          <w:sz w:val="24"/>
          <w:szCs w:val="24"/>
        </w:rPr>
        <w:t xml:space="preserve">rongs Act </w:t>
      </w:r>
      <w:r w:rsidR="00896268" w:rsidRPr="00896268">
        <w:rPr>
          <w:rFonts w:cs="Arial"/>
          <w:i/>
          <w:sz w:val="24"/>
          <w:szCs w:val="24"/>
        </w:rPr>
        <w:t>1958</w:t>
      </w:r>
      <w:r w:rsidR="00896268">
        <w:rPr>
          <w:rFonts w:cs="Arial"/>
          <w:sz w:val="24"/>
          <w:szCs w:val="24"/>
        </w:rPr>
        <w:t xml:space="preserve"> </w:t>
      </w:r>
      <w:r w:rsidR="00624698">
        <w:rPr>
          <w:rFonts w:cs="Arial"/>
          <w:sz w:val="24"/>
          <w:szCs w:val="24"/>
        </w:rPr>
        <w:t>(Vic)</w:t>
      </w:r>
      <w:r w:rsidR="00896268">
        <w:rPr>
          <w:rFonts w:cs="Arial"/>
          <w:sz w:val="24"/>
          <w:szCs w:val="24"/>
        </w:rPr>
        <w:t xml:space="preserve"> requ</w:t>
      </w:r>
      <w:r w:rsidR="00624698">
        <w:rPr>
          <w:rFonts w:cs="Arial"/>
          <w:sz w:val="24"/>
          <w:szCs w:val="24"/>
        </w:rPr>
        <w:t xml:space="preserve">ires </w:t>
      </w:r>
      <w:r w:rsidR="006F4FF5">
        <w:rPr>
          <w:rFonts w:cs="Arial"/>
          <w:sz w:val="24"/>
          <w:szCs w:val="24"/>
        </w:rPr>
        <w:t>the consent of the nominee before it can be name</w:t>
      </w:r>
      <w:r w:rsidR="0074365C">
        <w:rPr>
          <w:rFonts w:cs="Arial"/>
          <w:sz w:val="24"/>
          <w:szCs w:val="24"/>
        </w:rPr>
        <w:t>d</w:t>
      </w:r>
      <w:r w:rsidR="006F4FF5">
        <w:rPr>
          <w:rFonts w:cs="Arial"/>
          <w:sz w:val="24"/>
          <w:szCs w:val="24"/>
        </w:rPr>
        <w:t xml:space="preserve"> as the proper defendant.</w:t>
      </w:r>
      <w:r w:rsidR="00624698">
        <w:rPr>
          <w:rFonts w:cs="Arial"/>
          <w:sz w:val="24"/>
          <w:szCs w:val="24"/>
        </w:rPr>
        <w:t xml:space="preserve"> </w:t>
      </w:r>
    </w:p>
    <w:p w14:paraId="0E48E236" w14:textId="623D92A6" w:rsidR="0094418D" w:rsidRPr="0068510D" w:rsidRDefault="0094418D" w:rsidP="004C40F7">
      <w:pPr>
        <w:rPr>
          <w:b/>
        </w:rPr>
      </w:pPr>
      <w:r w:rsidRPr="004C40F7">
        <w:rPr>
          <w:b/>
          <w:sz w:val="24"/>
          <w:szCs w:val="24"/>
        </w:rPr>
        <w:t>All institutions</w:t>
      </w:r>
    </w:p>
    <w:p w14:paraId="77A44344" w14:textId="074F1D56" w:rsidR="002455B4" w:rsidRPr="002455B4" w:rsidRDefault="002455B4" w:rsidP="004C40F7">
      <w:pPr>
        <w:autoSpaceDE w:val="0"/>
        <w:autoSpaceDN w:val="0"/>
        <w:adjustRightInd w:val="0"/>
        <w:spacing w:after="240"/>
        <w:jc w:val="both"/>
        <w:rPr>
          <w:rFonts w:cs="Arial"/>
          <w:color w:val="000000"/>
          <w:sz w:val="24"/>
        </w:rPr>
      </w:pPr>
      <w:r w:rsidRPr="002455B4">
        <w:rPr>
          <w:rFonts w:cs="Arial"/>
          <w:color w:val="000000"/>
          <w:sz w:val="24"/>
        </w:rPr>
        <w:lastRenderedPageBreak/>
        <w:t xml:space="preserve">Royal </w:t>
      </w:r>
      <w:r w:rsidR="006F4FF5">
        <w:rPr>
          <w:rFonts w:cs="Arial"/>
          <w:color w:val="000000"/>
          <w:sz w:val="24"/>
        </w:rPr>
        <w:t>C</w:t>
      </w:r>
      <w:r w:rsidRPr="002455B4">
        <w:rPr>
          <w:rFonts w:cs="Arial"/>
          <w:color w:val="000000"/>
          <w:sz w:val="24"/>
        </w:rPr>
        <w:t>ommission recommendation 94 provides that it applies to</w:t>
      </w:r>
      <w:r w:rsidR="00F31D50" w:rsidRPr="002455B4">
        <w:rPr>
          <w:rFonts w:cs="Arial"/>
          <w:color w:val="000000"/>
          <w:sz w:val="24"/>
        </w:rPr>
        <w:t xml:space="preserve"> ‘institution[s] with which a property trust is associated’. </w:t>
      </w:r>
      <w:r w:rsidRPr="002455B4">
        <w:rPr>
          <w:rFonts w:cs="Arial"/>
          <w:color w:val="000000"/>
          <w:sz w:val="24"/>
        </w:rPr>
        <w:t>The NSW Consultation Paper has interpreted this as meaning that the</w:t>
      </w:r>
      <w:r w:rsidR="00F31D50" w:rsidRPr="002455B4">
        <w:rPr>
          <w:rFonts w:cs="Arial"/>
          <w:color w:val="000000"/>
          <w:sz w:val="24"/>
        </w:rPr>
        <w:t xml:space="preserve"> reform is intended to apply to </w:t>
      </w:r>
      <w:r w:rsidR="00F31D50" w:rsidRPr="002455B4">
        <w:rPr>
          <w:rFonts w:cs="Arial"/>
          <w:i/>
          <w:iCs/>
          <w:color w:val="000000"/>
          <w:sz w:val="24"/>
        </w:rPr>
        <w:t xml:space="preserve">all trusts </w:t>
      </w:r>
      <w:r w:rsidR="00F31D50" w:rsidRPr="002455B4">
        <w:rPr>
          <w:rFonts w:cs="Arial"/>
          <w:color w:val="000000"/>
          <w:sz w:val="24"/>
        </w:rPr>
        <w:t xml:space="preserve">relating to </w:t>
      </w:r>
      <w:r w:rsidR="00F31D50" w:rsidRPr="002455B4">
        <w:rPr>
          <w:rFonts w:cs="Arial"/>
          <w:i/>
          <w:iCs/>
          <w:color w:val="000000"/>
          <w:sz w:val="24"/>
        </w:rPr>
        <w:t>all property</w:t>
      </w:r>
      <w:r w:rsidR="00F31D50" w:rsidRPr="002455B4">
        <w:rPr>
          <w:rFonts w:cs="Arial"/>
          <w:color w:val="000000"/>
          <w:sz w:val="24"/>
        </w:rPr>
        <w:t xml:space="preserve">, not just to those which have been created </w:t>
      </w:r>
      <w:r>
        <w:rPr>
          <w:rFonts w:cs="Arial"/>
          <w:color w:val="000000"/>
          <w:sz w:val="24"/>
        </w:rPr>
        <w:t>by legislation (such as those that relate to religious institutions).</w:t>
      </w:r>
      <w:r w:rsidR="006F4FF5">
        <w:rPr>
          <w:rStyle w:val="FootnoteReference"/>
          <w:rFonts w:cs="Arial"/>
          <w:color w:val="000000"/>
          <w:sz w:val="24"/>
        </w:rPr>
        <w:footnoteReference w:id="8"/>
      </w:r>
      <w:r w:rsidR="0098178C">
        <w:rPr>
          <w:rFonts w:cs="Arial"/>
          <w:color w:val="000000"/>
          <w:sz w:val="24"/>
        </w:rPr>
        <w:t xml:space="preserve"> </w:t>
      </w:r>
      <w:r w:rsidRPr="002455B4">
        <w:rPr>
          <w:rFonts w:cs="Arial"/>
          <w:color w:val="000000"/>
          <w:sz w:val="24"/>
        </w:rPr>
        <w:t xml:space="preserve">The </w:t>
      </w:r>
      <w:r>
        <w:rPr>
          <w:rFonts w:cs="Arial"/>
          <w:color w:val="000000"/>
          <w:sz w:val="24"/>
        </w:rPr>
        <w:t>NSW C</w:t>
      </w:r>
      <w:r w:rsidRPr="002455B4">
        <w:rPr>
          <w:rFonts w:cs="Arial"/>
          <w:color w:val="000000"/>
          <w:sz w:val="24"/>
        </w:rPr>
        <w:t xml:space="preserve">onsultation </w:t>
      </w:r>
      <w:r>
        <w:rPr>
          <w:rFonts w:cs="Arial"/>
          <w:color w:val="000000"/>
          <w:sz w:val="24"/>
        </w:rPr>
        <w:t>P</w:t>
      </w:r>
      <w:r w:rsidRPr="002455B4">
        <w:rPr>
          <w:rFonts w:cs="Arial"/>
          <w:color w:val="000000"/>
          <w:sz w:val="24"/>
        </w:rPr>
        <w:t>aper further notes:</w:t>
      </w:r>
    </w:p>
    <w:p w14:paraId="2438E6A4" w14:textId="0D4481CE" w:rsidR="001A5BBB" w:rsidRPr="002455B4" w:rsidRDefault="002455B4" w:rsidP="004C40F7">
      <w:pPr>
        <w:autoSpaceDE w:val="0"/>
        <w:autoSpaceDN w:val="0"/>
        <w:adjustRightInd w:val="0"/>
        <w:spacing w:after="240"/>
        <w:ind w:left="567"/>
        <w:jc w:val="both"/>
        <w:rPr>
          <w:rFonts w:cs="Arial"/>
          <w:color w:val="000000"/>
          <w:sz w:val="24"/>
        </w:rPr>
      </w:pPr>
      <w:r w:rsidRPr="002455B4">
        <w:rPr>
          <w:rFonts w:cs="Arial"/>
          <w:color w:val="000000"/>
          <w:sz w:val="24"/>
        </w:rPr>
        <w:t>‘</w:t>
      </w:r>
      <w:r w:rsidR="00F31D50" w:rsidRPr="002455B4">
        <w:rPr>
          <w:rFonts w:cs="Arial"/>
          <w:color w:val="000000"/>
          <w:sz w:val="24"/>
        </w:rPr>
        <w:t xml:space="preserve">Trust structures are used widely and for a variety of reasons. Reform of this scale would therefore have a significant impact on a variety of organisations and would potentially expose a large number of trusts to liability, including superannuation trusts, trusts created by will or settlement and trusts of business assets (provided that they </w:t>
      </w:r>
      <w:r w:rsidR="0068510D" w:rsidRPr="001A5BBB">
        <w:rPr>
          <w:rFonts w:cs="Arial"/>
          <w:noProof/>
          <w:color w:val="000000"/>
          <w:lang w:eastAsia="en-AU"/>
        </w:rPr>
        <mc:AlternateContent>
          <mc:Choice Requires="wps">
            <w:drawing>
              <wp:anchor distT="45720" distB="45720" distL="114300" distR="114300" simplePos="0" relativeHeight="251675648" behindDoc="0" locked="0" layoutInCell="1" allowOverlap="1" wp14:anchorId="3EF8DF6F" wp14:editId="30F7E0CC">
                <wp:simplePos x="0" y="0"/>
                <wp:positionH relativeFrom="margin">
                  <wp:align>left</wp:align>
                </wp:positionH>
                <wp:positionV relativeFrom="paragraph">
                  <wp:posOffset>516255</wp:posOffset>
                </wp:positionV>
                <wp:extent cx="6102985" cy="1466850"/>
                <wp:effectExtent l="38100" t="38100" r="107315" b="1143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466850"/>
                        </a:xfrm>
                        <a:prstGeom prst="rect">
                          <a:avLst/>
                        </a:prstGeom>
                        <a:solidFill>
                          <a:schemeClr val="tx2">
                            <a:lumMod val="40000"/>
                            <a:lumOff val="60000"/>
                          </a:schemeClr>
                        </a:solidFill>
                        <a:ln w="9525">
                          <a:solidFill>
                            <a:srgbClr val="0070C0"/>
                          </a:solidFill>
                          <a:miter lim="800000"/>
                          <a:headEnd/>
                          <a:tailEnd/>
                        </a:ln>
                        <a:effectLst>
                          <a:outerShdw blurRad="50800" dist="38100" dir="2700000" algn="tl" rotWithShape="0">
                            <a:prstClr val="black">
                              <a:alpha val="40000"/>
                            </a:prstClr>
                          </a:outerShdw>
                        </a:effectLst>
                      </wps:spPr>
                      <wps:txbx>
                        <w:txbxContent>
                          <w:p w14:paraId="35A822F4" w14:textId="32885769" w:rsidR="00B1454B" w:rsidRPr="004C40F7" w:rsidRDefault="00B1454B" w:rsidP="001A5BBB">
                            <w:pPr>
                              <w:autoSpaceDE w:val="0"/>
                              <w:autoSpaceDN w:val="0"/>
                              <w:adjustRightInd w:val="0"/>
                              <w:spacing w:after="120"/>
                              <w:rPr>
                                <w:rFonts w:cs="Arial"/>
                                <w:b/>
                                <w:color w:val="000000"/>
                                <w:sz w:val="24"/>
                              </w:rPr>
                            </w:pPr>
                            <w:r w:rsidRPr="004C40F7">
                              <w:rPr>
                                <w:rFonts w:cs="Arial"/>
                                <w:b/>
                                <w:color w:val="000000"/>
                                <w:sz w:val="24"/>
                              </w:rPr>
                              <w:t>Discussion questions</w:t>
                            </w:r>
                          </w:p>
                          <w:p w14:paraId="0E51BF2A" w14:textId="338E2645" w:rsidR="00B1454B" w:rsidRPr="004C40F7" w:rsidRDefault="00B1454B" w:rsidP="004C40F7">
                            <w:pPr>
                              <w:pStyle w:val="Default"/>
                              <w:numPr>
                                <w:ilvl w:val="0"/>
                                <w:numId w:val="48"/>
                              </w:numPr>
                              <w:spacing w:after="120"/>
                              <w:ind w:left="425" w:hanging="425"/>
                              <w:jc w:val="both"/>
                            </w:pPr>
                            <w:r w:rsidRPr="004C40F7">
                              <w:t>Should recommendation</w:t>
                            </w:r>
                            <w:r>
                              <w:t xml:space="preserve"> 94</w:t>
                            </w:r>
                            <w:r w:rsidRPr="004C40F7">
                              <w:t xml:space="preserve"> apply to all property trusts (including private trusts), or to statutory trusts only?</w:t>
                            </w:r>
                          </w:p>
                          <w:p w14:paraId="711F5D89" w14:textId="77777777" w:rsidR="00B1454B" w:rsidRPr="004C40F7" w:rsidRDefault="00B1454B" w:rsidP="004C40F7">
                            <w:pPr>
                              <w:pStyle w:val="Default"/>
                              <w:numPr>
                                <w:ilvl w:val="0"/>
                                <w:numId w:val="48"/>
                              </w:numPr>
                              <w:spacing w:after="120"/>
                              <w:ind w:left="425" w:hanging="425"/>
                              <w:jc w:val="both"/>
                            </w:pPr>
                            <w:r w:rsidRPr="004C40F7">
                              <w:t>Do the difficulties in identifying a proper defendant arise in respect of non-religious organisations?</w:t>
                            </w:r>
                          </w:p>
                          <w:p w14:paraId="5B544236" w14:textId="77777777" w:rsidR="00B1454B" w:rsidRPr="004C40F7" w:rsidRDefault="00B1454B" w:rsidP="004C40F7">
                            <w:pPr>
                              <w:pStyle w:val="Default"/>
                              <w:numPr>
                                <w:ilvl w:val="0"/>
                                <w:numId w:val="48"/>
                              </w:numPr>
                              <w:spacing w:after="120"/>
                              <w:ind w:left="425" w:hanging="425"/>
                              <w:jc w:val="both"/>
                            </w:pPr>
                            <w:r w:rsidRPr="004C40F7">
                              <w:t>Should the recommendation apply only to religious organisations?</w:t>
                            </w:r>
                          </w:p>
                          <w:p w14:paraId="452F6956" w14:textId="3A23744D" w:rsidR="00B1454B" w:rsidRDefault="00B14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8DF6F" id="_x0000_s1033" type="#_x0000_t202" style="position:absolute;left:0;text-align:left;margin-left:0;margin-top:40.65pt;width:480.55pt;height:115.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" fillcolor="#8db3e2 [1311]" strokecolor="#0070c0">
                <v:shadow on="t" color="black" opacity="26214f" origin="-.5,-.5" offset=".74836mm,.74836mm"/>
                <v:textbox>
                  <w:txbxContent>
                    <w:p w14:paraId="35A822F4" w14:textId="32885769" w:rsidR="00B1454B" w:rsidRPr="004C40F7" w:rsidRDefault="00B1454B" w:rsidP="001A5BBB">
                      <w:pPr>
                        <w:autoSpaceDE w:val="0"/>
                        <w:autoSpaceDN w:val="0"/>
                        <w:adjustRightInd w:val="0"/>
                        <w:spacing w:after="120"/>
                        <w:rPr>
                          <w:rFonts w:cs="Arial"/>
                          <w:b/>
                          <w:color w:val="000000"/>
                          <w:sz w:val="24"/>
                        </w:rPr>
                      </w:pPr>
                      <w:r w:rsidRPr="004C40F7">
                        <w:rPr>
                          <w:rFonts w:cs="Arial"/>
                          <w:b/>
                          <w:color w:val="000000"/>
                          <w:sz w:val="24"/>
                        </w:rPr>
                        <w:t>Discussion questions</w:t>
                      </w:r>
                    </w:p>
                    <w:p w14:paraId="0E51BF2A" w14:textId="338E2645" w:rsidR="00B1454B" w:rsidRPr="004C40F7" w:rsidRDefault="00B1454B" w:rsidP="004C40F7">
                      <w:pPr>
                        <w:pStyle w:val="Default"/>
                        <w:numPr>
                          <w:ilvl w:val="0"/>
                          <w:numId w:val="48"/>
                        </w:numPr>
                        <w:spacing w:after="120"/>
                        <w:ind w:left="425" w:hanging="425"/>
                        <w:jc w:val="both"/>
                      </w:pPr>
                      <w:r w:rsidRPr="004C40F7">
                        <w:t>Should recommendation</w:t>
                      </w:r>
                      <w:r>
                        <w:t xml:space="preserve"> 94</w:t>
                      </w:r>
                      <w:r w:rsidRPr="004C40F7">
                        <w:t xml:space="preserve"> apply to all property trusts (including private trusts), or to statutory trusts only?</w:t>
                      </w:r>
                    </w:p>
                    <w:p w14:paraId="711F5D89" w14:textId="77777777" w:rsidR="00B1454B" w:rsidRPr="004C40F7" w:rsidRDefault="00B1454B" w:rsidP="004C40F7">
                      <w:pPr>
                        <w:pStyle w:val="Default"/>
                        <w:numPr>
                          <w:ilvl w:val="0"/>
                          <w:numId w:val="48"/>
                        </w:numPr>
                        <w:spacing w:after="120"/>
                        <w:ind w:left="425" w:hanging="425"/>
                        <w:jc w:val="both"/>
                      </w:pPr>
                      <w:r w:rsidRPr="004C40F7">
                        <w:t>Do the difficulties in identifying a proper defendant arise in respect of non-religious organisations?</w:t>
                      </w:r>
                    </w:p>
                    <w:p w14:paraId="5B544236" w14:textId="77777777" w:rsidR="00B1454B" w:rsidRPr="004C40F7" w:rsidRDefault="00B1454B" w:rsidP="004C40F7">
                      <w:pPr>
                        <w:pStyle w:val="Default"/>
                        <w:numPr>
                          <w:ilvl w:val="0"/>
                          <w:numId w:val="48"/>
                        </w:numPr>
                        <w:spacing w:after="120"/>
                        <w:ind w:left="425" w:hanging="425"/>
                        <w:jc w:val="both"/>
                      </w:pPr>
                      <w:r w:rsidRPr="004C40F7">
                        <w:t>Should the recommendation apply only to religious organisations?</w:t>
                      </w:r>
                    </w:p>
                    <w:p w14:paraId="452F6956" w14:textId="3A23744D" w:rsidR="00B1454B" w:rsidRDefault="00B1454B"/>
                  </w:txbxContent>
                </v:textbox>
                <w10:wrap type="square" anchorx="margin"/>
              </v:shape>
            </w:pict>
          </mc:Fallback>
        </mc:AlternateContent>
      </w:r>
      <w:r w:rsidR="00F31D50" w:rsidRPr="002455B4">
        <w:rPr>
          <w:rFonts w:cs="Arial"/>
          <w:color w:val="000000"/>
          <w:sz w:val="24"/>
        </w:rPr>
        <w:t>are ‘associated’ with an unincorporated association).</w:t>
      </w:r>
      <w:r w:rsidRPr="002455B4">
        <w:rPr>
          <w:rFonts w:cs="Arial"/>
          <w:color w:val="000000"/>
          <w:sz w:val="24"/>
        </w:rPr>
        <w:t>’</w:t>
      </w:r>
      <w:r w:rsidR="00154967">
        <w:rPr>
          <w:rStyle w:val="FootnoteReference"/>
          <w:rFonts w:cs="Arial"/>
          <w:color w:val="000000"/>
          <w:sz w:val="24"/>
        </w:rPr>
        <w:footnoteReference w:id="9"/>
      </w:r>
      <w:r w:rsidR="00F31D50" w:rsidRPr="002455B4">
        <w:rPr>
          <w:rFonts w:cs="Arial"/>
          <w:color w:val="000000"/>
          <w:sz w:val="24"/>
        </w:rPr>
        <w:t xml:space="preserve"> </w:t>
      </w:r>
    </w:p>
    <w:p w14:paraId="72C49035" w14:textId="4762E14E" w:rsidR="00872FC2" w:rsidRPr="008E3637" w:rsidRDefault="00872FC2" w:rsidP="004C40F7">
      <w:pPr>
        <w:keepNext/>
        <w:autoSpaceDE w:val="0"/>
        <w:autoSpaceDN w:val="0"/>
        <w:adjustRightInd w:val="0"/>
        <w:spacing w:after="240"/>
        <w:rPr>
          <w:rFonts w:cs="Arial"/>
          <w:b/>
          <w:color w:val="000000"/>
          <w:sz w:val="24"/>
        </w:rPr>
      </w:pPr>
      <w:r w:rsidRPr="008E3637">
        <w:rPr>
          <w:rFonts w:cs="Arial"/>
          <w:b/>
          <w:color w:val="000000"/>
          <w:sz w:val="24"/>
        </w:rPr>
        <w:t xml:space="preserve">Extent of association </w:t>
      </w:r>
      <w:r w:rsidR="008E24D5" w:rsidRPr="008E3637">
        <w:rPr>
          <w:rFonts w:cs="Arial"/>
          <w:b/>
          <w:color w:val="000000"/>
          <w:sz w:val="24"/>
        </w:rPr>
        <w:t>with property trust</w:t>
      </w:r>
    </w:p>
    <w:p w14:paraId="0836E0A9" w14:textId="420B3CEA" w:rsidR="00900E3B" w:rsidRPr="00900E3B" w:rsidRDefault="00900E3B" w:rsidP="00F31D50">
      <w:pPr>
        <w:rPr>
          <w:rFonts w:cs="Arial"/>
          <w:color w:val="000000"/>
          <w:sz w:val="24"/>
        </w:rPr>
      </w:pPr>
      <w:r w:rsidRPr="00900E3B">
        <w:rPr>
          <w:rFonts w:cs="Arial"/>
          <w:color w:val="000000"/>
          <w:sz w:val="24"/>
        </w:rPr>
        <w:t xml:space="preserve">The NSW </w:t>
      </w:r>
      <w:r w:rsidR="00B1454B" w:rsidRPr="00900E3B">
        <w:rPr>
          <w:rFonts w:cs="Arial"/>
          <w:color w:val="000000"/>
          <w:sz w:val="24"/>
        </w:rPr>
        <w:t>Consultation P</w:t>
      </w:r>
      <w:r w:rsidRPr="00900E3B">
        <w:rPr>
          <w:rFonts w:cs="Arial"/>
          <w:color w:val="000000"/>
          <w:sz w:val="24"/>
        </w:rPr>
        <w:t>aper notes:</w:t>
      </w:r>
    </w:p>
    <w:p w14:paraId="0A3F20EF" w14:textId="41A72CDD" w:rsidR="00F31D50" w:rsidRDefault="00B1454B" w:rsidP="004C40F7">
      <w:pPr>
        <w:ind w:left="567"/>
        <w:jc w:val="both"/>
        <w:rPr>
          <w:rFonts w:cs="Arial"/>
          <w:color w:val="000000"/>
          <w:sz w:val="24"/>
        </w:rPr>
      </w:pPr>
      <w:r w:rsidRPr="001A5BBB">
        <w:rPr>
          <w:rFonts w:cs="Arial"/>
          <w:noProof/>
          <w:color w:val="000000"/>
          <w:sz w:val="24"/>
          <w:lang w:eastAsia="en-AU"/>
        </w:rPr>
        <mc:AlternateContent>
          <mc:Choice Requires="wps">
            <w:drawing>
              <wp:anchor distT="45720" distB="45720" distL="114300" distR="114300" simplePos="0" relativeHeight="251677696" behindDoc="0" locked="0" layoutInCell="1" allowOverlap="1" wp14:anchorId="3F697114" wp14:editId="33FE3170">
                <wp:simplePos x="0" y="0"/>
                <wp:positionH relativeFrom="margin">
                  <wp:align>left</wp:align>
                </wp:positionH>
                <wp:positionV relativeFrom="paragraph">
                  <wp:posOffset>1062990</wp:posOffset>
                </wp:positionV>
                <wp:extent cx="6102985" cy="871855"/>
                <wp:effectExtent l="38100" t="38100" r="107315" b="11874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871855"/>
                        </a:xfrm>
                        <a:prstGeom prst="rect">
                          <a:avLst/>
                        </a:prstGeom>
                        <a:solidFill>
                          <a:schemeClr val="tx2">
                            <a:lumMod val="40000"/>
                            <a:lumOff val="60000"/>
                          </a:schemeClr>
                        </a:solidFill>
                        <a:ln w="9525">
                          <a:solidFill>
                            <a:srgbClr val="0070C0"/>
                          </a:solidFill>
                          <a:miter lim="800000"/>
                          <a:headEnd/>
                          <a:tailEnd/>
                        </a:ln>
                        <a:effectLst>
                          <a:outerShdw blurRad="50800" dist="38100" dir="2700000" algn="tl" rotWithShape="0">
                            <a:prstClr val="black">
                              <a:alpha val="40000"/>
                            </a:prstClr>
                          </a:outerShdw>
                        </a:effectLst>
                      </wps:spPr>
                      <wps:txbx>
                        <w:txbxContent>
                          <w:p w14:paraId="5CFA46E5" w14:textId="6F5EF7B6" w:rsidR="00B1454B" w:rsidRPr="004C40F7" w:rsidRDefault="00B1454B" w:rsidP="000C458B">
                            <w:pPr>
                              <w:rPr>
                                <w:b/>
                                <w:sz w:val="24"/>
                              </w:rPr>
                            </w:pPr>
                            <w:r w:rsidRPr="004C40F7">
                              <w:rPr>
                                <w:rFonts w:cs="Arial"/>
                                <w:b/>
                                <w:color w:val="000000"/>
                                <w:sz w:val="24"/>
                              </w:rPr>
                              <w:t>Discussion question</w:t>
                            </w:r>
                          </w:p>
                          <w:p w14:paraId="087E9A88" w14:textId="3AE4167B" w:rsidR="00B1454B" w:rsidRPr="004C40F7" w:rsidRDefault="00B1454B" w:rsidP="004C40F7">
                            <w:pPr>
                              <w:pStyle w:val="Default"/>
                              <w:numPr>
                                <w:ilvl w:val="0"/>
                                <w:numId w:val="48"/>
                              </w:numPr>
                              <w:spacing w:after="120"/>
                              <w:ind w:left="425" w:hanging="425"/>
                              <w:jc w:val="both"/>
                            </w:pPr>
                            <w:r w:rsidRPr="004C40F7">
                              <w:t>What limits, if any, should there be on the association between an institution and an associated trust?</w:t>
                            </w:r>
                          </w:p>
                          <w:p w14:paraId="445A4E9F" w14:textId="2BC2BCE3" w:rsidR="00B1454B" w:rsidRDefault="00B14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97114" id="_x0000_s1034" type="#_x0000_t202" style="position:absolute;left:0;text-align:left;margin-left:0;margin-top:83.7pt;width:480.55pt;height:68.6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" fillcolor="#8db3e2 [1311]" strokecolor="#0070c0">
                <v:shadow on="t" color="black" opacity="26214f" origin="-.5,-.5" offset=".74836mm,.74836mm"/>
                <v:textbox>
                  <w:txbxContent>
                    <w:p w14:paraId="5CFA46E5" w14:textId="6F5EF7B6" w:rsidR="00B1454B" w:rsidRPr="004C40F7" w:rsidRDefault="00B1454B" w:rsidP="000C458B">
                      <w:pPr>
                        <w:rPr>
                          <w:b/>
                          <w:sz w:val="24"/>
                        </w:rPr>
                      </w:pPr>
                      <w:r w:rsidRPr="004C40F7">
                        <w:rPr>
                          <w:rFonts w:cs="Arial"/>
                          <w:b/>
                          <w:color w:val="000000"/>
                          <w:sz w:val="24"/>
                        </w:rPr>
                        <w:t>Discussion question</w:t>
                      </w:r>
                    </w:p>
                    <w:p w14:paraId="087E9A88" w14:textId="3AE4167B" w:rsidR="00B1454B" w:rsidRPr="004C40F7" w:rsidRDefault="00B1454B" w:rsidP="004C40F7">
                      <w:pPr>
                        <w:pStyle w:val="Default"/>
                        <w:numPr>
                          <w:ilvl w:val="0"/>
                          <w:numId w:val="48"/>
                        </w:numPr>
                        <w:spacing w:after="120"/>
                        <w:ind w:left="425" w:hanging="425"/>
                        <w:jc w:val="both"/>
                      </w:pPr>
                      <w:r w:rsidRPr="004C40F7">
                        <w:t>What limits, if any, should there be on the association between an institution and an associated trust?</w:t>
                      </w:r>
                    </w:p>
                    <w:p w14:paraId="445A4E9F" w14:textId="2BC2BCE3" w:rsidR="00B1454B" w:rsidRDefault="00B1454B"/>
                  </w:txbxContent>
                </v:textbox>
                <w10:wrap type="square" anchorx="margin"/>
              </v:shape>
            </w:pict>
          </mc:Fallback>
        </mc:AlternateContent>
      </w:r>
      <w:r w:rsidR="00900E3B" w:rsidRPr="00900E3B">
        <w:rPr>
          <w:rFonts w:cs="Arial"/>
          <w:color w:val="000000"/>
          <w:sz w:val="24"/>
        </w:rPr>
        <w:t>‘That t</w:t>
      </w:r>
      <w:r w:rsidR="00F31D50" w:rsidRPr="00900E3B">
        <w:rPr>
          <w:rFonts w:cs="Arial"/>
          <w:color w:val="000000"/>
          <w:sz w:val="24"/>
        </w:rPr>
        <w:t>he extent to which an institution and property trust must be ‘associated’ is also unclear. For example, would there be a sufficient ‘association’ between a family</w:t>
      </w:r>
      <w:r>
        <w:rPr>
          <w:rFonts w:cs="Arial"/>
          <w:color w:val="000000"/>
          <w:sz w:val="24"/>
        </w:rPr>
        <w:noBreakHyphen/>
      </w:r>
      <w:r w:rsidR="00F31D50" w:rsidRPr="00900E3B">
        <w:rPr>
          <w:rFonts w:cs="Arial"/>
          <w:color w:val="000000"/>
          <w:sz w:val="24"/>
        </w:rPr>
        <w:t>run children’s dance class and the family’s private trust? Should the family be required to incorporate the dance class or to form a new corporate body to be a ‘proper defendant’ to any claim for child abuse?</w:t>
      </w:r>
      <w:r w:rsidR="00A45937">
        <w:rPr>
          <w:rFonts w:cs="Arial"/>
          <w:color w:val="000000"/>
          <w:sz w:val="24"/>
        </w:rPr>
        <w:t>’</w:t>
      </w:r>
    </w:p>
    <w:p w14:paraId="689D69BC" w14:textId="05F63038" w:rsidR="0094418D" w:rsidRPr="008E3637" w:rsidRDefault="00872FC2" w:rsidP="004C40F7">
      <w:pPr>
        <w:pStyle w:val="Default"/>
        <w:keepNext/>
        <w:spacing w:after="240"/>
        <w:jc w:val="both"/>
        <w:rPr>
          <w:b/>
        </w:rPr>
      </w:pPr>
      <w:r w:rsidRPr="008E3637">
        <w:rPr>
          <w:b/>
        </w:rPr>
        <w:lastRenderedPageBreak/>
        <w:t xml:space="preserve">Incorporation </w:t>
      </w:r>
    </w:p>
    <w:p w14:paraId="3E0DD3D7" w14:textId="6C7B86B0" w:rsidR="00354D4D" w:rsidRDefault="00354D4D" w:rsidP="001535A3">
      <w:pPr>
        <w:spacing w:after="240"/>
        <w:ind w:right="-1"/>
        <w:jc w:val="both"/>
        <w:rPr>
          <w:rFonts w:cs="Arial"/>
          <w:sz w:val="24"/>
          <w:szCs w:val="24"/>
        </w:rPr>
      </w:pPr>
      <w:r>
        <w:rPr>
          <w:rFonts w:cs="Arial"/>
          <w:sz w:val="24"/>
          <w:szCs w:val="24"/>
        </w:rPr>
        <w:t>Royal Commission recommendation 94 does not require unincorporated institutions who have no association with a property trust to nominate a proper defendant, nor does it address the issue of identifying a proper defendant where the institution no longer exists.</w:t>
      </w:r>
    </w:p>
    <w:p w14:paraId="3C1863E9" w14:textId="7E70DF99" w:rsidR="0068510D" w:rsidRDefault="00354D4D" w:rsidP="00354D4D">
      <w:pPr>
        <w:spacing w:after="240"/>
        <w:ind w:right="-1"/>
        <w:jc w:val="both"/>
        <w:rPr>
          <w:rFonts w:cs="Arial"/>
          <w:sz w:val="24"/>
          <w:szCs w:val="24"/>
        </w:rPr>
      </w:pPr>
      <w:r w:rsidRPr="004D5398">
        <w:rPr>
          <w:rFonts w:cs="Arial"/>
          <w:sz w:val="24"/>
          <w:szCs w:val="24"/>
        </w:rPr>
        <w:t xml:space="preserve">While the Royal Commission considered that one approach might be to require compulsory incorporation by institutions who provide children’s services, the </w:t>
      </w:r>
      <w:r>
        <w:rPr>
          <w:rFonts w:cs="Arial"/>
          <w:sz w:val="24"/>
          <w:szCs w:val="24"/>
        </w:rPr>
        <w:t xml:space="preserve">Royal </w:t>
      </w:r>
      <w:r w:rsidRPr="004D5398">
        <w:rPr>
          <w:rFonts w:cs="Arial"/>
          <w:sz w:val="24"/>
          <w:szCs w:val="24"/>
        </w:rPr>
        <w:t xml:space="preserve">Commission was concerned </w:t>
      </w:r>
      <w:r>
        <w:rPr>
          <w:rFonts w:cs="Arial"/>
          <w:sz w:val="24"/>
          <w:szCs w:val="24"/>
        </w:rPr>
        <w:t xml:space="preserve">that </w:t>
      </w:r>
      <w:r w:rsidRPr="004D5398">
        <w:rPr>
          <w:rFonts w:cs="Arial"/>
          <w:sz w:val="24"/>
          <w:szCs w:val="24"/>
        </w:rPr>
        <w:t>such an approach may impact on the delivery of services by small, temporary and informal associations that provide sporting, cultural and other activities in the community.</w:t>
      </w:r>
    </w:p>
    <w:p w14:paraId="7E50751D" w14:textId="2A1A9597" w:rsidR="00354D4D" w:rsidRDefault="00354D4D" w:rsidP="001535A3">
      <w:pPr>
        <w:spacing w:after="240"/>
        <w:ind w:right="-1"/>
        <w:jc w:val="both"/>
        <w:rPr>
          <w:rFonts w:cs="Arial"/>
          <w:sz w:val="24"/>
          <w:szCs w:val="24"/>
        </w:rPr>
      </w:pPr>
      <w:r w:rsidRPr="00354D4D">
        <w:rPr>
          <w:rFonts w:cs="Arial"/>
          <w:sz w:val="24"/>
          <w:szCs w:val="24"/>
        </w:rPr>
        <w:t xml:space="preserve">Nevertheless, the Civil Liability Legislation Amendment (Child Sexual Abuse </w:t>
      </w:r>
      <w:r w:rsidRPr="00E95C66">
        <w:rPr>
          <w:rFonts w:cs="Arial"/>
          <w:sz w:val="24"/>
          <w:szCs w:val="24"/>
        </w:rPr>
        <w:t xml:space="preserve">Actions) </w:t>
      </w:r>
      <w:r w:rsidR="00D80CE1">
        <w:rPr>
          <w:rFonts w:cs="Arial"/>
          <w:sz w:val="24"/>
          <w:szCs w:val="24"/>
        </w:rPr>
        <w:t>Act 2018</w:t>
      </w:r>
      <w:r w:rsidRPr="00E95C66">
        <w:rPr>
          <w:sz w:val="24"/>
          <w:szCs w:val="24"/>
        </w:rPr>
        <w:t xml:space="preserve"> (WA)</w:t>
      </w:r>
      <w:r w:rsidR="000E4640">
        <w:rPr>
          <w:rFonts w:cs="Arial"/>
          <w:sz w:val="24"/>
          <w:szCs w:val="24"/>
        </w:rPr>
        <w:t xml:space="preserve"> provides a possible solution to this issue, as well as to the issue of identifying a proper defendant where an institution no longer exists.  </w:t>
      </w:r>
    </w:p>
    <w:p w14:paraId="45FB5FA4" w14:textId="58E97A20" w:rsidR="00645137" w:rsidRDefault="0025169F" w:rsidP="004C40F7">
      <w:pPr>
        <w:spacing w:after="240"/>
        <w:ind w:right="-1"/>
        <w:jc w:val="both"/>
        <w:rPr>
          <w:rFonts w:cs="Arial"/>
          <w:color w:val="000000"/>
        </w:rPr>
      </w:pPr>
      <w:r w:rsidRPr="000C458B">
        <w:rPr>
          <w:rFonts w:cs="Arial"/>
          <w:noProof/>
          <w:sz w:val="24"/>
          <w:szCs w:val="24"/>
          <w:lang w:eastAsia="en-AU"/>
        </w:rPr>
        <mc:AlternateContent>
          <mc:Choice Requires="wps">
            <w:drawing>
              <wp:anchor distT="45720" distB="45720" distL="114300" distR="114300" simplePos="0" relativeHeight="251679744" behindDoc="0" locked="0" layoutInCell="1" allowOverlap="1" wp14:anchorId="0114EB72" wp14:editId="20E423A3">
                <wp:simplePos x="0" y="0"/>
                <wp:positionH relativeFrom="margin">
                  <wp:posOffset>47625</wp:posOffset>
                </wp:positionH>
                <wp:positionV relativeFrom="paragraph">
                  <wp:posOffset>66675</wp:posOffset>
                </wp:positionV>
                <wp:extent cx="6092190" cy="1404620"/>
                <wp:effectExtent l="38100" t="38100" r="118110" b="1054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404620"/>
                        </a:xfrm>
                        <a:prstGeom prst="rect">
                          <a:avLst/>
                        </a:prstGeom>
                        <a:solidFill>
                          <a:schemeClr val="tx2">
                            <a:lumMod val="40000"/>
                            <a:lumOff val="60000"/>
                          </a:schemeClr>
                        </a:solidFill>
                        <a:ln w="9525">
                          <a:solidFill>
                            <a:srgbClr val="0070C0"/>
                          </a:solidFill>
                          <a:miter lim="800000"/>
                          <a:headEnd/>
                          <a:tailEnd/>
                        </a:ln>
                        <a:effectLst>
                          <a:outerShdw blurRad="50800" dist="38100" dir="2700000" algn="tl" rotWithShape="0">
                            <a:prstClr val="black">
                              <a:alpha val="40000"/>
                            </a:prstClr>
                          </a:outerShdw>
                        </a:effectLst>
                      </wps:spPr>
                      <wps:txbx>
                        <w:txbxContent>
                          <w:p w14:paraId="3E2DCF92" w14:textId="2951E85F" w:rsidR="00B1454B" w:rsidRPr="004C40F7" w:rsidRDefault="00B1454B" w:rsidP="000C458B">
                            <w:pPr>
                              <w:spacing w:after="120"/>
                              <w:ind w:right="-1"/>
                              <w:jc w:val="both"/>
                              <w:rPr>
                                <w:rFonts w:cs="Arial"/>
                                <w:b/>
                                <w:sz w:val="24"/>
                                <w:szCs w:val="24"/>
                              </w:rPr>
                            </w:pPr>
                            <w:r>
                              <w:rPr>
                                <w:rFonts w:cs="Arial"/>
                                <w:b/>
                                <w:sz w:val="24"/>
                                <w:szCs w:val="24"/>
                              </w:rPr>
                              <w:t>Discussion q</w:t>
                            </w:r>
                            <w:r w:rsidRPr="004C40F7">
                              <w:rPr>
                                <w:rFonts w:cs="Arial"/>
                                <w:b/>
                                <w:sz w:val="24"/>
                                <w:szCs w:val="24"/>
                              </w:rPr>
                              <w:t>uestion</w:t>
                            </w:r>
                            <w:r>
                              <w:rPr>
                                <w:rFonts w:cs="Arial"/>
                                <w:b/>
                                <w:sz w:val="24"/>
                                <w:szCs w:val="24"/>
                              </w:rPr>
                              <w:t>s</w:t>
                            </w:r>
                          </w:p>
                          <w:p w14:paraId="7E80DEA0" w14:textId="51658E1E" w:rsidR="00B1454B" w:rsidRPr="004C40F7" w:rsidRDefault="00B1454B" w:rsidP="004C40F7">
                            <w:pPr>
                              <w:pStyle w:val="Default"/>
                              <w:numPr>
                                <w:ilvl w:val="0"/>
                                <w:numId w:val="48"/>
                              </w:numPr>
                              <w:spacing w:after="120"/>
                              <w:ind w:left="425" w:hanging="425"/>
                              <w:jc w:val="both"/>
                            </w:pPr>
                            <w:r w:rsidRPr="004C40F7">
                              <w:t>Would it be reasonable to require every institution working with children to incorporate, or to have an incorporated ‘proper defendant’? What would the impacts of this be?</w:t>
                            </w:r>
                          </w:p>
                          <w:p w14:paraId="175BD116" w14:textId="79942A3E" w:rsidR="00B1454B" w:rsidRPr="007C455D" w:rsidRDefault="00B1454B" w:rsidP="004C40F7">
                            <w:pPr>
                              <w:pStyle w:val="Default"/>
                              <w:numPr>
                                <w:ilvl w:val="0"/>
                                <w:numId w:val="48"/>
                              </w:numPr>
                              <w:spacing w:after="120"/>
                              <w:ind w:left="425" w:hanging="425"/>
                              <w:jc w:val="both"/>
                            </w:pPr>
                            <w:r w:rsidRPr="004C40F7">
                              <w:t xml:space="preserve">Should legislation similar to that proposed by Western Australia be adopted in the Territory? If so, what modifications, if any would you suggest and why?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14EB72" id="_x0000_s1035" type="#_x0000_t202" style="position:absolute;left:0;text-align:left;margin-left:3.75pt;margin-top:5.25pt;width:479.7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" fillcolor="#8db3e2 [1311]" strokecolor="#0070c0">
                <v:shadow on="t" color="black" opacity="26214f" origin="-.5,-.5" offset=".74836mm,.74836mm"/>
                <v:textbox style="mso-fit-shape-to-text:t">
                  <w:txbxContent>
                    <w:p w14:paraId="3E2DCF92" w14:textId="2951E85F" w:rsidR="00B1454B" w:rsidRPr="004C40F7" w:rsidRDefault="00B1454B" w:rsidP="000C458B">
                      <w:pPr>
                        <w:spacing w:after="120"/>
                        <w:ind w:right="-1"/>
                        <w:jc w:val="both"/>
                        <w:rPr>
                          <w:rFonts w:cs="Arial"/>
                          <w:b/>
                          <w:sz w:val="24"/>
                          <w:szCs w:val="24"/>
                        </w:rPr>
                      </w:pPr>
                      <w:r>
                        <w:rPr>
                          <w:rFonts w:cs="Arial"/>
                          <w:b/>
                          <w:sz w:val="24"/>
                          <w:szCs w:val="24"/>
                        </w:rPr>
                        <w:t>Discussion q</w:t>
                      </w:r>
                      <w:r w:rsidRPr="004C40F7">
                        <w:rPr>
                          <w:rFonts w:cs="Arial"/>
                          <w:b/>
                          <w:sz w:val="24"/>
                          <w:szCs w:val="24"/>
                        </w:rPr>
                        <w:t>uestion</w:t>
                      </w:r>
                      <w:r>
                        <w:rPr>
                          <w:rFonts w:cs="Arial"/>
                          <w:b/>
                          <w:sz w:val="24"/>
                          <w:szCs w:val="24"/>
                        </w:rPr>
                        <w:t>s</w:t>
                      </w:r>
                    </w:p>
                    <w:p w14:paraId="7E80DEA0" w14:textId="51658E1E" w:rsidR="00B1454B" w:rsidRPr="004C40F7" w:rsidRDefault="00B1454B" w:rsidP="004C40F7">
                      <w:pPr>
                        <w:pStyle w:val="Default"/>
                        <w:numPr>
                          <w:ilvl w:val="0"/>
                          <w:numId w:val="48"/>
                        </w:numPr>
                        <w:spacing w:after="120"/>
                        <w:ind w:left="425" w:hanging="425"/>
                        <w:jc w:val="both"/>
                      </w:pPr>
                      <w:r w:rsidRPr="004C40F7">
                        <w:t>Would it be reasonable to require every institution working with children to incorporate, or to have an incorporated ‘proper defendant’? What would the impacts of this be?</w:t>
                      </w:r>
                    </w:p>
                    <w:p w14:paraId="175BD116" w14:textId="79942A3E" w:rsidR="00B1454B" w:rsidRPr="007C455D" w:rsidRDefault="00B1454B" w:rsidP="004C40F7">
                      <w:pPr>
                        <w:pStyle w:val="Default"/>
                        <w:numPr>
                          <w:ilvl w:val="0"/>
                          <w:numId w:val="48"/>
                        </w:numPr>
                        <w:spacing w:after="120"/>
                        <w:ind w:left="425" w:hanging="425"/>
                        <w:jc w:val="both"/>
                      </w:pPr>
                      <w:r w:rsidRPr="004C40F7">
                        <w:t xml:space="preserve">Should legislation similar to that proposed by Western Australia be adopted in the Territory? If so, what modifications, if any would you suggest and why? </w:t>
                      </w:r>
                    </w:p>
                  </w:txbxContent>
                </v:textbox>
                <w10:wrap type="square" anchorx="margin"/>
              </v:shape>
            </w:pict>
          </mc:Fallback>
        </mc:AlternateContent>
      </w:r>
    </w:p>
    <w:sectPr w:rsidR="00645137" w:rsidSect="005B5876">
      <w:headerReference w:type="default" r:id="rId11"/>
      <w:footerReference w:type="default" r:id="rId12"/>
      <w:headerReference w:type="first" r:id="rId13"/>
      <w:footerReference w:type="first" r:id="rId14"/>
      <w:pgSz w:w="11906" w:h="16838" w:code="9"/>
      <w:pgMar w:top="1134" w:right="1134" w:bottom="993" w:left="1134" w:header="709" w:footer="2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53ED4" w14:textId="77777777" w:rsidR="00EB028C" w:rsidRDefault="00EB028C" w:rsidP="007332FF">
      <w:r>
        <w:separator/>
      </w:r>
    </w:p>
  </w:endnote>
  <w:endnote w:type="continuationSeparator" w:id="0">
    <w:p w14:paraId="1DEB9509" w14:textId="77777777" w:rsidR="00EB028C" w:rsidRDefault="00EB028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F8E18" w14:textId="77777777" w:rsidR="00B1454B" w:rsidRPr="00AE306C" w:rsidRDefault="0055091E" w:rsidP="002926BC">
    <w:pPr>
      <w:tabs>
        <w:tab w:val="right" w:pos="10206"/>
      </w:tabs>
      <w:spacing w:after="120"/>
      <w:ind w:left="-567" w:right="-568"/>
      <w:rPr>
        <w:sz w:val="16"/>
        <w:szCs w:val="16"/>
      </w:rPr>
    </w:pPr>
    <w:r>
      <w:rPr>
        <w:sz w:val="16"/>
        <w:szCs w:val="16"/>
      </w:rPr>
      <w:pict w14:anchorId="2F7E5DD5">
        <v:rect id="_x0000_i1025" style="width:481.9pt;height:.5pt;mso-position-vertical:absolute" o:hralign="center" o:hrstd="t" o:hrnoshade="t" o:hr="t" fillcolor="black [3213]" stroked="f"/>
      </w:pict>
    </w:r>
  </w:p>
  <w:p w14:paraId="433AF41A" w14:textId="19C11EA5" w:rsidR="00B1454B" w:rsidRPr="004D1B76" w:rsidRDefault="00B1454B" w:rsidP="002926BC">
    <w:pPr>
      <w:pStyle w:val="NTGFooter2deptpagenum"/>
      <w:tabs>
        <w:tab w:val="clear" w:pos="9639"/>
        <w:tab w:val="right" w:pos="10206"/>
      </w:tabs>
      <w:ind w:left="-567" w:right="-568"/>
    </w:pPr>
    <w:r w:rsidRPr="007B5DA2">
      <w:rPr>
        <w:rStyle w:val="NTGFooterDepartmentofChar"/>
      </w:rPr>
      <w:fldChar w:fldCharType="begin"/>
    </w:r>
    <w:r w:rsidRPr="007B5DA2">
      <w:rPr>
        <w:rStyle w:val="NTGFooterDepartmentofChar"/>
      </w:rPr>
      <w:instrText xml:space="preserve"> DOCPROPERTY  DepartmentOf  \* MERGEFORMAT </w:instrText>
    </w:r>
    <w:r w:rsidRPr="007B5DA2">
      <w:rPr>
        <w:rStyle w:val="NTGFooterDepartmentofChar"/>
      </w:rPr>
      <w:fldChar w:fldCharType="separate"/>
    </w:r>
    <w:r w:rsidR="007B1F5E">
      <w:rPr>
        <w:rStyle w:val="NTGFooterDepartmentofChar"/>
      </w:rPr>
      <w:t xml:space="preserve">Department of </w:t>
    </w:r>
    <w:r w:rsidRPr="007B5DA2">
      <w:rPr>
        <w:rStyle w:val="NTGFooterDepartmentofChar"/>
      </w:rPr>
      <w:fldChar w:fldCharType="end"/>
    </w:r>
    <w:r w:rsidRPr="007B5DA2">
      <w:rPr>
        <w:rStyle w:val="NTGFooterDepartmentNameChar"/>
      </w:rPr>
      <w:fldChar w:fldCharType="begin"/>
    </w:r>
    <w:r w:rsidRPr="007B5DA2">
      <w:rPr>
        <w:rStyle w:val="NTGFooterDepartmentNameChar"/>
      </w:rPr>
      <w:instrText xml:space="preserve"> DOCPROPERTY  DepartmentName  \* MERGEFORMAT </w:instrText>
    </w:r>
    <w:r w:rsidRPr="007B5DA2">
      <w:rPr>
        <w:rStyle w:val="NTGFooterDepartmentNameChar"/>
      </w:rPr>
      <w:fldChar w:fldCharType="separate"/>
    </w:r>
    <w:r w:rsidR="007B1F5E">
      <w:rPr>
        <w:rStyle w:val="NTGFooterDepartmentNameChar"/>
      </w:rPr>
      <w:t>Attorney-General and Justice</w:t>
    </w:r>
    <w:r w:rsidRPr="007B5DA2">
      <w:rPr>
        <w:rStyle w:val="NTGFooterDepartmentNameChar"/>
      </w:rPr>
      <w:fldChar w:fldCharType="end"/>
    </w:r>
    <w:r w:rsidRPr="004D1B76">
      <w:tab/>
    </w:r>
    <w:r w:rsidRPr="007B5DA2">
      <w:rPr>
        <w:rStyle w:val="NTGFooter2deptpagenumChar"/>
        <w:rFonts w:eastAsia="Calibri"/>
      </w:rPr>
      <w:t xml:space="preserve">Page </w:t>
    </w:r>
    <w:r w:rsidRPr="007B5DA2">
      <w:rPr>
        <w:rStyle w:val="NTGFooter2deptpagenumChar"/>
        <w:rFonts w:eastAsia="Calibri"/>
      </w:rPr>
      <w:fldChar w:fldCharType="begin"/>
    </w:r>
    <w:r w:rsidRPr="007B5DA2">
      <w:rPr>
        <w:rStyle w:val="NTGFooter2deptpagenumChar"/>
        <w:rFonts w:eastAsia="Calibri"/>
      </w:rPr>
      <w:instrText xml:space="preserve"> PAGE  \* Arabic  \* MERGEFORMAT </w:instrText>
    </w:r>
    <w:r w:rsidRPr="007B5DA2">
      <w:rPr>
        <w:rStyle w:val="NTGFooter2deptpagenumChar"/>
        <w:rFonts w:eastAsia="Calibri"/>
      </w:rPr>
      <w:fldChar w:fldCharType="separate"/>
    </w:r>
    <w:r w:rsidR="0055091E">
      <w:rPr>
        <w:rStyle w:val="NTGFooter2deptpagenumChar"/>
        <w:rFonts w:eastAsia="Calibri"/>
        <w:noProof/>
      </w:rPr>
      <w:t>2</w:t>
    </w:r>
    <w:r w:rsidRPr="007B5DA2">
      <w:rPr>
        <w:rStyle w:val="NTGFooter2deptpagenumChar"/>
        <w:rFonts w:eastAsia="Calibri"/>
      </w:rPr>
      <w:fldChar w:fldCharType="end"/>
    </w:r>
    <w:r w:rsidRPr="007B5DA2">
      <w:rPr>
        <w:rStyle w:val="NTGFooter2deptpagenumChar"/>
        <w:rFonts w:eastAsia="Calibri"/>
      </w:rPr>
      <w:t xml:space="preserve"> of </w:t>
    </w:r>
    <w:r w:rsidRPr="007B5DA2">
      <w:rPr>
        <w:rStyle w:val="NTGFooter2deptpagenumChar"/>
        <w:rFonts w:eastAsia="Calibri"/>
      </w:rPr>
      <w:fldChar w:fldCharType="begin"/>
    </w:r>
    <w:r w:rsidRPr="007B5DA2">
      <w:rPr>
        <w:rStyle w:val="NTGFooter2deptpagenumChar"/>
        <w:rFonts w:eastAsia="Calibri"/>
      </w:rPr>
      <w:instrText xml:space="preserve"> NUMPAGES  \* Arabic  \* MERGEFORMAT </w:instrText>
    </w:r>
    <w:r w:rsidRPr="007B5DA2">
      <w:rPr>
        <w:rStyle w:val="NTGFooter2deptpagenumChar"/>
        <w:rFonts w:eastAsia="Calibri"/>
      </w:rPr>
      <w:fldChar w:fldCharType="separate"/>
    </w:r>
    <w:r w:rsidR="0055091E">
      <w:rPr>
        <w:rStyle w:val="NTGFooter2deptpagenumChar"/>
        <w:rFonts w:eastAsia="Calibri"/>
        <w:noProof/>
      </w:rPr>
      <w:t>19</w:t>
    </w:r>
    <w:r w:rsidRPr="007B5DA2">
      <w:rPr>
        <w:rStyle w:val="NTGFooter2deptpagenumChar"/>
        <w:rFonts w:eastAsia="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505"/>
      <w:gridCol w:w="2268"/>
    </w:tblGrid>
    <w:tr w:rsidR="00B1454B" w:rsidRPr="00132658" w14:paraId="137ABBFD" w14:textId="77777777" w:rsidTr="007D4893">
      <w:trPr>
        <w:cantSplit/>
        <w:trHeight w:hRule="exact" w:val="1400"/>
        <w:tblHeader/>
      </w:trPr>
      <w:tc>
        <w:tcPr>
          <w:tcW w:w="8505" w:type="dxa"/>
          <w:vAlign w:val="center"/>
        </w:tcPr>
        <w:p w14:paraId="60708BEF" w14:textId="2B6F68FC" w:rsidR="00B1454B" w:rsidRPr="00705C9D" w:rsidRDefault="00B1454B" w:rsidP="007B5DA2">
          <w:pPr>
            <w:pStyle w:val="NTGFooter1items"/>
            <w:rPr>
              <w:rStyle w:val="NTGFooterDepartmentNameChar"/>
            </w:rPr>
          </w:pPr>
          <w:r w:rsidRPr="00705C9D">
            <w:rPr>
              <w:rStyle w:val="NTGFooterDepartmentofChar"/>
            </w:rPr>
            <w:fldChar w:fldCharType="begin"/>
          </w:r>
          <w:r w:rsidRPr="00705C9D">
            <w:rPr>
              <w:rStyle w:val="NTGFooterDepartmentofChar"/>
            </w:rPr>
            <w:instrText xml:space="preserve"> DOCPROPERTY  DepartmentOf  \* MERGEFORMAT </w:instrText>
          </w:r>
          <w:r w:rsidRPr="00705C9D">
            <w:rPr>
              <w:rStyle w:val="NTGFooterDepartmentofChar"/>
            </w:rPr>
            <w:fldChar w:fldCharType="separate"/>
          </w:r>
          <w:r w:rsidR="007B1F5E">
            <w:rPr>
              <w:rStyle w:val="NTGFooterDepartmentofChar"/>
            </w:rPr>
            <w:t xml:space="preserve">Department of </w:t>
          </w:r>
          <w:r w:rsidRPr="00705C9D">
            <w:rPr>
              <w:rStyle w:val="NTGFooterDepartmentofChar"/>
            </w:rPr>
            <w:fldChar w:fldCharType="end"/>
          </w:r>
          <w:r w:rsidRPr="00705C9D">
            <w:rPr>
              <w:rStyle w:val="NTGFooterDepartmentNameChar"/>
            </w:rPr>
            <w:fldChar w:fldCharType="begin"/>
          </w:r>
          <w:r w:rsidRPr="00705C9D">
            <w:rPr>
              <w:rStyle w:val="NTGFooterDepartmentNameChar"/>
            </w:rPr>
            <w:instrText xml:space="preserve"> DOCPROPERTY  DepartmentName  \* MERGEFORMAT </w:instrText>
          </w:r>
          <w:r w:rsidRPr="00705C9D">
            <w:rPr>
              <w:rStyle w:val="NTGFooterDepartmentNameChar"/>
            </w:rPr>
            <w:fldChar w:fldCharType="separate"/>
          </w:r>
          <w:r w:rsidR="007B1F5E">
            <w:rPr>
              <w:rStyle w:val="NTGFooterDepartmentNameChar"/>
            </w:rPr>
            <w:t>Attorney-General and Justice</w:t>
          </w:r>
          <w:r w:rsidRPr="00705C9D">
            <w:rPr>
              <w:rStyle w:val="NTGFooterDepartmentNameChar"/>
            </w:rPr>
            <w:fldChar w:fldCharType="end"/>
          </w:r>
        </w:p>
        <w:p w14:paraId="58B53B0C" w14:textId="7F2E43F0" w:rsidR="00B1454B" w:rsidRPr="007B5DA2" w:rsidRDefault="00B1454B" w:rsidP="0074365C">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55091E">
            <w:rPr>
              <w:noProof/>
            </w:rPr>
            <w:t>1</w:t>
          </w:r>
          <w:r w:rsidRPr="007B5DA2">
            <w:fldChar w:fldCharType="end"/>
          </w:r>
          <w:r w:rsidRPr="007B5DA2">
            <w:t xml:space="preserve"> of </w:t>
          </w:r>
          <w:r w:rsidR="00CF5EC5">
            <w:rPr>
              <w:noProof/>
            </w:rPr>
            <w:fldChar w:fldCharType="begin"/>
          </w:r>
          <w:r w:rsidR="00CF5EC5">
            <w:rPr>
              <w:noProof/>
            </w:rPr>
            <w:instrText xml:space="preserve"> NUMPAGES  \* Arabic  \* MERGEFORMAT </w:instrText>
          </w:r>
          <w:r w:rsidR="00CF5EC5">
            <w:rPr>
              <w:noProof/>
            </w:rPr>
            <w:fldChar w:fldCharType="separate"/>
          </w:r>
          <w:r w:rsidR="0055091E">
            <w:rPr>
              <w:noProof/>
            </w:rPr>
            <w:t>19</w:t>
          </w:r>
          <w:r w:rsidR="00CF5EC5">
            <w:rPr>
              <w:noProof/>
            </w:rPr>
            <w:fldChar w:fldCharType="end"/>
          </w:r>
          <w:r w:rsidRPr="007B5DA2">
            <w:tab/>
          </w:r>
        </w:p>
      </w:tc>
      <w:tc>
        <w:tcPr>
          <w:tcW w:w="2268" w:type="dxa"/>
          <w:vAlign w:val="center"/>
        </w:tcPr>
        <w:p w14:paraId="3BA7126D" w14:textId="77777777" w:rsidR="00B1454B" w:rsidRPr="001E14EB" w:rsidRDefault="00B1454B" w:rsidP="00543BD1">
          <w:pPr>
            <w:spacing w:after="0"/>
            <w:jc w:val="right"/>
          </w:pPr>
          <w:r w:rsidRPr="00132658">
            <w:rPr>
              <w:noProof/>
              <w:lang w:eastAsia="en-AU"/>
            </w:rPr>
            <w:drawing>
              <wp:inline distT="0" distB="0" distL="0" distR="0" wp14:anchorId="51EA9595" wp14:editId="2F7962E6">
                <wp:extent cx="1347470" cy="481330"/>
                <wp:effectExtent l="0" t="0" r="5080" b="0"/>
                <wp:docPr id="19" name="Picture 1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668A8AF6" w14:textId="77777777" w:rsidR="00B1454B" w:rsidRPr="00543BD1" w:rsidRDefault="00B1454B" w:rsidP="00543BD1">
    <w:pPr>
      <w:pStyle w:val="NoSpacing"/>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5C7C2" w14:textId="77777777" w:rsidR="00EB028C" w:rsidRDefault="00EB028C" w:rsidP="007332FF">
      <w:r>
        <w:separator/>
      </w:r>
    </w:p>
  </w:footnote>
  <w:footnote w:type="continuationSeparator" w:id="0">
    <w:p w14:paraId="25BC17C5" w14:textId="77777777" w:rsidR="00EB028C" w:rsidRDefault="00EB028C" w:rsidP="007332FF">
      <w:r>
        <w:continuationSeparator/>
      </w:r>
    </w:p>
  </w:footnote>
  <w:footnote w:id="1">
    <w:p w14:paraId="637F5D17" w14:textId="43A86B2F" w:rsidR="00B1454B" w:rsidRPr="0098178C" w:rsidRDefault="00B1454B">
      <w:pPr>
        <w:pStyle w:val="FootnoteText"/>
      </w:pPr>
      <w:r w:rsidRPr="0098178C">
        <w:rPr>
          <w:rStyle w:val="FootnoteReference"/>
        </w:rPr>
        <w:footnoteRef/>
      </w:r>
      <w:r w:rsidRPr="0098178C">
        <w:t xml:space="preserve"> A copy of the Solicitor for the NT’s Model Litigant Policy is available online at: </w:t>
      </w:r>
      <w:hyperlink r:id="rId1" w:history="1">
        <w:r w:rsidRPr="0098178C">
          <w:rPr>
            <w:rStyle w:val="Hyperlink"/>
          </w:rPr>
          <w:t>https://justice.nt.gov.au/attorney-general-and-justice/northern-territory-government-legal-services/solicitor-for-the-northern-territory</w:t>
        </w:r>
      </w:hyperlink>
    </w:p>
  </w:footnote>
  <w:footnote w:id="2">
    <w:p w14:paraId="0A27035C" w14:textId="354672CE" w:rsidR="00B1454B" w:rsidRPr="0098178C" w:rsidRDefault="00B1454B">
      <w:pPr>
        <w:pStyle w:val="FootnoteText"/>
      </w:pPr>
      <w:r w:rsidRPr="0098178C">
        <w:rPr>
          <w:rStyle w:val="FootnoteReference"/>
        </w:rPr>
        <w:footnoteRef/>
      </w:r>
      <w:r w:rsidRPr="0098178C">
        <w:t xml:space="preserve"> </w:t>
      </w:r>
      <w:r w:rsidRPr="0098178C">
        <w:rPr>
          <w:rFonts w:cs="Arial"/>
        </w:rPr>
        <w:t>(2003) 212 CLR 511</w:t>
      </w:r>
    </w:p>
  </w:footnote>
  <w:footnote w:id="3">
    <w:p w14:paraId="1A50A43E" w14:textId="20C16088" w:rsidR="00B1454B" w:rsidRPr="0098178C" w:rsidRDefault="00B1454B" w:rsidP="00724B6D">
      <w:pPr>
        <w:autoSpaceDE w:val="0"/>
        <w:autoSpaceDN w:val="0"/>
        <w:adjustRightInd w:val="0"/>
        <w:spacing w:after="0"/>
        <w:jc w:val="both"/>
      </w:pPr>
      <w:r w:rsidRPr="0098178C">
        <w:rPr>
          <w:rStyle w:val="FootnoteReference"/>
          <w:sz w:val="20"/>
          <w:szCs w:val="20"/>
        </w:rPr>
        <w:footnoteRef/>
      </w:r>
      <w:r w:rsidRPr="0098178C">
        <w:rPr>
          <w:sz w:val="20"/>
          <w:szCs w:val="20"/>
        </w:rPr>
        <w:t xml:space="preserve"> </w:t>
      </w:r>
      <w:r w:rsidRPr="0098178C">
        <w:rPr>
          <w:i/>
          <w:iCs/>
          <w:sz w:val="20"/>
          <w:szCs w:val="20"/>
        </w:rPr>
        <w:t xml:space="preserve">Prince Alfred College Incorporated v ADC </w:t>
      </w:r>
      <w:r w:rsidRPr="0098178C">
        <w:rPr>
          <w:sz w:val="20"/>
          <w:szCs w:val="20"/>
        </w:rPr>
        <w:t>[2016] HCA 37 at [81</w:t>
      </w:r>
      <w:r w:rsidRPr="004C40F7">
        <w:rPr>
          <w:sz w:val="20"/>
          <w:szCs w:val="20"/>
        </w:rPr>
        <w:t xml:space="preserve">]  </w:t>
      </w:r>
    </w:p>
  </w:footnote>
  <w:footnote w:id="4">
    <w:p w14:paraId="7B9DDBA4" w14:textId="407937CE" w:rsidR="00B1454B" w:rsidRPr="00CD0DFB" w:rsidRDefault="00B1454B">
      <w:pPr>
        <w:pStyle w:val="FootnoteText"/>
      </w:pPr>
      <w:r w:rsidRPr="0098178C">
        <w:rPr>
          <w:rStyle w:val="FootnoteReference"/>
        </w:rPr>
        <w:footnoteRef/>
      </w:r>
      <w:r w:rsidRPr="0098178C">
        <w:t xml:space="preserve"> Consultation Paper: NSW Government consultation in relation to the civil litigation recommendations of the Royal Commission into Institutional Child Sexual Abuse</w:t>
      </w:r>
      <w:r>
        <w:t>.</w:t>
      </w:r>
    </w:p>
  </w:footnote>
  <w:footnote w:id="5">
    <w:p w14:paraId="21F96DBD" w14:textId="4F9ADDF3" w:rsidR="00B1454B" w:rsidRPr="00E6484C" w:rsidRDefault="00B1454B" w:rsidP="000E3D59">
      <w:pPr>
        <w:pStyle w:val="FootnoteText"/>
      </w:pPr>
      <w:r w:rsidRPr="00E6484C">
        <w:rPr>
          <w:rStyle w:val="FootnoteReference"/>
        </w:rPr>
        <w:footnoteRef/>
      </w:r>
      <w:r w:rsidRPr="00E6484C">
        <w:t xml:space="preserve"> </w:t>
      </w:r>
      <w:r>
        <w:t xml:space="preserve">Ibid, </w:t>
      </w:r>
      <w:r w:rsidRPr="00E6484C">
        <w:t>[6.32].</w:t>
      </w:r>
    </w:p>
  </w:footnote>
  <w:footnote w:id="6">
    <w:p w14:paraId="54FD8ADC" w14:textId="46637136" w:rsidR="00B1454B" w:rsidRPr="00EC5974" w:rsidRDefault="00B1454B">
      <w:pPr>
        <w:pStyle w:val="FootnoteText"/>
      </w:pPr>
      <w:r w:rsidRPr="00EC5974">
        <w:rPr>
          <w:rStyle w:val="FootnoteReference"/>
        </w:rPr>
        <w:footnoteRef/>
      </w:r>
      <w:r w:rsidRPr="00EC5974">
        <w:t xml:space="preserve"> Above n 4, [6.36].</w:t>
      </w:r>
    </w:p>
  </w:footnote>
  <w:footnote w:id="7">
    <w:p w14:paraId="3BEB6129" w14:textId="061F6A77" w:rsidR="00B1454B" w:rsidRPr="00EC5974" w:rsidRDefault="00B1454B">
      <w:pPr>
        <w:pStyle w:val="FootnoteText"/>
      </w:pPr>
      <w:r>
        <w:rPr>
          <w:rStyle w:val="FootnoteReference"/>
        </w:rPr>
        <w:footnoteRef/>
      </w:r>
      <w:r>
        <w:t xml:space="preserve"> Above n 4, [6.21] to [6.27]; and The State of Queensland Department of Justice and Attorney-General, The civil litigation recommendations of the Royal Commission into Institutional Responses to Child Sexual Abuse: </w:t>
      </w:r>
      <w:r>
        <w:rPr>
          <w:i/>
        </w:rPr>
        <w:t xml:space="preserve">Redress and Civil Litigation Report – </w:t>
      </w:r>
      <w:r>
        <w:t>understanding the Queensland context: Issues Paper, page 12.</w:t>
      </w:r>
    </w:p>
  </w:footnote>
  <w:footnote w:id="8">
    <w:p w14:paraId="65BCC4BA" w14:textId="62A7FF82" w:rsidR="00B1454B" w:rsidRPr="00EC5974" w:rsidRDefault="00B1454B">
      <w:pPr>
        <w:pStyle w:val="FootnoteText"/>
      </w:pPr>
      <w:r w:rsidRPr="00EC5974">
        <w:rPr>
          <w:rStyle w:val="FootnoteReference"/>
        </w:rPr>
        <w:footnoteRef/>
      </w:r>
      <w:r w:rsidRPr="00EC5974">
        <w:t xml:space="preserve"> Above n 4, [7.22].</w:t>
      </w:r>
    </w:p>
  </w:footnote>
  <w:footnote w:id="9">
    <w:p w14:paraId="48DB8F83" w14:textId="13308349" w:rsidR="00B1454B" w:rsidRPr="0098178C" w:rsidRDefault="00B1454B">
      <w:pPr>
        <w:pStyle w:val="FootnoteText"/>
      </w:pPr>
      <w:r w:rsidRPr="0098178C">
        <w:rPr>
          <w:rStyle w:val="FootnoteReference"/>
        </w:rPr>
        <w:footnoteRef/>
      </w:r>
      <w:r w:rsidRPr="0098178C">
        <w:t xml:space="preserve"> Ibid, [7.23].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FFEF8" w14:textId="17A2B3DF" w:rsidR="00B1454B" w:rsidRDefault="0055091E" w:rsidP="002926BC">
    <w:pPr>
      <w:pStyle w:val="Header"/>
      <w:tabs>
        <w:tab w:val="clear" w:pos="9026"/>
      </w:tabs>
      <w:ind w:right="-568"/>
    </w:pPr>
    <w:r>
      <w:fldChar w:fldCharType="begin"/>
    </w:r>
    <w:r>
      <w:instrText xml:space="preserve"> TITLE   \* MERGEF</w:instrText>
    </w:r>
    <w:r>
      <w:instrText xml:space="preserve">ORMAT </w:instrText>
    </w:r>
    <w:r>
      <w:fldChar w:fldCharType="separate"/>
    </w:r>
    <w:r w:rsidR="007B1F5E">
      <w:t>Options Paper</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Title"/>
      <w:tag w:val=""/>
      <w:id w:val="-1222984544"/>
      <w:dataBinding w:prefixMappings="xmlns:ns0='http://purl.org/dc/elements/1.1/' xmlns:ns1='http://schemas.openxmlformats.org/package/2006/metadata/core-properties' " w:xpath="/ns1:coreProperties[1]/ns0:title[1]" w:storeItemID="{6C3C8BC8-F283-45AE-878A-BAB7291924A1}"/>
      <w:text/>
    </w:sdtPr>
    <w:sdtEndPr/>
    <w:sdtContent>
      <w:p w14:paraId="027F970B" w14:textId="77777777" w:rsidR="00B1454B" w:rsidRDefault="00B1454B" w:rsidP="0050530C">
        <w:pPr>
          <w:pStyle w:val="Title"/>
        </w:pPr>
        <w:r>
          <w:t>Options Paper</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990"/>
    <w:multiLevelType w:val="multilevel"/>
    <w:tmpl w:val="0C78A7AC"/>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5C03AEC"/>
    <w:multiLevelType w:val="multilevel"/>
    <w:tmpl w:val="BD7A8414"/>
    <w:name w:val="NTG Table Bullet List3322222"/>
    <w:numStyleLink w:val="NTGStandardList"/>
  </w:abstractNum>
  <w:abstractNum w:abstractNumId="2" w15:restartNumberingAfterBreak="0">
    <w:nsid w:val="068B22E4"/>
    <w:multiLevelType w:val="multilevel"/>
    <w:tmpl w:val="4E6AC8F6"/>
    <w:name w:val="NTG Table Bullet List33222222"/>
    <w:numStyleLink w:val="NTGStandardNumList"/>
  </w:abstractNum>
  <w:abstractNum w:abstractNumId="3" w15:restartNumberingAfterBreak="0">
    <w:nsid w:val="06DB268B"/>
    <w:multiLevelType w:val="multilevel"/>
    <w:tmpl w:val="BD7A8414"/>
    <w:name w:val="NTG Table Bullet List32223"/>
    <w:numStyleLink w:val="NTGStandardList"/>
  </w:abstractNum>
  <w:abstractNum w:abstractNumId="4" w15:restartNumberingAfterBreak="0">
    <w:nsid w:val="075B52B7"/>
    <w:multiLevelType w:val="hybridMultilevel"/>
    <w:tmpl w:val="3ACAD87C"/>
    <w:lvl w:ilvl="0" w:tplc="FC64237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8A43463"/>
    <w:multiLevelType w:val="hybridMultilevel"/>
    <w:tmpl w:val="D5360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CD3ABE"/>
    <w:multiLevelType w:val="multilevel"/>
    <w:tmpl w:val="0C78A7AC"/>
    <w:name w:val="NTG Table Bullet List332222"/>
    <w:numStyleLink w:val="NTGTableList"/>
  </w:abstractNum>
  <w:abstractNum w:abstractNumId="7" w15:restartNumberingAfterBreak="0">
    <w:nsid w:val="10111492"/>
    <w:multiLevelType w:val="multilevel"/>
    <w:tmpl w:val="0C78A7AC"/>
    <w:name w:val="NTG Table Bullet List332"/>
    <w:numStyleLink w:val="NTGTableList"/>
  </w:abstractNum>
  <w:abstractNum w:abstractNumId="8" w15:restartNumberingAfterBreak="0">
    <w:nsid w:val="15C55E97"/>
    <w:multiLevelType w:val="multilevel"/>
    <w:tmpl w:val="BD7A8414"/>
    <w:name w:val="NTG Table Bullet List332222222222222222"/>
    <w:numStyleLink w:val="NTGStandardList"/>
  </w:abstractNum>
  <w:abstractNum w:abstractNumId="9" w15:restartNumberingAfterBreak="0">
    <w:nsid w:val="176B0CE3"/>
    <w:multiLevelType w:val="multilevel"/>
    <w:tmpl w:val="39746A98"/>
    <w:name w:val="NTG Table Bullet List332222222222222"/>
    <w:numStyleLink w:val="NTGTableNumList"/>
  </w:abstractNum>
  <w:abstractNum w:abstractNumId="10" w15:restartNumberingAfterBreak="0">
    <w:nsid w:val="18AE0D72"/>
    <w:multiLevelType w:val="multilevel"/>
    <w:tmpl w:val="0C78A7AC"/>
    <w:name w:val="NTG Table Bullet List322"/>
    <w:numStyleLink w:val="NTGTableList"/>
  </w:abstractNum>
  <w:abstractNum w:abstractNumId="11" w15:restartNumberingAfterBreak="0">
    <w:nsid w:val="19E05AF0"/>
    <w:multiLevelType w:val="hybridMultilevel"/>
    <w:tmpl w:val="59962AC4"/>
    <w:lvl w:ilvl="0" w:tplc="C268C46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445515"/>
    <w:multiLevelType w:val="hybridMultilevel"/>
    <w:tmpl w:val="363E4F16"/>
    <w:lvl w:ilvl="0" w:tplc="E6665D92">
      <w:start w:val="1"/>
      <w:numFmt w:val="lowerLetter"/>
      <w:lvlText w:val="(%1)"/>
      <w:lvlJc w:val="left"/>
      <w:pPr>
        <w:ind w:left="45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BB400DD"/>
    <w:multiLevelType w:val="multilevel"/>
    <w:tmpl w:val="39746A98"/>
    <w:name w:val="NTG Table Bullet List33"/>
    <w:numStyleLink w:val="NTGTableNumList"/>
  </w:abstractNum>
  <w:abstractNum w:abstractNumId="14" w15:restartNumberingAfterBreak="0">
    <w:nsid w:val="1CFF291F"/>
    <w:multiLevelType w:val="multilevel"/>
    <w:tmpl w:val="39746A98"/>
    <w:name w:val="NTG Table Bullet List3222323"/>
    <w:numStyleLink w:val="NTGTableNumList"/>
  </w:abstractNum>
  <w:abstractNum w:abstractNumId="15" w15:restartNumberingAfterBreak="0">
    <w:nsid w:val="1D55700C"/>
    <w:multiLevelType w:val="hybridMultilevel"/>
    <w:tmpl w:val="93EC3C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DFC04CA"/>
    <w:multiLevelType w:val="hybridMultilevel"/>
    <w:tmpl w:val="0EA63C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DE468C"/>
    <w:multiLevelType w:val="hybridMultilevel"/>
    <w:tmpl w:val="3BA2F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402224"/>
    <w:multiLevelType w:val="hybridMultilevel"/>
    <w:tmpl w:val="F6BC5528"/>
    <w:lvl w:ilvl="0" w:tplc="0C09000F">
      <w:start w:val="1"/>
      <w:numFmt w:val="decimal"/>
      <w:lvlText w:val="%1."/>
      <w:lvlJc w:val="left"/>
      <w:pPr>
        <w:ind w:left="420" w:hanging="4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41D1D87"/>
    <w:multiLevelType w:val="multilevel"/>
    <w:tmpl w:val="0C78A7AC"/>
    <w:name w:val="NTG Table Bullet List32"/>
    <w:numStyleLink w:val="NTGTableList"/>
  </w:abstractNum>
  <w:abstractNum w:abstractNumId="20"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26345893"/>
    <w:multiLevelType w:val="multilevel"/>
    <w:tmpl w:val="4E6AC8F6"/>
    <w:name w:val="NTG Table Bullet List3322222222"/>
    <w:numStyleLink w:val="NTGStandardNumList"/>
  </w:abstractNum>
  <w:abstractNum w:abstractNumId="22" w15:restartNumberingAfterBreak="0">
    <w:nsid w:val="283C31C3"/>
    <w:multiLevelType w:val="hybridMultilevel"/>
    <w:tmpl w:val="875AEA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EF077BC"/>
    <w:multiLevelType w:val="multilevel"/>
    <w:tmpl w:val="0C78A7AC"/>
    <w:name w:val="NTG Table Bullet List33222222222222222222"/>
    <w:numStyleLink w:val="NTGTableList"/>
  </w:abstractNum>
  <w:abstractNum w:abstractNumId="24" w15:restartNumberingAfterBreak="0">
    <w:nsid w:val="3184510C"/>
    <w:multiLevelType w:val="hybridMultilevel"/>
    <w:tmpl w:val="0680A6D2"/>
    <w:lvl w:ilvl="0" w:tplc="EB2ECE6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26" w15:restartNumberingAfterBreak="0">
    <w:nsid w:val="355C56A2"/>
    <w:multiLevelType w:val="hybridMultilevel"/>
    <w:tmpl w:val="B2DAC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7433B88"/>
    <w:multiLevelType w:val="hybridMultilevel"/>
    <w:tmpl w:val="6F70A7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750DD8"/>
    <w:multiLevelType w:val="hybridMultilevel"/>
    <w:tmpl w:val="A33837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9BF0E35"/>
    <w:multiLevelType w:val="hybridMultilevel"/>
    <w:tmpl w:val="73D8B2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A366154"/>
    <w:multiLevelType w:val="hybridMultilevel"/>
    <w:tmpl w:val="E91C5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B0B65DF"/>
    <w:multiLevelType w:val="hybridMultilevel"/>
    <w:tmpl w:val="B93850A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2" w15:restartNumberingAfterBreak="0">
    <w:nsid w:val="3FC81ED7"/>
    <w:multiLevelType w:val="hybridMultilevel"/>
    <w:tmpl w:val="0DCEE13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0095A4B"/>
    <w:multiLevelType w:val="hybridMultilevel"/>
    <w:tmpl w:val="D18443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18B29E3"/>
    <w:multiLevelType w:val="multilevel"/>
    <w:tmpl w:val="0C78A7AC"/>
    <w:name w:val="NTG Table Bullet List33222222222222"/>
    <w:numStyleLink w:val="NTGTableList"/>
  </w:abstractNum>
  <w:abstractNum w:abstractNumId="35" w15:restartNumberingAfterBreak="0">
    <w:nsid w:val="426F70CC"/>
    <w:multiLevelType w:val="multilevel"/>
    <w:tmpl w:val="39746A98"/>
    <w:name w:val="NTG Table Bullet List33222222222222222"/>
    <w:numStyleLink w:val="NTGTableNumList"/>
  </w:abstractNum>
  <w:abstractNum w:abstractNumId="36" w15:restartNumberingAfterBreak="0">
    <w:nsid w:val="4276660A"/>
    <w:multiLevelType w:val="hybridMultilevel"/>
    <w:tmpl w:val="8F4A7B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44EE1FA1"/>
    <w:multiLevelType w:val="hybridMultilevel"/>
    <w:tmpl w:val="78F6F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67242AF"/>
    <w:multiLevelType w:val="hybridMultilevel"/>
    <w:tmpl w:val="6212A912"/>
    <w:lvl w:ilvl="0" w:tplc="0C090017">
      <w:start w:val="1"/>
      <w:numFmt w:val="lowerLetter"/>
      <w:lvlText w:val="%1)"/>
      <w:lvlJc w:val="left"/>
      <w:pPr>
        <w:ind w:left="360" w:hanging="360"/>
      </w:pPr>
    </w:lvl>
    <w:lvl w:ilvl="1" w:tplc="9F7A9F76">
      <w:start w:val="1"/>
      <w:numFmt w:val="lowerLetter"/>
      <w:lvlText w:val="(%2)"/>
      <w:lvlJc w:val="left"/>
      <w:pPr>
        <w:ind w:left="1080" w:hanging="360"/>
      </w:pPr>
      <w:rPr>
        <w:rFonts w:ascii="Arial" w:eastAsia="Calibri" w:hAnsi="Arial" w:cs="Arial"/>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6F15BD4"/>
    <w:multiLevelType w:val="hybridMultilevel"/>
    <w:tmpl w:val="3766CC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8B35123"/>
    <w:multiLevelType w:val="hybridMultilevel"/>
    <w:tmpl w:val="E9422B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9EC305D"/>
    <w:multiLevelType w:val="hybridMultilevel"/>
    <w:tmpl w:val="2DCC4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B9C702E"/>
    <w:multiLevelType w:val="multilevel"/>
    <w:tmpl w:val="BD7A8414"/>
    <w:name w:val="NTG Table Bullet List3222"/>
    <w:numStyleLink w:val="NTGStandardList"/>
  </w:abstractNum>
  <w:abstractNum w:abstractNumId="43" w15:restartNumberingAfterBreak="0">
    <w:nsid w:val="4D435BB4"/>
    <w:multiLevelType w:val="multilevel"/>
    <w:tmpl w:val="39746A98"/>
    <w:name w:val="NTG Table Bullet List3322"/>
    <w:numStyleLink w:val="NTGTableNumList"/>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4E002A10"/>
    <w:multiLevelType w:val="multilevel"/>
    <w:tmpl w:val="39746A98"/>
    <w:name w:val="NTG Table Bullet List332222222"/>
    <w:numStyleLink w:val="NTGTableNumList"/>
  </w:abstractNum>
  <w:abstractNum w:abstractNumId="47" w15:restartNumberingAfterBreak="0">
    <w:nsid w:val="4E597CFE"/>
    <w:multiLevelType w:val="multilevel"/>
    <w:tmpl w:val="39746A98"/>
    <w:name w:val="NTG Table Bullet List33222222222"/>
    <w:numStyleLink w:val="NTGTableNumList"/>
  </w:abstractNum>
  <w:abstractNum w:abstractNumId="48" w15:restartNumberingAfterBreak="0">
    <w:nsid w:val="4F94173B"/>
    <w:multiLevelType w:val="hybridMultilevel"/>
    <w:tmpl w:val="EFF88C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19C06D4"/>
    <w:multiLevelType w:val="hybridMultilevel"/>
    <w:tmpl w:val="57F263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1" w15:restartNumberingAfterBreak="0">
    <w:nsid w:val="573B315C"/>
    <w:multiLevelType w:val="multilevel"/>
    <w:tmpl w:val="39746A98"/>
    <w:name w:val="NTG Table Bullet List3222322"/>
    <w:numStyleLink w:val="NTGTableNumList"/>
  </w:abstractNum>
  <w:abstractNum w:abstractNumId="52" w15:restartNumberingAfterBreak="0">
    <w:nsid w:val="5B3E26AC"/>
    <w:multiLevelType w:val="hybridMultilevel"/>
    <w:tmpl w:val="BBEE40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BCE2A25"/>
    <w:multiLevelType w:val="multilevel"/>
    <w:tmpl w:val="0C78A7AC"/>
    <w:name w:val="NTG Table Bullet List332222222222"/>
    <w:numStyleLink w:val="NTGTableList"/>
  </w:abstractNum>
  <w:abstractNum w:abstractNumId="54" w15:restartNumberingAfterBreak="0">
    <w:nsid w:val="5CAB623E"/>
    <w:multiLevelType w:val="hybridMultilevel"/>
    <w:tmpl w:val="58A4E6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60D8009A"/>
    <w:multiLevelType w:val="hybridMultilevel"/>
    <w:tmpl w:val="395CC8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5D566F7"/>
    <w:multiLevelType w:val="multilevel"/>
    <w:tmpl w:val="39746A98"/>
    <w:name w:val="NTG Table Bullet List3322222222222222"/>
    <w:numStyleLink w:val="NTGTableNumList"/>
  </w:abstractNum>
  <w:abstractNum w:abstractNumId="57" w15:restartNumberingAfterBreak="0">
    <w:nsid w:val="6BDA59BD"/>
    <w:multiLevelType w:val="hybridMultilevel"/>
    <w:tmpl w:val="0680A6D2"/>
    <w:lvl w:ilvl="0" w:tplc="EB2ECE6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6CC62A3C"/>
    <w:multiLevelType w:val="multilevel"/>
    <w:tmpl w:val="39746A98"/>
    <w:name w:val="NTG Table Bullet List33222"/>
    <w:numStyleLink w:val="NTGTableNumList"/>
  </w:abstractNum>
  <w:abstractNum w:abstractNumId="59" w15:restartNumberingAfterBreak="0">
    <w:nsid w:val="70105C45"/>
    <w:multiLevelType w:val="multilevel"/>
    <w:tmpl w:val="39746A98"/>
    <w:name w:val="NTG Table Bullet List3322222222222"/>
    <w:numStyleLink w:val="NTGTableNumList"/>
  </w:abstractNum>
  <w:abstractNum w:abstractNumId="60" w15:restartNumberingAfterBreak="0">
    <w:nsid w:val="7453664D"/>
    <w:multiLevelType w:val="multilevel"/>
    <w:tmpl w:val="0C78A7AC"/>
    <w:name w:val="NTG Table Bullet List3322222222222222222"/>
    <w:numStyleLink w:val="NTGTableList"/>
  </w:abstractNum>
  <w:abstractNum w:abstractNumId="61" w15:restartNumberingAfterBreak="0">
    <w:nsid w:val="79CC6470"/>
    <w:multiLevelType w:val="multilevel"/>
    <w:tmpl w:val="EEF014CC"/>
    <w:lvl w:ilvl="0">
      <w:start w:val="1"/>
      <w:numFmt w:val="decimal"/>
      <w:lvlText w:val="%1"/>
      <w:lvlJc w:val="left"/>
      <w:pPr>
        <w:ind w:left="432" w:hanging="432"/>
      </w:pPr>
      <w:rPr>
        <w:rFonts w:hint="default"/>
        <w:b/>
        <w:i w:val="0"/>
      </w:rPr>
    </w:lvl>
    <w:lvl w:ilvl="1">
      <w:start w:val="1"/>
      <w:numFmt w:val="decimal"/>
      <w:pStyle w:val="Heading2"/>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2" w15:restartNumberingAfterBreak="0">
    <w:nsid w:val="7CFB0320"/>
    <w:multiLevelType w:val="multilevel"/>
    <w:tmpl w:val="46C8CDF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4" w15:restartNumberingAfterBreak="0">
    <w:nsid w:val="7F867F5C"/>
    <w:multiLevelType w:val="hybridMultilevel"/>
    <w:tmpl w:val="0680A6D2"/>
    <w:lvl w:ilvl="0" w:tplc="EB2ECE6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0"/>
  </w:num>
  <w:num w:numId="2">
    <w:abstractNumId w:val="45"/>
  </w:num>
  <w:num w:numId="3">
    <w:abstractNumId w:val="61"/>
  </w:num>
  <w:num w:numId="4">
    <w:abstractNumId w:val="0"/>
  </w:num>
  <w:num w:numId="5">
    <w:abstractNumId w:val="25"/>
  </w:num>
  <w:num w:numId="6">
    <w:abstractNumId w:val="21"/>
  </w:num>
  <w:num w:numId="7">
    <w:abstractNumId w:val="35"/>
  </w:num>
  <w:num w:numId="8">
    <w:abstractNumId w:val="8"/>
  </w:num>
  <w:num w:numId="9">
    <w:abstractNumId w:val="23"/>
  </w:num>
  <w:num w:numId="10">
    <w:abstractNumId w:val="38"/>
  </w:num>
  <w:num w:numId="11">
    <w:abstractNumId w:val="12"/>
  </w:num>
  <w:num w:numId="12">
    <w:abstractNumId w:val="4"/>
  </w:num>
  <w:num w:numId="13">
    <w:abstractNumId w:val="39"/>
  </w:num>
  <w:num w:numId="14">
    <w:abstractNumId w:val="29"/>
  </w:num>
  <w:num w:numId="15">
    <w:abstractNumId w:val="64"/>
  </w:num>
  <w:num w:numId="16">
    <w:abstractNumId w:val="57"/>
  </w:num>
  <w:num w:numId="17">
    <w:abstractNumId w:val="24"/>
  </w:num>
  <w:num w:numId="18">
    <w:abstractNumId w:val="49"/>
  </w:num>
  <w:num w:numId="19">
    <w:abstractNumId w:val="32"/>
  </w:num>
  <w:num w:numId="20">
    <w:abstractNumId w:val="11"/>
  </w:num>
  <w:num w:numId="21">
    <w:abstractNumId w:val="36"/>
  </w:num>
  <w:num w:numId="22">
    <w:abstractNumId w:val="18"/>
  </w:num>
  <w:num w:numId="23">
    <w:abstractNumId w:val="54"/>
  </w:num>
  <w:num w:numId="24">
    <w:abstractNumId w:val="48"/>
  </w:num>
  <w:num w:numId="25">
    <w:abstractNumId w:val="26"/>
  </w:num>
  <w:num w:numId="26">
    <w:abstractNumId w:val="41"/>
  </w:num>
  <w:num w:numId="27">
    <w:abstractNumId w:val="17"/>
  </w:num>
  <w:num w:numId="28">
    <w:abstractNumId w:val="37"/>
  </w:num>
  <w:num w:numId="29">
    <w:abstractNumId w:val="5"/>
  </w:num>
  <w:num w:numId="30">
    <w:abstractNumId w:val="31"/>
  </w:num>
  <w:num w:numId="31">
    <w:abstractNumId w:val="15"/>
  </w:num>
  <w:num w:numId="32">
    <w:abstractNumId w:val="61"/>
  </w:num>
  <w:num w:numId="33">
    <w:abstractNumId w:val="61"/>
  </w:num>
  <w:num w:numId="34">
    <w:abstractNumId w:val="61"/>
  </w:num>
  <w:num w:numId="35">
    <w:abstractNumId w:val="61"/>
  </w:num>
  <w:num w:numId="36">
    <w:abstractNumId w:val="61"/>
  </w:num>
  <w:num w:numId="37">
    <w:abstractNumId w:val="61"/>
  </w:num>
  <w:num w:numId="38">
    <w:abstractNumId w:val="61"/>
  </w:num>
  <w:num w:numId="39">
    <w:abstractNumId w:val="61"/>
  </w:num>
  <w:num w:numId="40">
    <w:abstractNumId w:val="61"/>
  </w:num>
  <w:num w:numId="41">
    <w:abstractNumId w:val="61"/>
  </w:num>
  <w:num w:numId="42">
    <w:abstractNumId w:val="61"/>
  </w:num>
  <w:num w:numId="43">
    <w:abstractNumId w:val="61"/>
  </w:num>
  <w:num w:numId="44">
    <w:abstractNumId w:val="61"/>
  </w:num>
  <w:num w:numId="45">
    <w:abstractNumId w:val="62"/>
  </w:num>
  <w:num w:numId="46">
    <w:abstractNumId w:val="40"/>
  </w:num>
  <w:num w:numId="47">
    <w:abstractNumId w:val="27"/>
  </w:num>
  <w:num w:numId="48">
    <w:abstractNumId w:val="22"/>
  </w:num>
  <w:num w:numId="49">
    <w:abstractNumId w:val="28"/>
  </w:num>
  <w:num w:numId="50">
    <w:abstractNumId w:val="55"/>
  </w:num>
  <w:num w:numId="51">
    <w:abstractNumId w:val="16"/>
  </w:num>
  <w:num w:numId="52">
    <w:abstractNumId w:val="30"/>
  </w:num>
  <w:num w:numId="53">
    <w:abstractNumId w:val="52"/>
  </w:num>
  <w:num w:numId="54">
    <w:abstractNumId w:val="33"/>
  </w:num>
  <w:num w:numId="55">
    <w:abstractNumId w:val="6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7B1"/>
    <w:rsid w:val="00001DDF"/>
    <w:rsid w:val="0000322D"/>
    <w:rsid w:val="00010665"/>
    <w:rsid w:val="00021500"/>
    <w:rsid w:val="00022520"/>
    <w:rsid w:val="00027DB8"/>
    <w:rsid w:val="00031A96"/>
    <w:rsid w:val="000364B1"/>
    <w:rsid w:val="00040BF3"/>
    <w:rsid w:val="00046C59"/>
    <w:rsid w:val="00046F48"/>
    <w:rsid w:val="000474CB"/>
    <w:rsid w:val="00051362"/>
    <w:rsid w:val="00051F45"/>
    <w:rsid w:val="00052F9D"/>
    <w:rsid w:val="00054824"/>
    <w:rsid w:val="00054D84"/>
    <w:rsid w:val="00056DEF"/>
    <w:rsid w:val="00060141"/>
    <w:rsid w:val="000720BE"/>
    <w:rsid w:val="0007259C"/>
    <w:rsid w:val="00080202"/>
    <w:rsid w:val="00080DCD"/>
    <w:rsid w:val="00080E22"/>
    <w:rsid w:val="000840A3"/>
    <w:rsid w:val="00086A5F"/>
    <w:rsid w:val="00086F0A"/>
    <w:rsid w:val="000911EF"/>
    <w:rsid w:val="000962C5"/>
    <w:rsid w:val="000A3F8C"/>
    <w:rsid w:val="000A559C"/>
    <w:rsid w:val="000B1A86"/>
    <w:rsid w:val="000B2CA1"/>
    <w:rsid w:val="000B7607"/>
    <w:rsid w:val="000C458B"/>
    <w:rsid w:val="000D1F29"/>
    <w:rsid w:val="000D2E75"/>
    <w:rsid w:val="000D727A"/>
    <w:rsid w:val="000E3D59"/>
    <w:rsid w:val="000E4640"/>
    <w:rsid w:val="000F0298"/>
    <w:rsid w:val="000F02FF"/>
    <w:rsid w:val="000F2958"/>
    <w:rsid w:val="001006AB"/>
    <w:rsid w:val="00104E7F"/>
    <w:rsid w:val="00112571"/>
    <w:rsid w:val="001137EC"/>
    <w:rsid w:val="001152F5"/>
    <w:rsid w:val="00115991"/>
    <w:rsid w:val="00117310"/>
    <w:rsid w:val="00117743"/>
    <w:rsid w:val="00117F5B"/>
    <w:rsid w:val="001264B9"/>
    <w:rsid w:val="00132658"/>
    <w:rsid w:val="001411B5"/>
    <w:rsid w:val="001421C0"/>
    <w:rsid w:val="00150DC0"/>
    <w:rsid w:val="001535A3"/>
    <w:rsid w:val="00154967"/>
    <w:rsid w:val="00156CD4"/>
    <w:rsid w:val="00164A3E"/>
    <w:rsid w:val="001728D4"/>
    <w:rsid w:val="00181620"/>
    <w:rsid w:val="001957AD"/>
    <w:rsid w:val="001966F7"/>
    <w:rsid w:val="001A2B7F"/>
    <w:rsid w:val="001A3AFD"/>
    <w:rsid w:val="001A496C"/>
    <w:rsid w:val="001A5B56"/>
    <w:rsid w:val="001A5BBB"/>
    <w:rsid w:val="001B2B6C"/>
    <w:rsid w:val="001C11B2"/>
    <w:rsid w:val="001C4BEC"/>
    <w:rsid w:val="001D01C4"/>
    <w:rsid w:val="001D52B0"/>
    <w:rsid w:val="001D7353"/>
    <w:rsid w:val="001D7CA4"/>
    <w:rsid w:val="001E057F"/>
    <w:rsid w:val="001E14EB"/>
    <w:rsid w:val="001E2948"/>
    <w:rsid w:val="001E440D"/>
    <w:rsid w:val="001E5F3B"/>
    <w:rsid w:val="001E6346"/>
    <w:rsid w:val="001F59E6"/>
    <w:rsid w:val="00203EE3"/>
    <w:rsid w:val="00206936"/>
    <w:rsid w:val="00206C6F"/>
    <w:rsid w:val="00206FBD"/>
    <w:rsid w:val="00207746"/>
    <w:rsid w:val="00230031"/>
    <w:rsid w:val="00235A8D"/>
    <w:rsid w:val="0024195F"/>
    <w:rsid w:val="00242E7E"/>
    <w:rsid w:val="002437B1"/>
    <w:rsid w:val="00243EA2"/>
    <w:rsid w:val="002455B4"/>
    <w:rsid w:val="00245BA8"/>
    <w:rsid w:val="00245E33"/>
    <w:rsid w:val="00247343"/>
    <w:rsid w:val="0025169F"/>
    <w:rsid w:val="00265C56"/>
    <w:rsid w:val="002716CD"/>
    <w:rsid w:val="00274D4B"/>
    <w:rsid w:val="002751A7"/>
    <w:rsid w:val="002806F5"/>
    <w:rsid w:val="00281577"/>
    <w:rsid w:val="002926BC"/>
    <w:rsid w:val="00293A72"/>
    <w:rsid w:val="00297B55"/>
    <w:rsid w:val="002A30C3"/>
    <w:rsid w:val="002A7712"/>
    <w:rsid w:val="002B13FD"/>
    <w:rsid w:val="002B26C0"/>
    <w:rsid w:val="002B2705"/>
    <w:rsid w:val="002B38F7"/>
    <w:rsid w:val="002B5591"/>
    <w:rsid w:val="002C1F91"/>
    <w:rsid w:val="002C1FE9"/>
    <w:rsid w:val="002C2AFD"/>
    <w:rsid w:val="002D3A57"/>
    <w:rsid w:val="002D6A2C"/>
    <w:rsid w:val="002D7D05"/>
    <w:rsid w:val="002E0D89"/>
    <w:rsid w:val="002E1007"/>
    <w:rsid w:val="002E1015"/>
    <w:rsid w:val="002E20C8"/>
    <w:rsid w:val="002E3610"/>
    <w:rsid w:val="002E4290"/>
    <w:rsid w:val="002E66A6"/>
    <w:rsid w:val="002F0DB1"/>
    <w:rsid w:val="002F2885"/>
    <w:rsid w:val="002F657A"/>
    <w:rsid w:val="003037F9"/>
    <w:rsid w:val="0030583E"/>
    <w:rsid w:val="00307FE1"/>
    <w:rsid w:val="00312F2F"/>
    <w:rsid w:val="00312F7D"/>
    <w:rsid w:val="00323A21"/>
    <w:rsid w:val="00324E6A"/>
    <w:rsid w:val="003258E6"/>
    <w:rsid w:val="00342283"/>
    <w:rsid w:val="003429BD"/>
    <w:rsid w:val="00343A87"/>
    <w:rsid w:val="00347FB6"/>
    <w:rsid w:val="003504FD"/>
    <w:rsid w:val="00350881"/>
    <w:rsid w:val="00354D4D"/>
    <w:rsid w:val="00357D55"/>
    <w:rsid w:val="00363513"/>
    <w:rsid w:val="003657E5"/>
    <w:rsid w:val="0036589C"/>
    <w:rsid w:val="00371312"/>
    <w:rsid w:val="00371DC7"/>
    <w:rsid w:val="00377B21"/>
    <w:rsid w:val="00385DC0"/>
    <w:rsid w:val="003871C0"/>
    <w:rsid w:val="003904C4"/>
    <w:rsid w:val="00390AC0"/>
    <w:rsid w:val="00393735"/>
    <w:rsid w:val="00394876"/>
    <w:rsid w:val="00394AAF"/>
    <w:rsid w:val="00394CE5"/>
    <w:rsid w:val="00396B8A"/>
    <w:rsid w:val="003B4622"/>
    <w:rsid w:val="003B4F23"/>
    <w:rsid w:val="003B67FD"/>
    <w:rsid w:val="003B6A61"/>
    <w:rsid w:val="003B7D38"/>
    <w:rsid w:val="003C330D"/>
    <w:rsid w:val="003C694A"/>
    <w:rsid w:val="003C76A2"/>
    <w:rsid w:val="003C7BDD"/>
    <w:rsid w:val="003D42C0"/>
    <w:rsid w:val="003D5B29"/>
    <w:rsid w:val="003D7818"/>
    <w:rsid w:val="003E0A43"/>
    <w:rsid w:val="003E2445"/>
    <w:rsid w:val="003E3BB2"/>
    <w:rsid w:val="003F2FC3"/>
    <w:rsid w:val="003F48EC"/>
    <w:rsid w:val="003F4F89"/>
    <w:rsid w:val="003F5915"/>
    <w:rsid w:val="003F5B58"/>
    <w:rsid w:val="0040222A"/>
    <w:rsid w:val="004027D6"/>
    <w:rsid w:val="004047BC"/>
    <w:rsid w:val="00405A43"/>
    <w:rsid w:val="00405BC8"/>
    <w:rsid w:val="004068C3"/>
    <w:rsid w:val="004100F7"/>
    <w:rsid w:val="004121C0"/>
    <w:rsid w:val="00414CB3"/>
    <w:rsid w:val="0041563D"/>
    <w:rsid w:val="00416F6D"/>
    <w:rsid w:val="00426E25"/>
    <w:rsid w:val="00427D9C"/>
    <w:rsid w:val="004348D8"/>
    <w:rsid w:val="0043711C"/>
    <w:rsid w:val="00443B6E"/>
    <w:rsid w:val="0045420A"/>
    <w:rsid w:val="004554D4"/>
    <w:rsid w:val="0045793A"/>
    <w:rsid w:val="00461744"/>
    <w:rsid w:val="00466D96"/>
    <w:rsid w:val="00467747"/>
    <w:rsid w:val="00473C98"/>
    <w:rsid w:val="00476DA2"/>
    <w:rsid w:val="00480DBD"/>
    <w:rsid w:val="00481BAF"/>
    <w:rsid w:val="00482DF8"/>
    <w:rsid w:val="00483515"/>
    <w:rsid w:val="004864DE"/>
    <w:rsid w:val="00494BE5"/>
    <w:rsid w:val="004A2538"/>
    <w:rsid w:val="004A4CEE"/>
    <w:rsid w:val="004B0C15"/>
    <w:rsid w:val="004B35EA"/>
    <w:rsid w:val="004B69E4"/>
    <w:rsid w:val="004C40F7"/>
    <w:rsid w:val="004C6C39"/>
    <w:rsid w:val="004D075F"/>
    <w:rsid w:val="004D1B76"/>
    <w:rsid w:val="004D3144"/>
    <w:rsid w:val="004D344E"/>
    <w:rsid w:val="004D40A7"/>
    <w:rsid w:val="004D6F83"/>
    <w:rsid w:val="004D786F"/>
    <w:rsid w:val="004E019E"/>
    <w:rsid w:val="004E06EC"/>
    <w:rsid w:val="004E2A0E"/>
    <w:rsid w:val="004E2CB7"/>
    <w:rsid w:val="004E7756"/>
    <w:rsid w:val="004F016A"/>
    <w:rsid w:val="004F28F3"/>
    <w:rsid w:val="00500F94"/>
    <w:rsid w:val="00502FB3"/>
    <w:rsid w:val="00503DE9"/>
    <w:rsid w:val="0050530C"/>
    <w:rsid w:val="00505DEA"/>
    <w:rsid w:val="00507782"/>
    <w:rsid w:val="00512A04"/>
    <w:rsid w:val="00512ADE"/>
    <w:rsid w:val="00521F09"/>
    <w:rsid w:val="005249F5"/>
    <w:rsid w:val="005260F7"/>
    <w:rsid w:val="00543BD1"/>
    <w:rsid w:val="005452C0"/>
    <w:rsid w:val="0055091E"/>
    <w:rsid w:val="00556113"/>
    <w:rsid w:val="00556DA7"/>
    <w:rsid w:val="00561F50"/>
    <w:rsid w:val="00564C12"/>
    <w:rsid w:val="005654B8"/>
    <w:rsid w:val="00566AE0"/>
    <w:rsid w:val="00570422"/>
    <w:rsid w:val="0057233A"/>
    <w:rsid w:val="00573780"/>
    <w:rsid w:val="005762CC"/>
    <w:rsid w:val="00582D3D"/>
    <w:rsid w:val="00590C4F"/>
    <w:rsid w:val="00595386"/>
    <w:rsid w:val="005A4AC0"/>
    <w:rsid w:val="005A5FDF"/>
    <w:rsid w:val="005B0FB7"/>
    <w:rsid w:val="005B122A"/>
    <w:rsid w:val="005B5876"/>
    <w:rsid w:val="005B5AC2"/>
    <w:rsid w:val="005B6437"/>
    <w:rsid w:val="005B6776"/>
    <w:rsid w:val="005C2833"/>
    <w:rsid w:val="005D0188"/>
    <w:rsid w:val="005D0F7B"/>
    <w:rsid w:val="005E144D"/>
    <w:rsid w:val="005E1500"/>
    <w:rsid w:val="005E38AF"/>
    <w:rsid w:val="005E3A43"/>
    <w:rsid w:val="005E4742"/>
    <w:rsid w:val="005F7200"/>
    <w:rsid w:val="00613BBD"/>
    <w:rsid w:val="00613EC0"/>
    <w:rsid w:val="006151CB"/>
    <w:rsid w:val="00620675"/>
    <w:rsid w:val="00621088"/>
    <w:rsid w:val="006245C4"/>
    <w:rsid w:val="00624698"/>
    <w:rsid w:val="00636613"/>
    <w:rsid w:val="006433C3"/>
    <w:rsid w:val="00645137"/>
    <w:rsid w:val="006501D0"/>
    <w:rsid w:val="00650F5B"/>
    <w:rsid w:val="0065278A"/>
    <w:rsid w:val="00653352"/>
    <w:rsid w:val="00664378"/>
    <w:rsid w:val="00664654"/>
    <w:rsid w:val="006670D7"/>
    <w:rsid w:val="006712AD"/>
    <w:rsid w:val="006719EA"/>
    <w:rsid w:val="00671F13"/>
    <w:rsid w:val="0067400A"/>
    <w:rsid w:val="00683028"/>
    <w:rsid w:val="006847AD"/>
    <w:rsid w:val="0068510D"/>
    <w:rsid w:val="0069009E"/>
    <w:rsid w:val="0069114B"/>
    <w:rsid w:val="006B5195"/>
    <w:rsid w:val="006B6885"/>
    <w:rsid w:val="006C3B5F"/>
    <w:rsid w:val="006D66F7"/>
    <w:rsid w:val="006E4BBC"/>
    <w:rsid w:val="006F3E82"/>
    <w:rsid w:val="006F4FF5"/>
    <w:rsid w:val="006F60C9"/>
    <w:rsid w:val="00701D9D"/>
    <w:rsid w:val="00702EC6"/>
    <w:rsid w:val="00705C9D"/>
    <w:rsid w:val="00705F13"/>
    <w:rsid w:val="00714F1D"/>
    <w:rsid w:val="00722DDB"/>
    <w:rsid w:val="00724728"/>
    <w:rsid w:val="00724B6D"/>
    <w:rsid w:val="00724E3C"/>
    <w:rsid w:val="00724F98"/>
    <w:rsid w:val="00730B9B"/>
    <w:rsid w:val="007332FF"/>
    <w:rsid w:val="007408F5"/>
    <w:rsid w:val="00741EAE"/>
    <w:rsid w:val="0074365C"/>
    <w:rsid w:val="007441F6"/>
    <w:rsid w:val="0074486B"/>
    <w:rsid w:val="0076190B"/>
    <w:rsid w:val="0076355D"/>
    <w:rsid w:val="00763A2D"/>
    <w:rsid w:val="007649AC"/>
    <w:rsid w:val="00777795"/>
    <w:rsid w:val="00783A57"/>
    <w:rsid w:val="00784C92"/>
    <w:rsid w:val="00785920"/>
    <w:rsid w:val="007859CD"/>
    <w:rsid w:val="00786E1A"/>
    <w:rsid w:val="007907E4"/>
    <w:rsid w:val="007950CC"/>
    <w:rsid w:val="00795926"/>
    <w:rsid w:val="00796461"/>
    <w:rsid w:val="007A6A4F"/>
    <w:rsid w:val="007B03F5"/>
    <w:rsid w:val="007B1F5E"/>
    <w:rsid w:val="007B5C09"/>
    <w:rsid w:val="007B5DA2"/>
    <w:rsid w:val="007C0966"/>
    <w:rsid w:val="007C1454"/>
    <w:rsid w:val="007C19E7"/>
    <w:rsid w:val="007C455D"/>
    <w:rsid w:val="007C5CFD"/>
    <w:rsid w:val="007C6D9F"/>
    <w:rsid w:val="007D2A0D"/>
    <w:rsid w:val="007D45F9"/>
    <w:rsid w:val="007D4893"/>
    <w:rsid w:val="007E37C9"/>
    <w:rsid w:val="007E70CF"/>
    <w:rsid w:val="007E74A4"/>
    <w:rsid w:val="007F263F"/>
    <w:rsid w:val="007F4794"/>
    <w:rsid w:val="00802AA1"/>
    <w:rsid w:val="00802F75"/>
    <w:rsid w:val="0080766E"/>
    <w:rsid w:val="00811169"/>
    <w:rsid w:val="00815297"/>
    <w:rsid w:val="00816A64"/>
    <w:rsid w:val="00817BA1"/>
    <w:rsid w:val="00823022"/>
    <w:rsid w:val="0082634E"/>
    <w:rsid w:val="008313C4"/>
    <w:rsid w:val="00835434"/>
    <w:rsid w:val="008358C0"/>
    <w:rsid w:val="00842838"/>
    <w:rsid w:val="008437CD"/>
    <w:rsid w:val="008529F4"/>
    <w:rsid w:val="00854EC1"/>
    <w:rsid w:val="0085797F"/>
    <w:rsid w:val="00857AB0"/>
    <w:rsid w:val="0086066B"/>
    <w:rsid w:val="008606C4"/>
    <w:rsid w:val="00861DC3"/>
    <w:rsid w:val="00867019"/>
    <w:rsid w:val="00870F10"/>
    <w:rsid w:val="008718E2"/>
    <w:rsid w:val="0087199D"/>
    <w:rsid w:val="00872FC2"/>
    <w:rsid w:val="008735A9"/>
    <w:rsid w:val="00877D20"/>
    <w:rsid w:val="0088176E"/>
    <w:rsid w:val="00881C48"/>
    <w:rsid w:val="00883AF6"/>
    <w:rsid w:val="00885B80"/>
    <w:rsid w:val="00885C30"/>
    <w:rsid w:val="00885E9B"/>
    <w:rsid w:val="008932C1"/>
    <w:rsid w:val="00893C96"/>
    <w:rsid w:val="00896268"/>
    <w:rsid w:val="008963C5"/>
    <w:rsid w:val="008A3310"/>
    <w:rsid w:val="008A7C12"/>
    <w:rsid w:val="008B529E"/>
    <w:rsid w:val="008C17FB"/>
    <w:rsid w:val="008C7AFA"/>
    <w:rsid w:val="008C7CB3"/>
    <w:rsid w:val="008D2C7C"/>
    <w:rsid w:val="008D57B8"/>
    <w:rsid w:val="008D5904"/>
    <w:rsid w:val="008E03FC"/>
    <w:rsid w:val="008E24D5"/>
    <w:rsid w:val="008E2EA5"/>
    <w:rsid w:val="008E3637"/>
    <w:rsid w:val="008E510B"/>
    <w:rsid w:val="008E7BB7"/>
    <w:rsid w:val="008F0371"/>
    <w:rsid w:val="008F4C45"/>
    <w:rsid w:val="008F6F3C"/>
    <w:rsid w:val="00900AEA"/>
    <w:rsid w:val="00900E3B"/>
    <w:rsid w:val="00902B13"/>
    <w:rsid w:val="00911941"/>
    <w:rsid w:val="00911B14"/>
    <w:rsid w:val="00915C93"/>
    <w:rsid w:val="00925F0F"/>
    <w:rsid w:val="00926DB2"/>
    <w:rsid w:val="00931AF1"/>
    <w:rsid w:val="00932F6B"/>
    <w:rsid w:val="009365F6"/>
    <w:rsid w:val="00944008"/>
    <w:rsid w:val="0094418D"/>
    <w:rsid w:val="00945948"/>
    <w:rsid w:val="009468BC"/>
    <w:rsid w:val="009578F8"/>
    <w:rsid w:val="00957E64"/>
    <w:rsid w:val="009616DF"/>
    <w:rsid w:val="0096542F"/>
    <w:rsid w:val="00967FA7"/>
    <w:rsid w:val="00971645"/>
    <w:rsid w:val="00977919"/>
    <w:rsid w:val="0098178C"/>
    <w:rsid w:val="009870FA"/>
    <w:rsid w:val="009901D8"/>
    <w:rsid w:val="0099551D"/>
    <w:rsid w:val="00997046"/>
    <w:rsid w:val="009A5897"/>
    <w:rsid w:val="009A5F24"/>
    <w:rsid w:val="009B0B3E"/>
    <w:rsid w:val="009B1913"/>
    <w:rsid w:val="009B6657"/>
    <w:rsid w:val="009D0EB5"/>
    <w:rsid w:val="009D14F9"/>
    <w:rsid w:val="009D2B74"/>
    <w:rsid w:val="009D592A"/>
    <w:rsid w:val="009E175D"/>
    <w:rsid w:val="009E398B"/>
    <w:rsid w:val="009E3CC2"/>
    <w:rsid w:val="009E3F76"/>
    <w:rsid w:val="009E4C61"/>
    <w:rsid w:val="009F02DC"/>
    <w:rsid w:val="009F06BD"/>
    <w:rsid w:val="009F2A4D"/>
    <w:rsid w:val="009F4C9B"/>
    <w:rsid w:val="009F7371"/>
    <w:rsid w:val="00A00828"/>
    <w:rsid w:val="00A03122"/>
    <w:rsid w:val="00A03290"/>
    <w:rsid w:val="00A04040"/>
    <w:rsid w:val="00A0411C"/>
    <w:rsid w:val="00A07490"/>
    <w:rsid w:val="00A10655"/>
    <w:rsid w:val="00A1107B"/>
    <w:rsid w:val="00A11355"/>
    <w:rsid w:val="00A226D7"/>
    <w:rsid w:val="00A22C38"/>
    <w:rsid w:val="00A25193"/>
    <w:rsid w:val="00A31AE8"/>
    <w:rsid w:val="00A35FFC"/>
    <w:rsid w:val="00A3683C"/>
    <w:rsid w:val="00A3739D"/>
    <w:rsid w:val="00A37759"/>
    <w:rsid w:val="00A37DDA"/>
    <w:rsid w:val="00A42B19"/>
    <w:rsid w:val="00A45937"/>
    <w:rsid w:val="00A52045"/>
    <w:rsid w:val="00A55E1D"/>
    <w:rsid w:val="00A64FFC"/>
    <w:rsid w:val="00A67BDE"/>
    <w:rsid w:val="00A925EC"/>
    <w:rsid w:val="00A929AA"/>
    <w:rsid w:val="00A92B6B"/>
    <w:rsid w:val="00AA541E"/>
    <w:rsid w:val="00AA7765"/>
    <w:rsid w:val="00AB020D"/>
    <w:rsid w:val="00AB4FE8"/>
    <w:rsid w:val="00AB794B"/>
    <w:rsid w:val="00AD0DA4"/>
    <w:rsid w:val="00AD4169"/>
    <w:rsid w:val="00AD6202"/>
    <w:rsid w:val="00AE1618"/>
    <w:rsid w:val="00AE25C6"/>
    <w:rsid w:val="00AE306C"/>
    <w:rsid w:val="00AE4BD7"/>
    <w:rsid w:val="00AF42F4"/>
    <w:rsid w:val="00B02EF1"/>
    <w:rsid w:val="00B07C97"/>
    <w:rsid w:val="00B1454B"/>
    <w:rsid w:val="00B15754"/>
    <w:rsid w:val="00B2046E"/>
    <w:rsid w:val="00B20E8B"/>
    <w:rsid w:val="00B257E1"/>
    <w:rsid w:val="00B343CC"/>
    <w:rsid w:val="00B5084A"/>
    <w:rsid w:val="00B53B60"/>
    <w:rsid w:val="00B54244"/>
    <w:rsid w:val="00B614F7"/>
    <w:rsid w:val="00B61B26"/>
    <w:rsid w:val="00B675B2"/>
    <w:rsid w:val="00B73587"/>
    <w:rsid w:val="00B81261"/>
    <w:rsid w:val="00B8223E"/>
    <w:rsid w:val="00B832AE"/>
    <w:rsid w:val="00B86678"/>
    <w:rsid w:val="00B86C7F"/>
    <w:rsid w:val="00B92F9B"/>
    <w:rsid w:val="00B941B3"/>
    <w:rsid w:val="00B96189"/>
    <w:rsid w:val="00B96513"/>
    <w:rsid w:val="00BA1D47"/>
    <w:rsid w:val="00BA2CB4"/>
    <w:rsid w:val="00BA66F0"/>
    <w:rsid w:val="00BB2239"/>
    <w:rsid w:val="00BB2AE7"/>
    <w:rsid w:val="00BB32DA"/>
    <w:rsid w:val="00BB4B4B"/>
    <w:rsid w:val="00BB6464"/>
    <w:rsid w:val="00BC1BB8"/>
    <w:rsid w:val="00BC3667"/>
    <w:rsid w:val="00BC55B9"/>
    <w:rsid w:val="00BC5F93"/>
    <w:rsid w:val="00BD2E80"/>
    <w:rsid w:val="00BD7FE1"/>
    <w:rsid w:val="00BE37CA"/>
    <w:rsid w:val="00BE6144"/>
    <w:rsid w:val="00BE635A"/>
    <w:rsid w:val="00BF2ABB"/>
    <w:rsid w:val="00BF5099"/>
    <w:rsid w:val="00BF62CF"/>
    <w:rsid w:val="00C07585"/>
    <w:rsid w:val="00C10F10"/>
    <w:rsid w:val="00C117CA"/>
    <w:rsid w:val="00C15D4D"/>
    <w:rsid w:val="00C171C6"/>
    <w:rsid w:val="00C175DC"/>
    <w:rsid w:val="00C22441"/>
    <w:rsid w:val="00C224EA"/>
    <w:rsid w:val="00C22816"/>
    <w:rsid w:val="00C22E9A"/>
    <w:rsid w:val="00C30171"/>
    <w:rsid w:val="00C309D8"/>
    <w:rsid w:val="00C32030"/>
    <w:rsid w:val="00C33B9E"/>
    <w:rsid w:val="00C413A3"/>
    <w:rsid w:val="00C414E5"/>
    <w:rsid w:val="00C61AFA"/>
    <w:rsid w:val="00C62099"/>
    <w:rsid w:val="00C6493B"/>
    <w:rsid w:val="00C64EA3"/>
    <w:rsid w:val="00C65951"/>
    <w:rsid w:val="00C72867"/>
    <w:rsid w:val="00C75E81"/>
    <w:rsid w:val="00C80086"/>
    <w:rsid w:val="00C86609"/>
    <w:rsid w:val="00C92B4C"/>
    <w:rsid w:val="00C92BF7"/>
    <w:rsid w:val="00C92D57"/>
    <w:rsid w:val="00C954F6"/>
    <w:rsid w:val="00CA3064"/>
    <w:rsid w:val="00CA6BC5"/>
    <w:rsid w:val="00CC5EAB"/>
    <w:rsid w:val="00CC61CD"/>
    <w:rsid w:val="00CC7F00"/>
    <w:rsid w:val="00CD0DFB"/>
    <w:rsid w:val="00CD5011"/>
    <w:rsid w:val="00CE1DF1"/>
    <w:rsid w:val="00CE640F"/>
    <w:rsid w:val="00CF0B45"/>
    <w:rsid w:val="00CF0D42"/>
    <w:rsid w:val="00CF540E"/>
    <w:rsid w:val="00CF5EC5"/>
    <w:rsid w:val="00D004A7"/>
    <w:rsid w:val="00D00744"/>
    <w:rsid w:val="00D0297E"/>
    <w:rsid w:val="00D02F07"/>
    <w:rsid w:val="00D051D8"/>
    <w:rsid w:val="00D100B0"/>
    <w:rsid w:val="00D128CB"/>
    <w:rsid w:val="00D15C87"/>
    <w:rsid w:val="00D16CBE"/>
    <w:rsid w:val="00D17307"/>
    <w:rsid w:val="00D35050"/>
    <w:rsid w:val="00D36A49"/>
    <w:rsid w:val="00D442EB"/>
    <w:rsid w:val="00D517C6"/>
    <w:rsid w:val="00D53265"/>
    <w:rsid w:val="00D624E9"/>
    <w:rsid w:val="00D64A17"/>
    <w:rsid w:val="00D71D84"/>
    <w:rsid w:val="00D72464"/>
    <w:rsid w:val="00D768EB"/>
    <w:rsid w:val="00D80CE1"/>
    <w:rsid w:val="00D8165D"/>
    <w:rsid w:val="00D82D1E"/>
    <w:rsid w:val="00D832D9"/>
    <w:rsid w:val="00D8571E"/>
    <w:rsid w:val="00D90F00"/>
    <w:rsid w:val="00D975C0"/>
    <w:rsid w:val="00DA008B"/>
    <w:rsid w:val="00DA447D"/>
    <w:rsid w:val="00DA5285"/>
    <w:rsid w:val="00DB1324"/>
    <w:rsid w:val="00DB191D"/>
    <w:rsid w:val="00DB4F91"/>
    <w:rsid w:val="00DC1A68"/>
    <w:rsid w:val="00DC3117"/>
    <w:rsid w:val="00DC5DD9"/>
    <w:rsid w:val="00DC689B"/>
    <w:rsid w:val="00DC6D2D"/>
    <w:rsid w:val="00DD7FC1"/>
    <w:rsid w:val="00DE33B5"/>
    <w:rsid w:val="00DE5E18"/>
    <w:rsid w:val="00DE65EE"/>
    <w:rsid w:val="00DF0487"/>
    <w:rsid w:val="00DF08C6"/>
    <w:rsid w:val="00DF3B64"/>
    <w:rsid w:val="00DF5EA4"/>
    <w:rsid w:val="00E000DB"/>
    <w:rsid w:val="00E02681"/>
    <w:rsid w:val="00E02792"/>
    <w:rsid w:val="00E034D8"/>
    <w:rsid w:val="00E04CC0"/>
    <w:rsid w:val="00E12458"/>
    <w:rsid w:val="00E13461"/>
    <w:rsid w:val="00E15816"/>
    <w:rsid w:val="00E160D5"/>
    <w:rsid w:val="00E17E78"/>
    <w:rsid w:val="00E2420C"/>
    <w:rsid w:val="00E24E5A"/>
    <w:rsid w:val="00E27CEF"/>
    <w:rsid w:val="00E30556"/>
    <w:rsid w:val="00E30981"/>
    <w:rsid w:val="00E321F5"/>
    <w:rsid w:val="00E33136"/>
    <w:rsid w:val="00E34D7C"/>
    <w:rsid w:val="00E3723D"/>
    <w:rsid w:val="00E41D17"/>
    <w:rsid w:val="00E428E6"/>
    <w:rsid w:val="00E44C89"/>
    <w:rsid w:val="00E55085"/>
    <w:rsid w:val="00E61BA2"/>
    <w:rsid w:val="00E63BA1"/>
    <w:rsid w:val="00E63EBD"/>
    <w:rsid w:val="00E6403F"/>
    <w:rsid w:val="00E647A9"/>
    <w:rsid w:val="00E6484C"/>
    <w:rsid w:val="00E73F48"/>
    <w:rsid w:val="00E7431D"/>
    <w:rsid w:val="00E7724F"/>
    <w:rsid w:val="00E83DCD"/>
    <w:rsid w:val="00E84071"/>
    <w:rsid w:val="00E84C5A"/>
    <w:rsid w:val="00E861DB"/>
    <w:rsid w:val="00E93406"/>
    <w:rsid w:val="00E956C5"/>
    <w:rsid w:val="00E95C39"/>
    <w:rsid w:val="00E95C66"/>
    <w:rsid w:val="00E95FDD"/>
    <w:rsid w:val="00EA2C39"/>
    <w:rsid w:val="00EA3370"/>
    <w:rsid w:val="00EA50ED"/>
    <w:rsid w:val="00EB028C"/>
    <w:rsid w:val="00EB0A96"/>
    <w:rsid w:val="00EB77F9"/>
    <w:rsid w:val="00EC2710"/>
    <w:rsid w:val="00EC35D6"/>
    <w:rsid w:val="00EC4D84"/>
    <w:rsid w:val="00EC5769"/>
    <w:rsid w:val="00EC5974"/>
    <w:rsid w:val="00EC5E2E"/>
    <w:rsid w:val="00EC7D00"/>
    <w:rsid w:val="00ED0304"/>
    <w:rsid w:val="00ED329C"/>
    <w:rsid w:val="00ED3ED1"/>
    <w:rsid w:val="00ED50BE"/>
    <w:rsid w:val="00EE1142"/>
    <w:rsid w:val="00EE12C4"/>
    <w:rsid w:val="00EE23BB"/>
    <w:rsid w:val="00EE2AD2"/>
    <w:rsid w:val="00EE38FA"/>
    <w:rsid w:val="00EE3E2C"/>
    <w:rsid w:val="00EE5D23"/>
    <w:rsid w:val="00EE6695"/>
    <w:rsid w:val="00EF3CA4"/>
    <w:rsid w:val="00F00A43"/>
    <w:rsid w:val="00F014DA"/>
    <w:rsid w:val="00F01830"/>
    <w:rsid w:val="00F06E52"/>
    <w:rsid w:val="00F11D29"/>
    <w:rsid w:val="00F14375"/>
    <w:rsid w:val="00F23204"/>
    <w:rsid w:val="00F2515F"/>
    <w:rsid w:val="00F31D50"/>
    <w:rsid w:val="00F36EC4"/>
    <w:rsid w:val="00F60EFF"/>
    <w:rsid w:val="00F639EF"/>
    <w:rsid w:val="00F74EBC"/>
    <w:rsid w:val="00F86C17"/>
    <w:rsid w:val="00F87C3B"/>
    <w:rsid w:val="00F93DE1"/>
    <w:rsid w:val="00F94398"/>
    <w:rsid w:val="00FB1CF2"/>
    <w:rsid w:val="00FB2B56"/>
    <w:rsid w:val="00FB3FD9"/>
    <w:rsid w:val="00FC12BF"/>
    <w:rsid w:val="00FC4010"/>
    <w:rsid w:val="00FC5C69"/>
    <w:rsid w:val="00FD3E6F"/>
    <w:rsid w:val="00FD51B9"/>
    <w:rsid w:val="00FE2A39"/>
    <w:rsid w:val="00FE496A"/>
    <w:rsid w:val="00FE708E"/>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ED3EF5D"/>
  <w15:docId w15:val="{CF11D72F-8F9A-4DA6-8FDC-1016766D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EA4"/>
  </w:style>
  <w:style w:type="paragraph" w:styleId="Heading1">
    <w:name w:val="heading 1"/>
    <w:basedOn w:val="Normal"/>
    <w:next w:val="Normal"/>
    <w:link w:val="Heading1Char"/>
    <w:uiPriority w:val="1"/>
    <w:qFormat/>
    <w:rsid w:val="002437B1"/>
    <w:pPr>
      <w:keepNext/>
      <w:keepLines/>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9A5F24"/>
    <w:pPr>
      <w:keepNext/>
      <w:keepLines/>
      <w:numPr>
        <w:ilvl w:val="1"/>
        <w:numId w:val="3"/>
      </w:numPr>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9A5F24"/>
    <w:pPr>
      <w:keepNext/>
      <w:keepLines/>
      <w:numPr>
        <w:ilvl w:val="2"/>
        <w:numId w:val="3"/>
      </w:numPr>
      <w:spacing w:before="240"/>
      <w:outlineLvl w:val="2"/>
    </w:pPr>
    <w:rPr>
      <w:rFonts w:cs="Arial"/>
      <w:b/>
      <w:bCs/>
      <w:sz w:val="24"/>
      <w:szCs w:val="26"/>
    </w:rPr>
  </w:style>
  <w:style w:type="paragraph" w:styleId="Heading4">
    <w:name w:val="heading 4"/>
    <w:basedOn w:val="Normal"/>
    <w:next w:val="Normal"/>
    <w:link w:val="Heading4Char"/>
    <w:uiPriority w:val="1"/>
    <w:qFormat/>
    <w:rsid w:val="009A5F24"/>
    <w:pPr>
      <w:keepNext/>
      <w:keepLines/>
      <w:numPr>
        <w:ilvl w:val="3"/>
        <w:numId w:val="3"/>
      </w:numPr>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9"/>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9"/>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9"/>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9"/>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9"/>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rsid w:val="003504FD"/>
  </w:style>
  <w:style w:type="character" w:customStyle="1" w:styleId="Heading1Char">
    <w:name w:val="Heading 1 Char"/>
    <w:basedOn w:val="DefaultParagraphFont"/>
    <w:link w:val="Heading1"/>
    <w:uiPriority w:val="1"/>
    <w:rsid w:val="009A5F24"/>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9A5F24"/>
    <w:rPr>
      <w:rFonts w:eastAsiaTheme="majorEastAsia" w:cstheme="majorBidi"/>
      <w:b/>
      <w:bCs/>
      <w:iCs/>
      <w:color w:val="606060"/>
      <w:sz w:val="28"/>
      <w:szCs w:val="28"/>
    </w:rPr>
  </w:style>
  <w:style w:type="paragraph" w:styleId="Title">
    <w:name w:val="Title"/>
    <w:next w:val="Normal"/>
    <w:link w:val="TitleChar"/>
    <w:uiPriority w:val="10"/>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rsid w:val="00BF5099"/>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semiHidden/>
    <w:rsid w:val="00414CB3"/>
    <w:rPr>
      <w:rFonts w:eastAsiaTheme="minorEastAsia"/>
      <w:iCs/>
    </w:rPr>
  </w:style>
  <w:style w:type="paragraph" w:styleId="Header">
    <w:name w:val="header"/>
    <w:aliases w:val="NTG Page Header"/>
    <w:basedOn w:val="Normal"/>
    <w:next w:val="Normal"/>
    <w:link w:val="HeaderChar"/>
    <w:uiPriority w:val="11"/>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rsid w:val="00595386"/>
    <w:rPr>
      <w:rFonts w:ascii="Arial" w:eastAsia="Times New Roman" w:hAnsi="Arial"/>
      <w:b/>
      <w:sz w:val="22"/>
      <w:lang w:eastAsia="en-AU"/>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rsid w:val="004864DE"/>
    <w:pPr>
      <w:spacing w:after="0"/>
    </w:pPr>
    <w:rPr>
      <w:b/>
      <w:sz w:val="32"/>
      <w:szCs w:val="24"/>
      <w:lang w:val="en-US"/>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7"/>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7"/>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7"/>
    <w:rsid w:val="00705C9D"/>
    <w:rPr>
      <w:rFonts w:ascii="Arial" w:hAnsi="Arial" w:cs="Arial"/>
      <w:szCs w:val="16"/>
    </w:rPr>
  </w:style>
  <w:style w:type="character" w:customStyle="1" w:styleId="NTGFooterDepartmentofChar">
    <w:name w:val="NTG Footer Department of Char"/>
    <w:basedOn w:val="DefaultParagraphFont"/>
    <w:link w:val="NTGFooterDepartmentof"/>
    <w:uiPriority w:val="7"/>
    <w:rsid w:val="00705C9D"/>
    <w:rPr>
      <w:rFonts w:ascii="Arial" w:hAnsi="Arial" w:cs="Arial"/>
      <w:caps/>
      <w:szCs w:val="16"/>
    </w:rPr>
  </w:style>
  <w:style w:type="character" w:customStyle="1" w:styleId="NTGFooterDepartmentNameChar">
    <w:name w:val="NTG Footer Department Name Char"/>
    <w:basedOn w:val="NTGFooterDepartmentofChar"/>
    <w:link w:val="NTGFooterDepartmentName"/>
    <w:uiPriority w:val="7"/>
    <w:rsid w:val="00595386"/>
    <w:rPr>
      <w:rFonts w:ascii="Arial Black" w:hAnsi="Arial Black" w:cs="Arial"/>
      <w:caps/>
      <w:szCs w:val="16"/>
    </w:rPr>
  </w:style>
  <w:style w:type="paragraph" w:customStyle="1" w:styleId="Appendix">
    <w:name w:val="Appendix"/>
    <w:basedOn w:val="Heading1"/>
    <w:next w:val="Normal"/>
    <w:uiPriority w:val="11"/>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rsid w:val="002926BC"/>
    <w:pPr>
      <w:spacing w:after="480"/>
    </w:pPr>
  </w:style>
  <w:style w:type="numbering" w:customStyle="1" w:styleId="NTGStandardList">
    <w:name w:val="NTG Standard List"/>
    <w:basedOn w:val="NoList"/>
    <w:rsid w:val="009F2A4D"/>
    <w:pPr>
      <w:numPr>
        <w:numId w:val="1"/>
      </w:numPr>
    </w:pPr>
  </w:style>
  <w:style w:type="table" w:customStyle="1" w:styleId="NTGTable">
    <w:name w:val="NTG Table"/>
    <w:basedOn w:val="TableGrid"/>
    <w:uiPriority w:val="99"/>
    <w:rsid w:val="0099551D"/>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A5F24"/>
    <w:rPr>
      <w:b/>
      <w:color w:val="000000" w:themeColor="text1"/>
    </w:rPr>
  </w:style>
  <w:style w:type="character" w:customStyle="1" w:styleId="Heading6Char">
    <w:name w:val="Heading 6 Char"/>
    <w:basedOn w:val="DefaultParagraphFont"/>
    <w:link w:val="Heading6"/>
    <w:uiPriority w:val="9"/>
    <w:rsid w:val="009A5F24"/>
    <w:rPr>
      <w:b/>
      <w:color w:val="606060"/>
    </w:rPr>
  </w:style>
  <w:style w:type="character" w:customStyle="1" w:styleId="Heading7Char">
    <w:name w:val="Heading 7 Char"/>
    <w:basedOn w:val="DefaultParagraphFont"/>
    <w:link w:val="Heading7"/>
    <w:uiPriority w:val="9"/>
    <w:rsid w:val="009A5F24"/>
    <w:rPr>
      <w:b/>
      <w:color w:val="000000" w:themeColor="text1"/>
    </w:rPr>
  </w:style>
  <w:style w:type="character" w:customStyle="1" w:styleId="Heading8Char">
    <w:name w:val="Heading 8 Char"/>
    <w:basedOn w:val="DefaultParagraphFont"/>
    <w:link w:val="Heading8"/>
    <w:uiPriority w:val="9"/>
    <w:rsid w:val="009A5F24"/>
    <w:rPr>
      <w:b/>
      <w:color w:val="606060"/>
    </w:rPr>
  </w:style>
  <w:style w:type="character" w:customStyle="1" w:styleId="Heading9Char">
    <w:name w:val="Heading 9 Char"/>
    <w:basedOn w:val="DefaultParagraphFont"/>
    <w:link w:val="Heading9"/>
    <w:uiPriority w:val="9"/>
    <w:rsid w:val="009A5F24"/>
    <w:rPr>
      <w:b/>
      <w:color w:val="000000" w:themeColor="text1"/>
    </w:rPr>
  </w:style>
  <w:style w:type="paragraph" w:customStyle="1" w:styleId="NTGFooter2deptpagenum">
    <w:name w:val="NTG Footer 2 dept &amp; page num"/>
    <w:basedOn w:val="Normal"/>
    <w:link w:val="NTGFooter2deptpagenumChar"/>
    <w:uiPriority w:val="7"/>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2926BC"/>
    <w:rPr>
      <w:rFonts w:ascii="Arial" w:eastAsia="Times New Roman" w:hAnsi="Arial"/>
      <w:lang w:eastAsia="en-AU"/>
    </w:rPr>
  </w:style>
  <w:style w:type="character" w:customStyle="1" w:styleId="NTGFooter2DateVersionChar">
    <w:name w:val="NTG Footer 2 Date &amp; Version Char"/>
    <w:basedOn w:val="NTGFooter2deptpagenumChar"/>
    <w:link w:val="NTGFooter2DateVersion"/>
    <w:uiPriority w:val="7"/>
    <w:rsid w:val="002926BC"/>
    <w:rPr>
      <w:rFonts w:ascii="Arial" w:eastAsia="Times New Roman" w:hAnsi="Arial"/>
      <w:lang w:eastAsia="en-AU"/>
    </w:rPr>
  </w:style>
  <w:style w:type="numbering" w:customStyle="1" w:styleId="NTGStandardNumList">
    <w:name w:val="NTG Standard Num List"/>
    <w:uiPriority w:val="99"/>
    <w:rsid w:val="007C6D9F"/>
    <w:pPr>
      <w:numPr>
        <w:numId w:val="2"/>
      </w:numPr>
    </w:pPr>
  </w:style>
  <w:style w:type="paragraph" w:styleId="ListNumber">
    <w:name w:val="List Number"/>
    <w:basedOn w:val="Normal"/>
    <w:uiPriority w:val="99"/>
    <w:qFormat/>
    <w:rsid w:val="00A22C38"/>
    <w:pPr>
      <w:numPr>
        <w:numId w:val="6"/>
      </w:numPr>
      <w:spacing w:after="120"/>
    </w:pPr>
  </w:style>
  <w:style w:type="paragraph" w:styleId="ListNumber2">
    <w:name w:val="List Number 2"/>
    <w:basedOn w:val="Normal"/>
    <w:uiPriority w:val="99"/>
    <w:rsid w:val="00A22C38"/>
    <w:pPr>
      <w:numPr>
        <w:ilvl w:val="1"/>
        <w:numId w:val="6"/>
      </w:numPr>
      <w:spacing w:after="120"/>
    </w:pPr>
  </w:style>
  <w:style w:type="paragraph" w:styleId="ListNumber3">
    <w:name w:val="List Number 3"/>
    <w:basedOn w:val="Normal"/>
    <w:uiPriority w:val="99"/>
    <w:rsid w:val="00A22C38"/>
    <w:pPr>
      <w:numPr>
        <w:ilvl w:val="2"/>
        <w:numId w:val="6"/>
      </w:numPr>
      <w:spacing w:after="120"/>
    </w:pPr>
  </w:style>
  <w:style w:type="paragraph" w:styleId="ListNumber4">
    <w:name w:val="List Number 4"/>
    <w:basedOn w:val="Normal"/>
    <w:uiPriority w:val="99"/>
    <w:rsid w:val="00A22C38"/>
    <w:pPr>
      <w:numPr>
        <w:ilvl w:val="3"/>
        <w:numId w:val="6"/>
      </w:numPr>
      <w:spacing w:after="120"/>
    </w:pPr>
  </w:style>
  <w:style w:type="paragraph" w:styleId="ListNumber5">
    <w:name w:val="List Number 5"/>
    <w:basedOn w:val="Normal"/>
    <w:uiPriority w:val="99"/>
    <w:rsid w:val="00A22C38"/>
    <w:pPr>
      <w:numPr>
        <w:ilvl w:val="4"/>
        <w:numId w:val="6"/>
      </w:numPr>
      <w:spacing w:after="120"/>
    </w:pPr>
  </w:style>
  <w:style w:type="paragraph" w:styleId="ListBullet">
    <w:name w:val="List Bullet"/>
    <w:basedOn w:val="Normal"/>
    <w:uiPriority w:val="99"/>
    <w:rsid w:val="003B6A61"/>
    <w:pPr>
      <w:numPr>
        <w:numId w:val="8"/>
      </w:numPr>
      <w:spacing w:after="120"/>
    </w:pPr>
  </w:style>
  <w:style w:type="paragraph" w:styleId="ListBullet2">
    <w:name w:val="List Bullet 2"/>
    <w:basedOn w:val="Normal"/>
    <w:uiPriority w:val="99"/>
    <w:rsid w:val="006847AD"/>
    <w:pPr>
      <w:numPr>
        <w:ilvl w:val="1"/>
        <w:numId w:val="8"/>
      </w:numPr>
      <w:spacing w:after="120"/>
    </w:pPr>
  </w:style>
  <w:style w:type="paragraph" w:styleId="ListBullet3">
    <w:name w:val="List Bullet 3"/>
    <w:basedOn w:val="Normal"/>
    <w:uiPriority w:val="99"/>
    <w:rsid w:val="006847AD"/>
    <w:pPr>
      <w:numPr>
        <w:ilvl w:val="2"/>
        <w:numId w:val="8"/>
      </w:numPr>
      <w:spacing w:after="120"/>
    </w:pPr>
  </w:style>
  <w:style w:type="paragraph" w:styleId="ListBullet4">
    <w:name w:val="List Bullet 4"/>
    <w:basedOn w:val="Normal"/>
    <w:uiPriority w:val="99"/>
    <w:rsid w:val="006847AD"/>
    <w:pPr>
      <w:numPr>
        <w:ilvl w:val="3"/>
        <w:numId w:val="8"/>
      </w:numPr>
      <w:spacing w:after="120"/>
    </w:pPr>
  </w:style>
  <w:style w:type="paragraph" w:styleId="ListBullet5">
    <w:name w:val="List Bullet 5"/>
    <w:basedOn w:val="Normal"/>
    <w:uiPriority w:val="99"/>
    <w:rsid w:val="004E2CB7"/>
    <w:pPr>
      <w:numPr>
        <w:ilvl w:val="4"/>
        <w:numId w:val="8"/>
      </w:numPr>
    </w:pPr>
  </w:style>
  <w:style w:type="character" w:styleId="Hyperlink">
    <w:name w:val="Hyperlink"/>
    <w:basedOn w:val="DefaultParagraphFont"/>
    <w:uiPriority w:val="99"/>
    <w:unhideWhenUsed/>
    <w:rsid w:val="002F0DB1"/>
    <w:rPr>
      <w:color w:val="0000FF" w:themeColor="hyperlink"/>
      <w:u w:val="single"/>
    </w:rPr>
  </w:style>
  <w:style w:type="paragraph" w:styleId="TOCHeading">
    <w:name w:val="TOC Heading"/>
    <w:basedOn w:val="Heading1"/>
    <w:next w:val="Normal"/>
    <w:uiPriority w:val="39"/>
    <w:unhideWhenUsed/>
    <w:qFormat/>
    <w:rsid w:val="003B67FD"/>
    <w:pPr>
      <w:spacing w:before="480" w:after="0"/>
      <w:outlineLvl w:val="9"/>
    </w:pPr>
    <w:rPr>
      <w:kern w:val="0"/>
      <w:szCs w:val="28"/>
    </w:rPr>
  </w:style>
  <w:style w:type="paragraph" w:styleId="TOC1">
    <w:name w:val="toc 1"/>
    <w:basedOn w:val="Normal"/>
    <w:next w:val="Normal"/>
    <w:autoRedefine/>
    <w:uiPriority w:val="39"/>
    <w:unhideWhenUsed/>
    <w:rsid w:val="007859CD"/>
    <w:pPr>
      <w:spacing w:after="100"/>
    </w:pPr>
  </w:style>
  <w:style w:type="paragraph" w:styleId="TOC2">
    <w:name w:val="toc 2"/>
    <w:basedOn w:val="Normal"/>
    <w:next w:val="Normal"/>
    <w:autoRedefine/>
    <w:uiPriority w:val="39"/>
    <w:unhideWhenUsed/>
    <w:rsid w:val="007859CD"/>
    <w:pPr>
      <w:spacing w:after="100"/>
      <w:ind w:left="220"/>
    </w:pPr>
  </w:style>
  <w:style w:type="paragraph" w:styleId="TOC3">
    <w:name w:val="toc 3"/>
    <w:basedOn w:val="Normal"/>
    <w:next w:val="Normal"/>
    <w:autoRedefine/>
    <w:uiPriority w:val="39"/>
    <w:unhideWhenUsed/>
    <w:rsid w:val="007859CD"/>
    <w:pPr>
      <w:spacing w:after="100"/>
      <w:ind w:left="440"/>
    </w:pPr>
  </w:style>
  <w:style w:type="paragraph" w:customStyle="1" w:styleId="NTGTableBulletList1">
    <w:name w:val="NTG Table Bullet List 1"/>
    <w:semiHidden/>
    <w:qFormat/>
    <w:rsid w:val="002716CD"/>
    <w:pPr>
      <w:numPr>
        <w:numId w:val="9"/>
      </w:numPr>
      <w:spacing w:after="20"/>
    </w:pPr>
  </w:style>
  <w:style w:type="paragraph" w:customStyle="1" w:styleId="NTGTableBulletList2">
    <w:name w:val="NTG Table Bullet List 2"/>
    <w:basedOn w:val="NTGTableBulletList1"/>
    <w:semiHidden/>
    <w:qFormat/>
    <w:rsid w:val="002716CD"/>
    <w:pPr>
      <w:numPr>
        <w:ilvl w:val="1"/>
      </w:numPr>
    </w:pPr>
  </w:style>
  <w:style w:type="paragraph" w:customStyle="1" w:styleId="NTGTableBulletList3">
    <w:name w:val="NTG Table Bullet List 3"/>
    <w:basedOn w:val="NTGTableBulletList2"/>
    <w:semiHidden/>
    <w:qFormat/>
    <w:rsid w:val="002716CD"/>
    <w:pPr>
      <w:numPr>
        <w:ilvl w:val="2"/>
      </w:numPr>
    </w:pPr>
  </w:style>
  <w:style w:type="paragraph" w:customStyle="1" w:styleId="NTGTableBulletList4">
    <w:name w:val="NTG Table Bullet List 4"/>
    <w:basedOn w:val="NTGTableBulletList3"/>
    <w:semiHidden/>
    <w:qFormat/>
    <w:rsid w:val="002716CD"/>
    <w:pPr>
      <w:numPr>
        <w:ilvl w:val="3"/>
      </w:numPr>
    </w:pPr>
  </w:style>
  <w:style w:type="paragraph" w:customStyle="1" w:styleId="NTGTableBulletList5">
    <w:name w:val="NTG Table Bullet List 5"/>
    <w:basedOn w:val="NTGTableBulletList4"/>
    <w:semiHidden/>
    <w:qFormat/>
    <w:rsid w:val="002716CD"/>
    <w:pPr>
      <w:numPr>
        <w:ilvl w:val="4"/>
      </w:numPr>
    </w:pPr>
  </w:style>
  <w:style w:type="paragraph" w:customStyle="1" w:styleId="NTGTableBulletList6">
    <w:name w:val="NTG Table Bullet List 6"/>
    <w:basedOn w:val="NTGTableBulletList5"/>
    <w:semiHidden/>
    <w:qFormat/>
    <w:rsid w:val="001D7CA4"/>
    <w:pPr>
      <w:numPr>
        <w:ilvl w:val="5"/>
      </w:numPr>
    </w:pPr>
  </w:style>
  <w:style w:type="paragraph" w:customStyle="1" w:styleId="NTGTableBulletList7">
    <w:name w:val="NTG Table Bullet List 7"/>
    <w:basedOn w:val="NTGTableBulletList6"/>
    <w:semiHidden/>
    <w:qFormat/>
    <w:rsid w:val="002716CD"/>
    <w:pPr>
      <w:numPr>
        <w:ilvl w:val="6"/>
      </w:numPr>
    </w:pPr>
  </w:style>
  <w:style w:type="paragraph" w:customStyle="1" w:styleId="NTGTableBulletList8">
    <w:name w:val="NTG Table Bullet List 8"/>
    <w:basedOn w:val="NTGTableBulletList7"/>
    <w:semiHidden/>
    <w:qFormat/>
    <w:rsid w:val="002716CD"/>
    <w:pPr>
      <w:numPr>
        <w:ilvl w:val="7"/>
      </w:numPr>
    </w:pPr>
  </w:style>
  <w:style w:type="paragraph" w:customStyle="1" w:styleId="NTGTableBulletList9">
    <w:name w:val="NTG Table Bullet List 9"/>
    <w:basedOn w:val="NTGTableBulletList8"/>
    <w:semiHidden/>
    <w:qFormat/>
    <w:rsid w:val="002716CD"/>
    <w:pPr>
      <w:numPr>
        <w:ilvl w:val="8"/>
      </w:numPr>
    </w:pPr>
  </w:style>
  <w:style w:type="numbering" w:customStyle="1" w:styleId="NTGTableList">
    <w:name w:val="NTG Table List"/>
    <w:uiPriority w:val="99"/>
    <w:rsid w:val="002716CD"/>
    <w:pPr>
      <w:numPr>
        <w:numId w:val="4"/>
      </w:numPr>
    </w:pPr>
  </w:style>
  <w:style w:type="paragraph" w:customStyle="1" w:styleId="NTGTableNumList1">
    <w:name w:val="NTG Table Num List 1"/>
    <w:semiHidden/>
    <w:qFormat/>
    <w:rsid w:val="002716CD"/>
    <w:pPr>
      <w:numPr>
        <w:numId w:val="7"/>
      </w:numPr>
      <w:spacing w:after="20"/>
    </w:pPr>
  </w:style>
  <w:style w:type="paragraph" w:customStyle="1" w:styleId="NTGTableNumList2">
    <w:name w:val="NTG Table Num List 2"/>
    <w:basedOn w:val="NTGTableNumList1"/>
    <w:semiHidden/>
    <w:qFormat/>
    <w:rsid w:val="002716CD"/>
    <w:pPr>
      <w:numPr>
        <w:ilvl w:val="1"/>
      </w:numPr>
    </w:pPr>
  </w:style>
  <w:style w:type="paragraph" w:customStyle="1" w:styleId="NTGTableNumList3">
    <w:name w:val="NTG Table Num List 3"/>
    <w:basedOn w:val="NTGTableNumList2"/>
    <w:semiHidden/>
    <w:qFormat/>
    <w:rsid w:val="002716CD"/>
    <w:pPr>
      <w:numPr>
        <w:ilvl w:val="2"/>
      </w:numPr>
    </w:pPr>
  </w:style>
  <w:style w:type="paragraph" w:customStyle="1" w:styleId="NTGTableNumList4">
    <w:name w:val="NTG Table Num List 4"/>
    <w:basedOn w:val="NTGTableNumList3"/>
    <w:semiHidden/>
    <w:qFormat/>
    <w:rsid w:val="002716CD"/>
    <w:pPr>
      <w:numPr>
        <w:ilvl w:val="3"/>
      </w:numPr>
    </w:pPr>
  </w:style>
  <w:style w:type="paragraph" w:customStyle="1" w:styleId="NTGTableNumList5">
    <w:name w:val="NTG Table Num List 5"/>
    <w:basedOn w:val="NTGTableNumList4"/>
    <w:semiHidden/>
    <w:qFormat/>
    <w:rsid w:val="002716CD"/>
    <w:pPr>
      <w:numPr>
        <w:ilvl w:val="4"/>
      </w:numPr>
    </w:pPr>
  </w:style>
  <w:style w:type="paragraph" w:customStyle="1" w:styleId="NTGTableNumList6">
    <w:name w:val="NTG Table Num List 6"/>
    <w:basedOn w:val="NTGTableNumList5"/>
    <w:semiHidden/>
    <w:qFormat/>
    <w:rsid w:val="002716CD"/>
    <w:pPr>
      <w:numPr>
        <w:ilvl w:val="5"/>
      </w:numPr>
    </w:pPr>
  </w:style>
  <w:style w:type="paragraph" w:customStyle="1" w:styleId="NTGTableNumList7">
    <w:name w:val="NTG Table Num List 7"/>
    <w:basedOn w:val="NTGTableNumList6"/>
    <w:semiHidden/>
    <w:qFormat/>
    <w:rsid w:val="002716CD"/>
    <w:pPr>
      <w:numPr>
        <w:ilvl w:val="6"/>
      </w:numPr>
    </w:pPr>
  </w:style>
  <w:style w:type="paragraph" w:customStyle="1" w:styleId="NTGTableNumList8">
    <w:name w:val="NTG Table Num List 8"/>
    <w:basedOn w:val="NTGTableNumList7"/>
    <w:semiHidden/>
    <w:qFormat/>
    <w:rsid w:val="002716CD"/>
    <w:pPr>
      <w:numPr>
        <w:ilvl w:val="7"/>
      </w:numPr>
    </w:pPr>
  </w:style>
  <w:style w:type="paragraph" w:customStyle="1" w:styleId="NTGTableNumList9">
    <w:name w:val="NTG Table Num List 9"/>
    <w:basedOn w:val="NTGTableNumList8"/>
    <w:semiHidden/>
    <w:qFormat/>
    <w:rsid w:val="002716CD"/>
    <w:pPr>
      <w:numPr>
        <w:ilvl w:val="8"/>
      </w:numPr>
    </w:pPr>
  </w:style>
  <w:style w:type="numbering" w:customStyle="1" w:styleId="NTGTableNumList">
    <w:name w:val="NTG Table Num List"/>
    <w:uiPriority w:val="99"/>
    <w:rsid w:val="002716CD"/>
    <w:pPr>
      <w:numPr>
        <w:numId w:val="5"/>
      </w:numPr>
    </w:pPr>
  </w:style>
  <w:style w:type="paragraph" w:styleId="BalloonText">
    <w:name w:val="Balloon Text"/>
    <w:basedOn w:val="Normal"/>
    <w:link w:val="BalloonTextChar"/>
    <w:uiPriority w:val="99"/>
    <w:semiHidden/>
    <w:unhideWhenUsed/>
    <w:rsid w:val="002437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7B1"/>
    <w:rPr>
      <w:rFonts w:ascii="Tahoma" w:hAnsi="Tahoma" w:cs="Tahoma"/>
      <w:sz w:val="16"/>
      <w:szCs w:val="16"/>
    </w:rPr>
  </w:style>
  <w:style w:type="paragraph" w:customStyle="1" w:styleId="Default">
    <w:name w:val="Default"/>
    <w:rsid w:val="007441F6"/>
    <w:pPr>
      <w:autoSpaceDE w:val="0"/>
      <w:autoSpaceDN w:val="0"/>
      <w:adjustRightInd w:val="0"/>
      <w:spacing w:after="0"/>
    </w:pPr>
    <w:rPr>
      <w:rFonts w:cs="Arial"/>
      <w:color w:val="000000"/>
      <w:sz w:val="24"/>
      <w:szCs w:val="24"/>
    </w:rPr>
  </w:style>
  <w:style w:type="character" w:styleId="CommentReference">
    <w:name w:val="annotation reference"/>
    <w:basedOn w:val="DefaultParagraphFont"/>
    <w:uiPriority w:val="99"/>
    <w:semiHidden/>
    <w:unhideWhenUsed/>
    <w:rsid w:val="00F14375"/>
    <w:rPr>
      <w:sz w:val="16"/>
      <w:szCs w:val="16"/>
    </w:rPr>
  </w:style>
  <w:style w:type="paragraph" w:styleId="CommentText">
    <w:name w:val="annotation text"/>
    <w:basedOn w:val="Normal"/>
    <w:link w:val="CommentTextChar"/>
    <w:uiPriority w:val="99"/>
    <w:semiHidden/>
    <w:unhideWhenUsed/>
    <w:rsid w:val="00F14375"/>
    <w:pPr>
      <w:spacing w:after="120"/>
    </w:pPr>
    <w:rPr>
      <w:rFonts w:ascii="Lato" w:eastAsiaTheme="minorHAnsi" w:hAnsi="Lato" w:cstheme="minorBidi"/>
      <w:sz w:val="20"/>
      <w:szCs w:val="20"/>
    </w:rPr>
  </w:style>
  <w:style w:type="character" w:customStyle="1" w:styleId="CommentTextChar">
    <w:name w:val="Comment Text Char"/>
    <w:basedOn w:val="DefaultParagraphFont"/>
    <w:link w:val="CommentText"/>
    <w:uiPriority w:val="99"/>
    <w:semiHidden/>
    <w:rsid w:val="00F14375"/>
    <w:rPr>
      <w:rFonts w:ascii="Lato" w:eastAsiaTheme="minorHAnsi" w:hAnsi="Lato" w:cstheme="minorBidi"/>
      <w:sz w:val="20"/>
      <w:szCs w:val="20"/>
    </w:rPr>
  </w:style>
  <w:style w:type="paragraph" w:customStyle="1" w:styleId="Pa2">
    <w:name w:val="Pa2"/>
    <w:basedOn w:val="Default"/>
    <w:next w:val="Default"/>
    <w:uiPriority w:val="99"/>
    <w:rsid w:val="000F0298"/>
    <w:pPr>
      <w:spacing w:line="241" w:lineRule="atLeast"/>
    </w:pPr>
    <w:rPr>
      <w:rFonts w:ascii="Calibri Light" w:hAnsi="Calibri Light" w:cs="Times New Roman"/>
      <w:color w:val="auto"/>
    </w:rPr>
  </w:style>
  <w:style w:type="paragraph" w:styleId="FootnoteText">
    <w:name w:val="footnote text"/>
    <w:basedOn w:val="Normal"/>
    <w:link w:val="FootnoteTextChar"/>
    <w:uiPriority w:val="99"/>
    <w:semiHidden/>
    <w:unhideWhenUsed/>
    <w:rsid w:val="000B7607"/>
    <w:pPr>
      <w:spacing w:after="0"/>
    </w:pPr>
    <w:rPr>
      <w:sz w:val="20"/>
      <w:szCs w:val="20"/>
    </w:rPr>
  </w:style>
  <w:style w:type="character" w:customStyle="1" w:styleId="FootnoteTextChar">
    <w:name w:val="Footnote Text Char"/>
    <w:basedOn w:val="DefaultParagraphFont"/>
    <w:link w:val="FootnoteText"/>
    <w:uiPriority w:val="99"/>
    <w:semiHidden/>
    <w:rsid w:val="000B7607"/>
    <w:rPr>
      <w:sz w:val="20"/>
      <w:szCs w:val="20"/>
    </w:rPr>
  </w:style>
  <w:style w:type="character" w:styleId="FootnoteReference">
    <w:name w:val="footnote reference"/>
    <w:basedOn w:val="DefaultParagraphFont"/>
    <w:uiPriority w:val="99"/>
    <w:semiHidden/>
    <w:unhideWhenUsed/>
    <w:rsid w:val="000B7607"/>
    <w:rPr>
      <w:vertAlign w:val="superscript"/>
    </w:rPr>
  </w:style>
  <w:style w:type="paragraph" w:styleId="CommentSubject">
    <w:name w:val="annotation subject"/>
    <w:basedOn w:val="CommentText"/>
    <w:next w:val="CommentText"/>
    <w:link w:val="CommentSubjectChar"/>
    <w:uiPriority w:val="99"/>
    <w:semiHidden/>
    <w:unhideWhenUsed/>
    <w:rsid w:val="00C65951"/>
    <w:pPr>
      <w:spacing w:after="200"/>
    </w:pPr>
    <w:rPr>
      <w:rFonts w:ascii="Arial" w:eastAsia="Calibri" w:hAnsi="Arial" w:cs="Times New Roman"/>
      <w:b/>
      <w:bCs/>
    </w:rPr>
  </w:style>
  <w:style w:type="character" w:customStyle="1" w:styleId="CommentSubjectChar">
    <w:name w:val="Comment Subject Char"/>
    <w:basedOn w:val="CommentTextChar"/>
    <w:link w:val="CommentSubject"/>
    <w:uiPriority w:val="99"/>
    <w:semiHidden/>
    <w:rsid w:val="00C65951"/>
    <w:rPr>
      <w:rFonts w:ascii="Lato" w:eastAsiaTheme="minorHAnsi" w:hAnsi="Lato" w:cstheme="minorBidi"/>
      <w:b/>
      <w:bCs/>
      <w:sz w:val="20"/>
      <w:szCs w:val="20"/>
    </w:rPr>
  </w:style>
  <w:style w:type="paragraph" w:styleId="Revision">
    <w:name w:val="Revision"/>
    <w:hidden/>
    <w:uiPriority w:val="99"/>
    <w:semiHidden/>
    <w:rsid w:val="00D442E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gov.au/justic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ildabuseroyalcommission.gov.au/redress-and-civil-litigation" TargetMode="External"/><Relationship Id="rId4" Type="http://schemas.openxmlformats.org/officeDocument/2006/relationships/settings" Target="settings.xml"/><Relationship Id="rId9" Type="http://schemas.openxmlformats.org/officeDocument/2006/relationships/hyperlink" Target="mailto:Policy.AGD@nt.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justice.nt.gov.au/attorney-general-and-justice/northern-territory-government-legal-services/solicitor-for-the-northern-terri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abi\AppData\Local\Temp\Temp1_blank-word-portrait-template_15.zip\blank-word-portrait-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4BA9E-AC5B-426D-AB49-FDD8D5087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blank-word-portrait-template.dotm</Template>
  <TotalTime>0</TotalTime>
  <Pages>19</Pages>
  <Words>5753</Words>
  <Characters>32796</Characters>
  <Application>Microsoft Office Word</Application>
  <DocSecurity>4</DocSecurity>
  <Lines>273</Lines>
  <Paragraphs>76</Paragraphs>
  <ScaleCrop>false</ScaleCrop>
  <HeadingPairs>
    <vt:vector size="2" baseType="variant">
      <vt:variant>
        <vt:lpstr>Title</vt:lpstr>
      </vt:variant>
      <vt:variant>
        <vt:i4>1</vt:i4>
      </vt:variant>
    </vt:vector>
  </HeadingPairs>
  <TitlesOfParts>
    <vt:vector size="1" baseType="lpstr">
      <vt:lpstr>Options Paper</vt:lpstr>
    </vt:vector>
  </TitlesOfParts>
  <Company>Northern Territory Government</Company>
  <LinksUpToDate>false</LinksUpToDate>
  <CharactersWithSpaces>38473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Paper</dc:title>
  <dc:creator>Samantha Cubillo</dc:creator>
  <cp:lastModifiedBy>Jiraporn Homngam</cp:lastModifiedBy>
  <cp:revision>2</cp:revision>
  <cp:lastPrinted>2016-02-04T04:37:00Z</cp:lastPrinted>
  <dcterms:created xsi:type="dcterms:W3CDTF">2018-09-21T03:58:00Z</dcterms:created>
  <dcterms:modified xsi:type="dcterms:W3CDTF">2018-09-21T03:58:00Z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Attorney-General and Justice</vt:lpwstr>
  </property>
  <property fmtid="{D5CDD505-2E9C-101B-9397-08002B2CF9AE}" pid="4" name="DocumentAuthor">
    <vt:lpwstr>&lt;Firstname Lastname&gt;</vt:lpwstr>
  </property>
  <property fmtid="{D5CDD505-2E9C-101B-9397-08002B2CF9AE}" pid="5" name="VersionNo">
    <vt:lpwstr>&lt;, Version x.x optional&gt;</vt:lpwstr>
  </property>
  <property fmtid="{D5CDD505-2E9C-101B-9397-08002B2CF9AE}" pid="6" name="DocumentDate">
    <vt:lpwstr>&lt;DD Month YYYY&gt;</vt:lpwstr>
  </property>
</Properties>
</file>