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Heading1Char"/>
          <w:bCs w:val="0"/>
          <w:szCs w:val="64"/>
        </w:rPr>
        <w:alias w:val="Title"/>
        <w:tag w:val="Title"/>
        <w:id w:val="-509755993"/>
        <w:placeholder>
          <w:docPart w:val="881541BA92764E73A7081F2BA76A5D3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1F1F5F"/>
        <w:text w:multiLine="1"/>
      </w:sdtPr>
      <w:sdtEndPr>
        <w:rPr>
          <w:rStyle w:val="Heading1Char"/>
        </w:rPr>
      </w:sdtEndPr>
      <w:sdtContent>
        <w:p w:rsidR="00D61FD1" w:rsidRDefault="00643161" w:rsidP="00922AD8">
          <w:pPr>
            <w:pStyle w:val="Title"/>
            <w:jc w:val="center"/>
          </w:pPr>
          <w:r>
            <w:rPr>
              <w:rStyle w:val="Heading1Char"/>
              <w:bCs w:val="0"/>
              <w:szCs w:val="64"/>
            </w:rPr>
            <w:t xml:space="preserve">Civil Litigation Reform recommended by the Royal Commission into Institutional Responses to Child Sexual Abuse (RCIRCSA) </w:t>
          </w:r>
          <w:r w:rsidR="00C269C8">
            <w:rPr>
              <w:rStyle w:val="Heading1Char"/>
              <w:bCs w:val="0"/>
              <w:szCs w:val="64"/>
            </w:rPr>
            <w:br/>
          </w:r>
          <w:r w:rsidR="00C269C8">
            <w:rPr>
              <w:rStyle w:val="Heading1Char"/>
              <w:bCs w:val="0"/>
              <w:szCs w:val="64"/>
            </w:rPr>
            <w:br/>
          </w:r>
          <w:r>
            <w:rPr>
              <w:rStyle w:val="Heading1Char"/>
              <w:bCs w:val="0"/>
              <w:szCs w:val="64"/>
            </w:rPr>
            <w:t xml:space="preserve">Fact sheet 2: Vicarious </w:t>
          </w:r>
          <w:r w:rsidR="003158A8">
            <w:rPr>
              <w:rStyle w:val="Heading1Char"/>
              <w:bCs w:val="0"/>
              <w:szCs w:val="64"/>
            </w:rPr>
            <w:t xml:space="preserve">liability </w:t>
          </w:r>
          <w:r>
            <w:rPr>
              <w:rStyle w:val="Heading1Char"/>
              <w:bCs w:val="0"/>
              <w:szCs w:val="64"/>
            </w:rPr>
            <w:t>for child abuse</w:t>
          </w:r>
        </w:p>
      </w:sdtContent>
    </w:sdt>
    <w:bookmarkStart w:id="1" w:name="_Toc15286861" w:displacedByCustomXml="prev"/>
    <w:bookmarkStart w:id="2" w:name="_Toc15286907" w:displacedByCustomXml="prev"/>
    <w:bookmarkEnd w:id="2"/>
    <w:bookmarkEnd w:id="1"/>
    <w:p w:rsidR="00922AD8" w:rsidRPr="00B77712" w:rsidRDefault="00922AD8" w:rsidP="00922AD8">
      <w:pPr>
        <w:pStyle w:val="Heading1"/>
      </w:pPr>
      <w:r w:rsidRPr="00B77712">
        <w:t>Who should read this?</w:t>
      </w:r>
    </w:p>
    <w:p w:rsidR="00922AD8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>
        <w:rPr>
          <w:rFonts w:asciiTheme="minorHAnsi" w:hAnsiTheme="minorHAnsi" w:cstheme="minorHAnsi"/>
          <w:szCs w:val="22"/>
          <w:lang w:eastAsia="en-AU"/>
        </w:rPr>
        <w:t>All i</w:t>
      </w:r>
      <w:r w:rsidRPr="00E2521E">
        <w:rPr>
          <w:rFonts w:asciiTheme="minorHAnsi" w:hAnsiTheme="minorHAnsi" w:cstheme="minorHAnsi"/>
          <w:szCs w:val="22"/>
          <w:lang w:eastAsia="en-AU"/>
        </w:rPr>
        <w:t>nstitution</w:t>
      </w:r>
      <w:r>
        <w:rPr>
          <w:rFonts w:asciiTheme="minorHAnsi" w:hAnsiTheme="minorHAnsi" w:cstheme="minorHAnsi"/>
          <w:szCs w:val="22"/>
          <w:lang w:eastAsia="en-AU"/>
        </w:rPr>
        <w:t>s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 that exercise care, supervision or authority over a child. </w:t>
      </w:r>
    </w:p>
    <w:p w:rsidR="00922AD8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 xml:space="preserve">‘Institution’ includes a body, an entity, a body corporate, a group of persons, an association and an organisation but does not include a family or individual. </w:t>
      </w:r>
    </w:p>
    <w:p w:rsidR="00A47EFF" w:rsidRPr="00A47EFF" w:rsidRDefault="00A47EFF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>
        <w:rPr>
          <w:rFonts w:asciiTheme="minorHAnsi" w:hAnsiTheme="minorHAnsi" w:cstheme="minorHAnsi"/>
          <w:szCs w:val="22"/>
          <w:lang w:eastAsia="en-AU"/>
        </w:rPr>
        <w:t>The information in this fact sheet is not legal advice and is provided as information to assist institutions in understanding a new law.</w:t>
      </w:r>
    </w:p>
    <w:p w:rsidR="00922AD8" w:rsidRPr="00643161" w:rsidRDefault="00922AD8" w:rsidP="003158A8">
      <w:pPr>
        <w:pStyle w:val="Heading1"/>
        <w:ind w:left="567" w:hanging="567"/>
      </w:pPr>
      <w:bookmarkStart w:id="3" w:name="_Toc101449481"/>
      <w:r w:rsidRPr="00643161">
        <w:t>What is an institution</w:t>
      </w:r>
      <w:bookmarkEnd w:id="3"/>
      <w:r w:rsidRPr="00643161">
        <w:t xml:space="preserve">? </w:t>
      </w:r>
    </w:p>
    <w:p w:rsidR="00922AD8" w:rsidRPr="00E2521E" w:rsidRDefault="00922AD8" w:rsidP="003158A8">
      <w:pPr>
        <w:pStyle w:val="Bulletpoints"/>
        <w:tabs>
          <w:tab w:val="clear" w:pos="360"/>
        </w:tabs>
        <w:spacing w:after="120"/>
        <w:ind w:left="567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</w:rPr>
        <w:t>Examples of institutions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 that exercise care, supervision or authority over children include, but are not limited to: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community service organisations providing services to children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out-of-home care services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religious bodies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government agencies or departments providing services for children (including youth detention facilities)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education and care services (such as childcare centres, family day care services, kindergartens and outside school hours care services)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schools and other educational institutions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sporting groups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youth organisations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local councils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lastRenderedPageBreak/>
        <w:t>charities and benevolent organisations providing services for children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housing services and homeless services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health services including public and private hospitals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drug and alcohol treatment services</w:t>
      </w:r>
    </w:p>
    <w:p w:rsidR="00922AD8" w:rsidRPr="00C85D08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spacing w:before="120" w:after="120"/>
        <w:ind w:left="1134" w:hanging="567"/>
        <w:rPr>
          <w:rFonts w:asciiTheme="minorHAnsi" w:hAnsiTheme="minorHAnsi" w:cstheme="minorHAnsi"/>
          <w:szCs w:val="22"/>
          <w:lang w:eastAsia="en-AU"/>
        </w:rPr>
      </w:pPr>
      <w:proofErr w:type="gramStart"/>
      <w:r w:rsidRPr="00E2521E">
        <w:rPr>
          <w:rFonts w:asciiTheme="minorHAnsi" w:hAnsiTheme="minorHAnsi" w:cstheme="minorHAnsi"/>
          <w:szCs w:val="22"/>
          <w:lang w:eastAsia="en-AU"/>
        </w:rPr>
        <w:t>disability</w:t>
      </w:r>
      <w:proofErr w:type="gramEnd"/>
      <w:r w:rsidRPr="00E2521E">
        <w:rPr>
          <w:rFonts w:asciiTheme="minorHAnsi" w:hAnsiTheme="minorHAnsi" w:cstheme="minorHAnsi"/>
          <w:szCs w:val="22"/>
          <w:lang w:eastAsia="en-AU"/>
        </w:rPr>
        <w:t xml:space="preserve"> services providers.</w:t>
      </w:r>
    </w:p>
    <w:p w:rsidR="00922AD8" w:rsidRPr="00E2521E" w:rsidRDefault="00922AD8" w:rsidP="00922AD8">
      <w:pPr>
        <w:pStyle w:val="Heading1"/>
      </w:pPr>
      <w:r>
        <w:t xml:space="preserve">Why </w:t>
      </w:r>
      <w:r w:rsidR="00A47EFF">
        <w:t xml:space="preserve">has a </w:t>
      </w:r>
      <w:r>
        <w:t xml:space="preserve">Vicarious Liability provision been introduced? </w:t>
      </w:r>
    </w:p>
    <w:p w:rsidR="00922AD8" w:rsidRPr="00E2521E" w:rsidRDefault="00922AD8" w:rsidP="003158A8">
      <w:pPr>
        <w:pStyle w:val="Bulletpoints"/>
        <w:numPr>
          <w:ilvl w:val="0"/>
          <w:numId w:val="11"/>
        </w:numPr>
        <w:ind w:left="567" w:hanging="567"/>
        <w:rPr>
          <w:rFonts w:asciiTheme="minorHAnsi" w:hAnsiTheme="minorHAnsi" w:cstheme="minorHAnsi"/>
          <w:szCs w:val="22"/>
          <w:lang w:eastAsia="en-AU"/>
        </w:rPr>
      </w:pPr>
      <w:r>
        <w:rPr>
          <w:rFonts w:asciiTheme="minorHAnsi" w:hAnsiTheme="minorHAnsi" w:cstheme="minorHAnsi"/>
          <w:szCs w:val="22"/>
        </w:rPr>
        <w:t>I</w:t>
      </w:r>
      <w:r w:rsidRPr="00E2521E">
        <w:rPr>
          <w:rFonts w:asciiTheme="minorHAnsi" w:hAnsiTheme="minorHAnsi" w:cstheme="minorHAnsi"/>
          <w:szCs w:val="22"/>
        </w:rPr>
        <w:t>n January 2013</w:t>
      </w:r>
      <w:r>
        <w:rPr>
          <w:rFonts w:asciiTheme="minorHAnsi" w:hAnsiTheme="minorHAnsi" w:cstheme="minorHAnsi"/>
          <w:szCs w:val="22"/>
        </w:rPr>
        <w:t>,</w:t>
      </w:r>
      <w:r w:rsidRPr="00E2521E">
        <w:rPr>
          <w:rFonts w:asciiTheme="minorHAnsi" w:hAnsiTheme="minorHAnsi" w:cstheme="minorHAnsi"/>
          <w:szCs w:val="22"/>
        </w:rPr>
        <w:t xml:space="preserve"> the Commonwealth Government </w:t>
      </w:r>
      <w:r>
        <w:rPr>
          <w:rFonts w:asciiTheme="minorHAnsi" w:hAnsiTheme="minorHAnsi" w:cstheme="minorHAnsi"/>
          <w:szCs w:val="22"/>
        </w:rPr>
        <w:t xml:space="preserve">established the </w:t>
      </w:r>
      <w:r w:rsidRPr="00ED55A5">
        <w:rPr>
          <w:rFonts w:asciiTheme="minorHAnsi" w:hAnsiTheme="minorHAnsi" w:cstheme="minorHAnsi"/>
          <w:szCs w:val="22"/>
        </w:rPr>
        <w:t xml:space="preserve">Royal Commission into Institutional Reponses to Child Sexual Abuse </w:t>
      </w:r>
      <w:r>
        <w:rPr>
          <w:rFonts w:asciiTheme="minorHAnsi" w:hAnsiTheme="minorHAnsi" w:cstheme="minorHAnsi"/>
          <w:szCs w:val="22"/>
        </w:rPr>
        <w:t>(</w:t>
      </w:r>
      <w:r w:rsidRPr="00E2521E">
        <w:rPr>
          <w:rFonts w:asciiTheme="minorHAnsi" w:hAnsiTheme="minorHAnsi" w:cstheme="minorHAnsi"/>
          <w:szCs w:val="22"/>
        </w:rPr>
        <w:t>RCIR</w:t>
      </w:r>
      <w:r>
        <w:rPr>
          <w:rFonts w:asciiTheme="minorHAnsi" w:hAnsiTheme="minorHAnsi" w:cstheme="minorHAnsi"/>
          <w:szCs w:val="22"/>
        </w:rPr>
        <w:t>C</w:t>
      </w:r>
      <w:r w:rsidRPr="00E2521E">
        <w:rPr>
          <w:rFonts w:asciiTheme="minorHAnsi" w:hAnsiTheme="minorHAnsi" w:cstheme="minorHAnsi"/>
          <w:szCs w:val="22"/>
        </w:rPr>
        <w:t>SA</w:t>
      </w:r>
      <w:r>
        <w:rPr>
          <w:rFonts w:asciiTheme="minorHAnsi" w:hAnsiTheme="minorHAnsi" w:cstheme="minorHAnsi"/>
          <w:szCs w:val="22"/>
        </w:rPr>
        <w:t>).</w:t>
      </w:r>
      <w:r w:rsidR="003158A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The RCIRCSA</w:t>
      </w:r>
      <w:r w:rsidRPr="00E2521E">
        <w:rPr>
          <w:rFonts w:asciiTheme="minorHAnsi" w:hAnsiTheme="minorHAnsi" w:cstheme="minorHAnsi"/>
          <w:szCs w:val="22"/>
        </w:rPr>
        <w:t xml:space="preserve"> inquire</w:t>
      </w:r>
      <w:r>
        <w:rPr>
          <w:rFonts w:asciiTheme="minorHAnsi" w:hAnsiTheme="minorHAnsi" w:cstheme="minorHAnsi"/>
          <w:szCs w:val="22"/>
        </w:rPr>
        <w:t>d</w:t>
      </w:r>
      <w:r w:rsidRPr="00E2521E">
        <w:rPr>
          <w:rFonts w:asciiTheme="minorHAnsi" w:hAnsiTheme="minorHAnsi" w:cstheme="minorHAnsi"/>
          <w:szCs w:val="22"/>
        </w:rPr>
        <w:t xml:space="preserve"> into how institutions </w:t>
      </w:r>
      <w:r>
        <w:rPr>
          <w:rFonts w:asciiTheme="minorHAnsi" w:hAnsiTheme="minorHAnsi" w:cstheme="minorHAnsi"/>
          <w:szCs w:val="22"/>
        </w:rPr>
        <w:t xml:space="preserve">such as </w:t>
      </w:r>
      <w:r w:rsidRPr="00E2521E">
        <w:rPr>
          <w:rFonts w:asciiTheme="minorHAnsi" w:hAnsiTheme="minorHAnsi" w:cstheme="minorHAnsi"/>
          <w:szCs w:val="22"/>
        </w:rPr>
        <w:t xml:space="preserve">schools, churches, sports clubs and government organisations have responded to allegations and instances of child sexual abuse. </w:t>
      </w:r>
    </w:p>
    <w:p w:rsidR="00922AD8" w:rsidRPr="00E2521E" w:rsidRDefault="00922AD8" w:rsidP="003158A8">
      <w:pPr>
        <w:pStyle w:val="Bulletpoints"/>
        <w:numPr>
          <w:ilvl w:val="0"/>
          <w:numId w:val="11"/>
        </w:numPr>
        <w:ind w:left="567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</w:rPr>
        <w:t>On 14 September 2015, the RCIRCSA released its Report on Redress and Civil Litigation</w:t>
      </w:r>
      <w:r>
        <w:rPr>
          <w:rFonts w:asciiTheme="minorHAnsi" w:hAnsiTheme="minorHAnsi" w:cstheme="minorHAnsi"/>
          <w:szCs w:val="22"/>
        </w:rPr>
        <w:t xml:space="preserve"> relating to allegations and instances of child sexual abuse</w:t>
      </w:r>
      <w:r w:rsidRPr="00E2521E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The RCIRCSA found that victims of sexual abuse were not able to easily seek damages from institutions that had cared for the victims as children and sexual abuse was perpetr</w:t>
      </w:r>
      <w:r w:rsidR="003158A8">
        <w:rPr>
          <w:rFonts w:asciiTheme="minorHAnsi" w:hAnsiTheme="minorHAnsi" w:cstheme="minorHAnsi"/>
          <w:szCs w:val="22"/>
        </w:rPr>
        <w:t xml:space="preserve">ated through the institutions. </w:t>
      </w:r>
      <w:r w:rsidRPr="00E2521E">
        <w:rPr>
          <w:rFonts w:asciiTheme="minorHAnsi" w:hAnsiTheme="minorHAnsi" w:cstheme="minorHAnsi"/>
          <w:szCs w:val="22"/>
        </w:rPr>
        <w:t>Th</w:t>
      </w:r>
      <w:r>
        <w:rPr>
          <w:rFonts w:asciiTheme="minorHAnsi" w:hAnsiTheme="minorHAnsi" w:cstheme="minorHAnsi"/>
          <w:szCs w:val="22"/>
        </w:rPr>
        <w:t>e</w:t>
      </w:r>
      <w:r w:rsidRPr="00E2521E">
        <w:rPr>
          <w:rFonts w:asciiTheme="minorHAnsi" w:hAnsiTheme="minorHAnsi" w:cstheme="minorHAnsi"/>
          <w:szCs w:val="22"/>
        </w:rPr>
        <w:t xml:space="preserve"> Report </w:t>
      </w:r>
      <w:r w:rsidR="003158A8" w:rsidRPr="00E2521E">
        <w:rPr>
          <w:rFonts w:asciiTheme="minorHAnsi" w:hAnsiTheme="minorHAnsi" w:cstheme="minorHAnsi"/>
          <w:szCs w:val="22"/>
        </w:rPr>
        <w:t>on Redress and Civil Litigation</w:t>
      </w:r>
      <w:r w:rsidR="003158A8">
        <w:rPr>
          <w:rFonts w:asciiTheme="minorHAnsi" w:hAnsiTheme="minorHAnsi" w:cstheme="minorHAnsi"/>
          <w:szCs w:val="22"/>
        </w:rPr>
        <w:t xml:space="preserve"> made 99 </w:t>
      </w:r>
      <w:r w:rsidRPr="00E2521E">
        <w:rPr>
          <w:rFonts w:asciiTheme="minorHAnsi" w:hAnsiTheme="minorHAnsi" w:cstheme="minorHAnsi"/>
          <w:szCs w:val="22"/>
        </w:rPr>
        <w:t xml:space="preserve">recommendations for reforms to the civil law to make it easier for victims of sexual abuse </w:t>
      </w:r>
      <w:r>
        <w:rPr>
          <w:rFonts w:asciiTheme="minorHAnsi" w:hAnsiTheme="minorHAnsi" w:cstheme="minorHAnsi"/>
          <w:szCs w:val="22"/>
        </w:rPr>
        <w:t>where the sexual abuse occurred in an institution</w:t>
      </w:r>
      <w:r w:rsidRPr="00E2521E">
        <w:rPr>
          <w:rFonts w:asciiTheme="minorHAnsi" w:hAnsiTheme="minorHAnsi" w:cstheme="minorHAnsi"/>
          <w:szCs w:val="22"/>
        </w:rPr>
        <w:t xml:space="preserve"> to sue for damages.</w:t>
      </w:r>
    </w:p>
    <w:p w:rsidR="00922AD8" w:rsidRPr="00E2521E" w:rsidRDefault="00922AD8" w:rsidP="003158A8">
      <w:pPr>
        <w:pStyle w:val="Bulletpoints"/>
        <w:numPr>
          <w:ilvl w:val="0"/>
          <w:numId w:val="11"/>
        </w:numPr>
        <w:ind w:left="567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</w:rPr>
        <w:t xml:space="preserve">The Northern Territory Government passed legislation to implement a number of recommendations in </w:t>
      </w:r>
      <w:r>
        <w:rPr>
          <w:rFonts w:asciiTheme="minorHAnsi" w:hAnsiTheme="minorHAnsi" w:cstheme="minorHAnsi"/>
          <w:szCs w:val="22"/>
        </w:rPr>
        <w:t xml:space="preserve">the </w:t>
      </w:r>
      <w:r w:rsidRPr="00E2521E">
        <w:rPr>
          <w:rFonts w:asciiTheme="minorHAnsi" w:hAnsiTheme="minorHAnsi" w:cstheme="minorHAnsi"/>
          <w:szCs w:val="22"/>
        </w:rPr>
        <w:t>R</w:t>
      </w:r>
      <w:r>
        <w:rPr>
          <w:rFonts w:asciiTheme="minorHAnsi" w:hAnsiTheme="minorHAnsi" w:cstheme="minorHAnsi"/>
          <w:szCs w:val="22"/>
        </w:rPr>
        <w:t>eport on</w:t>
      </w:r>
      <w:r w:rsidRPr="00E2521E">
        <w:rPr>
          <w:rFonts w:asciiTheme="minorHAnsi" w:hAnsiTheme="minorHAnsi" w:cstheme="minorHAnsi"/>
          <w:szCs w:val="22"/>
        </w:rPr>
        <w:t xml:space="preserve"> Redress and Civil Litigation. The </w:t>
      </w:r>
      <w:r w:rsidRPr="00E2521E">
        <w:rPr>
          <w:rFonts w:asciiTheme="minorHAnsi" w:hAnsiTheme="minorHAnsi" w:cstheme="minorHAnsi"/>
          <w:i/>
          <w:szCs w:val="22"/>
        </w:rPr>
        <w:t>Personal Injuries (Liabilities and Damages) Amendment Act 2022</w:t>
      </w:r>
      <w:r w:rsidRPr="00E2521E">
        <w:rPr>
          <w:rFonts w:asciiTheme="minorHAnsi" w:hAnsiTheme="minorHAnsi" w:cstheme="minorHAnsi"/>
          <w:szCs w:val="22"/>
        </w:rPr>
        <w:t xml:space="preserve"> (the Amendment Act) was passed in the Northern Territory Legislative Assembly on 19 May 2022 and received assent on 2 June 2022.</w:t>
      </w:r>
    </w:p>
    <w:p w:rsidR="00922AD8" w:rsidRPr="00E2521E" w:rsidRDefault="00922AD8" w:rsidP="003158A8">
      <w:pPr>
        <w:pStyle w:val="Bulletpoints"/>
        <w:numPr>
          <w:ilvl w:val="0"/>
          <w:numId w:val="11"/>
        </w:numPr>
        <w:ind w:left="567" w:hanging="567"/>
        <w:rPr>
          <w:rFonts w:asciiTheme="minorHAnsi" w:hAnsiTheme="minorHAnsi" w:cstheme="minorHAnsi"/>
          <w:szCs w:val="22"/>
        </w:rPr>
      </w:pPr>
      <w:r w:rsidRPr="00E2521E">
        <w:rPr>
          <w:rFonts w:asciiTheme="minorHAnsi" w:hAnsiTheme="minorHAnsi" w:cstheme="minorHAnsi"/>
          <w:szCs w:val="22"/>
        </w:rPr>
        <w:t xml:space="preserve">The Amendment Act inserts a new Part 3A into the </w:t>
      </w:r>
      <w:r w:rsidRPr="00E2521E">
        <w:rPr>
          <w:rFonts w:asciiTheme="minorHAnsi" w:hAnsiTheme="minorHAnsi" w:cstheme="minorHAnsi"/>
          <w:i/>
          <w:szCs w:val="22"/>
        </w:rPr>
        <w:t xml:space="preserve">Personal Injuries (Liabilities and Damages) Act 2003 </w:t>
      </w:r>
      <w:r w:rsidRPr="00E2521E">
        <w:rPr>
          <w:rFonts w:asciiTheme="minorHAnsi" w:hAnsiTheme="minorHAnsi" w:cstheme="minorHAnsi"/>
          <w:szCs w:val="22"/>
        </w:rPr>
        <w:t xml:space="preserve">(PILDA) which </w:t>
      </w:r>
      <w:r>
        <w:rPr>
          <w:rFonts w:asciiTheme="minorHAnsi" w:hAnsiTheme="minorHAnsi" w:cstheme="minorHAnsi"/>
          <w:szCs w:val="22"/>
        </w:rPr>
        <w:t>provides for</w:t>
      </w:r>
      <w:r w:rsidRPr="00E2521E">
        <w:rPr>
          <w:rFonts w:asciiTheme="minorHAnsi" w:hAnsiTheme="minorHAnsi" w:cstheme="minorHAnsi"/>
          <w:szCs w:val="22"/>
        </w:rPr>
        <w:t xml:space="preserve"> institutional liability for child abuse</w:t>
      </w:r>
      <w:r>
        <w:rPr>
          <w:rFonts w:asciiTheme="minorHAnsi" w:hAnsiTheme="minorHAnsi" w:cstheme="minorHAnsi"/>
          <w:szCs w:val="22"/>
        </w:rPr>
        <w:t xml:space="preserve">, and creates the new </w:t>
      </w:r>
      <w:r w:rsidR="003158A8">
        <w:rPr>
          <w:rFonts w:asciiTheme="minorHAnsi" w:hAnsiTheme="minorHAnsi" w:cstheme="minorHAnsi"/>
          <w:szCs w:val="22"/>
        </w:rPr>
        <w:t>statutory duty of c</w:t>
      </w:r>
      <w:r>
        <w:rPr>
          <w:rFonts w:asciiTheme="minorHAnsi" w:hAnsiTheme="minorHAnsi" w:cstheme="minorHAnsi"/>
          <w:szCs w:val="22"/>
        </w:rPr>
        <w:t>are and provides for vicarious liability of institutions.</w:t>
      </w:r>
    </w:p>
    <w:p w:rsidR="00922AD8" w:rsidRPr="00E2521E" w:rsidRDefault="00922AD8" w:rsidP="003158A8">
      <w:pPr>
        <w:pStyle w:val="Bulletpoints"/>
        <w:numPr>
          <w:ilvl w:val="0"/>
          <w:numId w:val="11"/>
        </w:numPr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Under the amendments, i</w:t>
      </w:r>
      <w:r w:rsidRPr="00E2521E">
        <w:rPr>
          <w:rFonts w:asciiTheme="minorHAnsi" w:hAnsiTheme="minorHAnsi" w:cstheme="minorHAnsi"/>
          <w:szCs w:val="22"/>
        </w:rPr>
        <w:t xml:space="preserve">nstitutions </w:t>
      </w:r>
      <w:r>
        <w:rPr>
          <w:rFonts w:asciiTheme="minorHAnsi" w:hAnsiTheme="minorHAnsi" w:cstheme="minorHAnsi"/>
          <w:szCs w:val="22"/>
        </w:rPr>
        <w:t xml:space="preserve">will be </w:t>
      </w:r>
      <w:r w:rsidRPr="00E2521E">
        <w:rPr>
          <w:rFonts w:asciiTheme="minorHAnsi" w:hAnsiTheme="minorHAnsi" w:cstheme="minorHAnsi"/>
          <w:szCs w:val="22"/>
        </w:rPr>
        <w:t xml:space="preserve">liable for the deliberate criminal act of a person </w:t>
      </w:r>
      <w:r>
        <w:rPr>
          <w:rFonts w:asciiTheme="minorHAnsi" w:hAnsiTheme="minorHAnsi" w:cstheme="minorHAnsi"/>
          <w:szCs w:val="22"/>
        </w:rPr>
        <w:t xml:space="preserve">associated with the institution in certain circumstances. </w:t>
      </w:r>
    </w:p>
    <w:p w:rsidR="00922AD8" w:rsidRPr="00C85D08" w:rsidRDefault="00922AD8" w:rsidP="003158A8">
      <w:pPr>
        <w:pStyle w:val="Bulletpoints"/>
        <w:numPr>
          <w:ilvl w:val="0"/>
          <w:numId w:val="11"/>
        </w:numPr>
        <w:ind w:left="567" w:hanging="567"/>
        <w:rPr>
          <w:rFonts w:cstheme="minorHAnsi"/>
        </w:rPr>
      </w:pPr>
      <w:r w:rsidRPr="00E2521E">
        <w:rPr>
          <w:rFonts w:asciiTheme="minorHAnsi" w:hAnsiTheme="minorHAnsi" w:cstheme="minorHAnsi"/>
          <w:szCs w:val="22"/>
        </w:rPr>
        <w:t>RCIRCSA found that the problem for survivors</w:t>
      </w:r>
      <w:r>
        <w:rPr>
          <w:rFonts w:asciiTheme="minorHAnsi" w:hAnsiTheme="minorHAnsi" w:cstheme="minorHAnsi"/>
          <w:szCs w:val="22"/>
        </w:rPr>
        <w:t xml:space="preserve"> of abuse</w:t>
      </w:r>
      <w:r w:rsidRPr="00E2521E">
        <w:rPr>
          <w:rFonts w:asciiTheme="minorHAnsi" w:hAnsiTheme="minorHAnsi" w:cstheme="minorHAnsi"/>
          <w:szCs w:val="22"/>
        </w:rPr>
        <w:t xml:space="preserve"> who sue institutions is that their claims are generally founded upon the deliberate criminal acts of </w:t>
      </w:r>
      <w:r>
        <w:rPr>
          <w:rFonts w:asciiTheme="minorHAnsi" w:hAnsiTheme="minorHAnsi" w:cstheme="minorHAnsi"/>
          <w:szCs w:val="22"/>
        </w:rPr>
        <w:t>the</w:t>
      </w:r>
      <w:r w:rsidRPr="00E2521E">
        <w:rPr>
          <w:rFonts w:asciiTheme="minorHAnsi" w:hAnsiTheme="minorHAnsi" w:cstheme="minorHAnsi"/>
          <w:szCs w:val="22"/>
        </w:rPr>
        <w:t xml:space="preserve"> perpetrator.</w:t>
      </w:r>
      <w:r>
        <w:rPr>
          <w:rFonts w:asciiTheme="minorHAnsi" w:hAnsiTheme="minorHAnsi" w:cstheme="minorHAnsi"/>
          <w:szCs w:val="22"/>
        </w:rPr>
        <w:t xml:space="preserve"> There is no fault by the institution</w:t>
      </w:r>
      <w:r w:rsidR="003158A8">
        <w:rPr>
          <w:rFonts w:asciiTheme="minorHAnsi" w:hAnsiTheme="minorHAnsi" w:cstheme="minorHAnsi"/>
          <w:szCs w:val="22"/>
        </w:rPr>
        <w:t xml:space="preserve"> for the perpetrators’ conduct.</w:t>
      </w:r>
      <w:r w:rsidRPr="00E2521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Without this fault, </w:t>
      </w:r>
      <w:r w:rsidRPr="00E2521E">
        <w:rPr>
          <w:rFonts w:asciiTheme="minorHAnsi" w:hAnsiTheme="minorHAnsi" w:cstheme="minorHAnsi"/>
          <w:szCs w:val="22"/>
        </w:rPr>
        <w:t xml:space="preserve">Australian courts have been reluctant to </w:t>
      </w:r>
      <w:r w:rsidRPr="00E2521E">
        <w:rPr>
          <w:rFonts w:asciiTheme="minorHAnsi" w:hAnsiTheme="minorHAnsi" w:cstheme="minorHAnsi"/>
          <w:szCs w:val="22"/>
        </w:rPr>
        <w:lastRenderedPageBreak/>
        <w:t xml:space="preserve">hold </w:t>
      </w:r>
      <w:r>
        <w:rPr>
          <w:rFonts w:asciiTheme="minorHAnsi" w:hAnsiTheme="minorHAnsi" w:cstheme="minorHAnsi"/>
          <w:szCs w:val="22"/>
        </w:rPr>
        <w:t>an</w:t>
      </w:r>
      <w:r w:rsidRPr="00E2521E">
        <w:rPr>
          <w:rFonts w:asciiTheme="minorHAnsi" w:hAnsiTheme="minorHAnsi" w:cstheme="minorHAnsi"/>
          <w:szCs w:val="22"/>
        </w:rPr>
        <w:t xml:space="preserve"> institution liable to compensate survivors of child sexual abuse for deliberate criminal acts </w:t>
      </w:r>
      <w:r>
        <w:rPr>
          <w:rFonts w:asciiTheme="minorHAnsi" w:hAnsiTheme="minorHAnsi" w:cstheme="minorHAnsi"/>
          <w:szCs w:val="22"/>
        </w:rPr>
        <w:t>by</w:t>
      </w:r>
      <w:r w:rsidRPr="00E2521E">
        <w:rPr>
          <w:rFonts w:asciiTheme="minorHAnsi" w:hAnsiTheme="minorHAnsi" w:cstheme="minorHAnsi"/>
          <w:szCs w:val="22"/>
        </w:rPr>
        <w:t xml:space="preserve"> members or employees</w:t>
      </w:r>
      <w:r>
        <w:rPr>
          <w:rFonts w:asciiTheme="minorHAnsi" w:hAnsiTheme="minorHAnsi" w:cstheme="minorHAnsi"/>
          <w:szCs w:val="22"/>
        </w:rPr>
        <w:t xml:space="preserve"> of the institution</w:t>
      </w:r>
      <w:r w:rsidRPr="00E2521E">
        <w:rPr>
          <w:rFonts w:asciiTheme="minorHAnsi" w:hAnsiTheme="minorHAnsi" w:cstheme="minorHAnsi"/>
          <w:szCs w:val="22"/>
        </w:rPr>
        <w:t>.</w:t>
      </w:r>
    </w:p>
    <w:p w:rsidR="00922AD8" w:rsidRPr="00FB5275" w:rsidRDefault="00922AD8" w:rsidP="00922AD8">
      <w:pPr>
        <w:pStyle w:val="Heading1"/>
      </w:pPr>
      <w:r w:rsidRPr="00FB5275">
        <w:t>What is Vicarious Liability?</w:t>
      </w:r>
    </w:p>
    <w:p w:rsidR="00A47EFF" w:rsidRPr="00643161" w:rsidRDefault="00A47EFF" w:rsidP="003158A8">
      <w:pPr>
        <w:pStyle w:val="Bulletpoints"/>
        <w:numPr>
          <w:ilvl w:val="0"/>
          <w:numId w:val="11"/>
        </w:numPr>
        <w:ind w:left="567" w:hanging="567"/>
        <w:rPr>
          <w:rFonts w:asciiTheme="minorHAnsi" w:hAnsiTheme="minorHAnsi" w:cstheme="minorHAnsi"/>
        </w:rPr>
      </w:pPr>
      <w:r w:rsidRPr="00643161">
        <w:rPr>
          <w:rFonts w:asciiTheme="minorHAnsi" w:hAnsiTheme="minorHAnsi" w:cstheme="minorHAnsi"/>
          <w:szCs w:val="22"/>
        </w:rPr>
        <w:t>Vicarious liability is a situation where one party is held responsible for unlawful actions of a third party.</w:t>
      </w:r>
      <w:r>
        <w:rPr>
          <w:rFonts w:asciiTheme="minorHAnsi" w:hAnsiTheme="minorHAnsi" w:cstheme="minorHAnsi"/>
          <w:szCs w:val="22"/>
        </w:rPr>
        <w:t xml:space="preserve"> </w:t>
      </w:r>
    </w:p>
    <w:p w:rsidR="00922AD8" w:rsidRPr="00643161" w:rsidRDefault="00A47EFF" w:rsidP="003158A8">
      <w:pPr>
        <w:pStyle w:val="Bulletpoints"/>
        <w:numPr>
          <w:ilvl w:val="0"/>
          <w:numId w:val="1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New section 17G to be added to PI</w:t>
      </w:r>
      <w:r w:rsidR="00922AD8" w:rsidRPr="00643161">
        <w:rPr>
          <w:rFonts w:asciiTheme="minorHAnsi" w:hAnsiTheme="minorHAnsi" w:cstheme="minorHAnsi"/>
          <w:szCs w:val="22"/>
        </w:rPr>
        <w:t>LDA imposes vicarious liability on institutions for child abuse by an employee, or an individual who performs a function</w:t>
      </w:r>
      <w:r w:rsidR="003158A8">
        <w:rPr>
          <w:rFonts w:asciiTheme="minorHAnsi" w:hAnsiTheme="minorHAnsi" w:cstheme="minorHAnsi"/>
          <w:szCs w:val="22"/>
        </w:rPr>
        <w:t> </w:t>
      </w:r>
      <w:r w:rsidR="00922AD8" w:rsidRPr="00643161">
        <w:rPr>
          <w:rFonts w:asciiTheme="minorHAnsi" w:hAnsiTheme="minorHAnsi" w:cstheme="minorHAnsi"/>
          <w:szCs w:val="22"/>
        </w:rPr>
        <w:t>/</w:t>
      </w:r>
      <w:r w:rsidR="003158A8">
        <w:rPr>
          <w:rFonts w:asciiTheme="minorHAnsi" w:hAnsiTheme="minorHAnsi" w:cstheme="minorHAnsi"/>
          <w:szCs w:val="22"/>
        </w:rPr>
        <w:t> </w:t>
      </w:r>
      <w:r w:rsidR="00922AD8" w:rsidRPr="00643161">
        <w:rPr>
          <w:rFonts w:asciiTheme="minorHAnsi" w:hAnsiTheme="minorHAnsi" w:cstheme="minorHAnsi"/>
          <w:szCs w:val="22"/>
        </w:rPr>
        <w:t>role that is similar to an employee in specific circumstances.</w:t>
      </w:r>
    </w:p>
    <w:p w:rsidR="00922AD8" w:rsidRPr="00643161" w:rsidRDefault="00922AD8" w:rsidP="003158A8">
      <w:pPr>
        <w:pStyle w:val="Bulletpoints"/>
        <w:numPr>
          <w:ilvl w:val="0"/>
          <w:numId w:val="11"/>
        </w:numPr>
        <w:ind w:left="567" w:hanging="567"/>
        <w:rPr>
          <w:rFonts w:asciiTheme="minorHAnsi" w:hAnsiTheme="minorHAnsi" w:cstheme="minorHAnsi"/>
        </w:rPr>
      </w:pPr>
      <w:r w:rsidRPr="00643161">
        <w:rPr>
          <w:rFonts w:asciiTheme="minorHAnsi" w:hAnsiTheme="minorHAnsi" w:cstheme="minorHAnsi"/>
          <w:szCs w:val="22"/>
        </w:rPr>
        <w:t xml:space="preserve">This means that an institution can be held </w:t>
      </w:r>
      <w:r w:rsidR="00A47EFF">
        <w:rPr>
          <w:rFonts w:asciiTheme="minorHAnsi" w:hAnsiTheme="minorHAnsi" w:cstheme="minorHAnsi"/>
          <w:szCs w:val="22"/>
        </w:rPr>
        <w:t xml:space="preserve">legally responsible </w:t>
      </w:r>
      <w:r w:rsidRPr="00643161">
        <w:rPr>
          <w:rFonts w:asciiTheme="minorHAnsi" w:hAnsiTheme="minorHAnsi" w:cstheme="minorHAnsi"/>
          <w:szCs w:val="22"/>
        </w:rPr>
        <w:t>for abuse committed by an individual if the institution placed that person in a situation that enabled the abuse to occur</w:t>
      </w:r>
      <w:r w:rsidR="00A47EFF">
        <w:rPr>
          <w:rFonts w:asciiTheme="minorHAnsi" w:hAnsiTheme="minorHAnsi" w:cstheme="minorHAnsi"/>
          <w:szCs w:val="22"/>
        </w:rPr>
        <w:t xml:space="preserve"> (that is, the abuse occurs in the institution or in connection with the institution and the care of children by the institution)</w:t>
      </w:r>
      <w:r w:rsidRPr="00643161">
        <w:rPr>
          <w:rFonts w:asciiTheme="minorHAnsi" w:hAnsiTheme="minorHAnsi" w:cstheme="minorHAnsi"/>
          <w:szCs w:val="22"/>
        </w:rPr>
        <w:t>.</w:t>
      </w:r>
    </w:p>
    <w:p w:rsidR="00922AD8" w:rsidRPr="00E2521E" w:rsidRDefault="00922AD8" w:rsidP="00922AD8">
      <w:pPr>
        <w:pStyle w:val="Heading1"/>
      </w:pPr>
      <w:r w:rsidRPr="00E2521E">
        <w:t xml:space="preserve">When will </w:t>
      </w:r>
      <w:r>
        <w:t>the Vicarious Liability provision commence</w:t>
      </w:r>
      <w:r w:rsidRPr="00E2521E">
        <w:t xml:space="preserve">? </w:t>
      </w:r>
    </w:p>
    <w:p w:rsidR="00922AD8" w:rsidRDefault="00922AD8" w:rsidP="003158A8">
      <w:pPr>
        <w:pStyle w:val="Bulletpoints"/>
        <w:numPr>
          <w:ilvl w:val="0"/>
          <w:numId w:val="13"/>
        </w:numPr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It is proposed that the new vicarious liability provision will commence on 1 January 2023. This is the proposed date for commencement to be fixed by Gazette notice by the Administrator. </w:t>
      </w:r>
    </w:p>
    <w:p w:rsidR="00922AD8" w:rsidRPr="003A0F48" w:rsidRDefault="00922AD8" w:rsidP="003158A8">
      <w:pPr>
        <w:pStyle w:val="Bulletpoints"/>
        <w:numPr>
          <w:ilvl w:val="0"/>
          <w:numId w:val="13"/>
        </w:numPr>
        <w:ind w:left="567" w:hanging="567"/>
        <w:rPr>
          <w:rFonts w:asciiTheme="minorHAnsi" w:hAnsiTheme="minorHAnsi" w:cstheme="minorHAnsi"/>
          <w:szCs w:val="22"/>
          <w:lang w:eastAsia="en-AU"/>
        </w:rPr>
      </w:pPr>
      <w:r>
        <w:rPr>
          <w:rFonts w:asciiTheme="minorHAnsi" w:hAnsiTheme="minorHAnsi" w:cstheme="minorHAnsi"/>
          <w:szCs w:val="22"/>
        </w:rPr>
        <w:t xml:space="preserve">The deferred commencement date </w:t>
      </w:r>
      <w:r w:rsidR="00A47EFF">
        <w:rPr>
          <w:rFonts w:asciiTheme="minorHAnsi" w:hAnsiTheme="minorHAnsi" w:cstheme="minorHAnsi"/>
          <w:szCs w:val="22"/>
        </w:rPr>
        <w:t xml:space="preserve">is to provide </w:t>
      </w:r>
      <w:r>
        <w:rPr>
          <w:rFonts w:asciiTheme="minorHAnsi" w:hAnsiTheme="minorHAnsi" w:cstheme="minorHAnsi"/>
          <w:szCs w:val="22"/>
        </w:rPr>
        <w:t xml:space="preserve">institutions </w:t>
      </w:r>
      <w:r w:rsidR="00A47EFF">
        <w:rPr>
          <w:rFonts w:asciiTheme="minorHAnsi" w:hAnsiTheme="minorHAnsi" w:cstheme="minorHAnsi"/>
          <w:szCs w:val="22"/>
        </w:rPr>
        <w:t xml:space="preserve">time </w:t>
      </w:r>
      <w:r>
        <w:rPr>
          <w:rFonts w:asciiTheme="minorHAnsi" w:hAnsiTheme="minorHAnsi" w:cstheme="minorHAnsi"/>
          <w:szCs w:val="22"/>
        </w:rPr>
        <w:t xml:space="preserve">to 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assess and </w:t>
      </w:r>
      <w:r>
        <w:rPr>
          <w:rFonts w:asciiTheme="minorHAnsi" w:hAnsiTheme="minorHAnsi" w:cstheme="minorHAnsi"/>
          <w:szCs w:val="22"/>
          <w:lang w:eastAsia="en-AU"/>
        </w:rPr>
        <w:t>make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 any changes to operations, policies and procedures </w:t>
      </w:r>
      <w:r>
        <w:rPr>
          <w:rFonts w:asciiTheme="minorHAnsi" w:hAnsiTheme="minorHAnsi" w:cstheme="minorHAnsi"/>
          <w:szCs w:val="22"/>
          <w:lang w:eastAsia="en-AU"/>
        </w:rPr>
        <w:t xml:space="preserve">that ensure 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best practice outcomes for children in their care before the </w:t>
      </w:r>
      <w:r>
        <w:rPr>
          <w:rFonts w:asciiTheme="minorHAnsi" w:hAnsiTheme="minorHAnsi" w:cstheme="minorHAnsi"/>
          <w:szCs w:val="22"/>
          <w:lang w:eastAsia="en-AU"/>
        </w:rPr>
        <w:t xml:space="preserve">vicarious liability provision </w:t>
      </w:r>
      <w:r w:rsidRPr="00E2521E">
        <w:rPr>
          <w:rFonts w:asciiTheme="minorHAnsi" w:hAnsiTheme="minorHAnsi" w:cstheme="minorHAnsi"/>
          <w:szCs w:val="22"/>
          <w:lang w:eastAsia="en-AU"/>
        </w:rPr>
        <w:t>commence</w:t>
      </w:r>
      <w:r w:rsidR="00A47EFF">
        <w:rPr>
          <w:rFonts w:asciiTheme="minorHAnsi" w:hAnsiTheme="minorHAnsi" w:cstheme="minorHAnsi"/>
          <w:szCs w:val="22"/>
          <w:lang w:eastAsia="en-AU"/>
        </w:rPr>
        <w:t>s</w:t>
      </w:r>
      <w:r w:rsidRPr="00E2521E">
        <w:rPr>
          <w:rFonts w:asciiTheme="minorHAnsi" w:hAnsiTheme="minorHAnsi" w:cstheme="minorHAnsi"/>
          <w:szCs w:val="22"/>
          <w:lang w:eastAsia="en-AU"/>
        </w:rPr>
        <w:t>.</w:t>
      </w:r>
      <w:r>
        <w:rPr>
          <w:rFonts w:asciiTheme="minorHAnsi" w:hAnsiTheme="minorHAnsi" w:cstheme="minorHAnsi"/>
          <w:szCs w:val="22"/>
          <w:lang w:eastAsia="en-AU"/>
        </w:rPr>
        <w:t xml:space="preserve"> </w:t>
      </w:r>
    </w:p>
    <w:p w:rsidR="00922AD8" w:rsidRPr="00922AD8" w:rsidRDefault="00A47EFF" w:rsidP="00922AD8">
      <w:pPr>
        <w:pStyle w:val="Heading1"/>
      </w:pPr>
      <w:bookmarkStart w:id="4" w:name="_Toc101449486"/>
      <w:r w:rsidRPr="00922AD8">
        <w:t>Wh</w:t>
      </w:r>
      <w:r>
        <w:t>en</w:t>
      </w:r>
      <w:r w:rsidRPr="00922AD8">
        <w:t xml:space="preserve"> </w:t>
      </w:r>
      <w:r>
        <w:t>does</w:t>
      </w:r>
      <w:r w:rsidRPr="00922AD8">
        <w:t xml:space="preserve"> </w:t>
      </w:r>
      <w:r w:rsidR="00922AD8" w:rsidRPr="00922AD8">
        <w:t xml:space="preserve">Vicarious Liability </w:t>
      </w:r>
      <w:r>
        <w:t>arise</w:t>
      </w:r>
      <w:r w:rsidR="00922AD8" w:rsidRPr="00922AD8">
        <w:t>?</w:t>
      </w:r>
      <w:bookmarkEnd w:id="4"/>
      <w:r w:rsidR="00922AD8" w:rsidRPr="00922AD8">
        <w:t xml:space="preserve"> </w:t>
      </w:r>
    </w:p>
    <w:p w:rsidR="00922AD8" w:rsidRPr="00E2521E" w:rsidRDefault="00A47EFF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>
        <w:rPr>
          <w:rFonts w:asciiTheme="minorHAnsi" w:hAnsiTheme="minorHAnsi" w:cstheme="minorHAnsi"/>
          <w:szCs w:val="22"/>
        </w:rPr>
        <w:t>V</w:t>
      </w:r>
      <w:r w:rsidR="00922AD8" w:rsidRPr="00E2521E">
        <w:rPr>
          <w:rFonts w:asciiTheme="minorHAnsi" w:hAnsiTheme="minorHAnsi" w:cstheme="minorHAnsi"/>
          <w:szCs w:val="22"/>
        </w:rPr>
        <w:t xml:space="preserve">icarious liability </w:t>
      </w:r>
      <w:r>
        <w:rPr>
          <w:rFonts w:asciiTheme="minorHAnsi" w:hAnsiTheme="minorHAnsi" w:cstheme="minorHAnsi"/>
          <w:szCs w:val="22"/>
        </w:rPr>
        <w:t>will apply to</w:t>
      </w:r>
      <w:r w:rsidRPr="00E2521E">
        <w:rPr>
          <w:rFonts w:asciiTheme="minorHAnsi" w:hAnsiTheme="minorHAnsi" w:cstheme="minorHAnsi"/>
          <w:szCs w:val="22"/>
        </w:rPr>
        <w:t xml:space="preserve"> </w:t>
      </w:r>
      <w:r w:rsidR="00922AD8" w:rsidRPr="00E2521E">
        <w:rPr>
          <w:rFonts w:asciiTheme="minorHAnsi" w:hAnsiTheme="minorHAnsi" w:cstheme="minorHAnsi"/>
          <w:szCs w:val="22"/>
        </w:rPr>
        <w:t xml:space="preserve">institutions for child abuse carried out by an employee, or an individual who </w:t>
      </w:r>
      <w:r w:rsidR="00922AD8">
        <w:rPr>
          <w:rFonts w:asciiTheme="minorHAnsi" w:hAnsiTheme="minorHAnsi" w:cstheme="minorHAnsi"/>
          <w:szCs w:val="22"/>
        </w:rPr>
        <w:t>performs a function</w:t>
      </w:r>
      <w:r w:rsidR="003158A8">
        <w:rPr>
          <w:rFonts w:asciiTheme="minorHAnsi" w:hAnsiTheme="minorHAnsi" w:cstheme="minorHAnsi"/>
          <w:szCs w:val="22"/>
        </w:rPr>
        <w:t> </w:t>
      </w:r>
      <w:r w:rsidR="00922AD8">
        <w:rPr>
          <w:rFonts w:asciiTheme="minorHAnsi" w:hAnsiTheme="minorHAnsi" w:cstheme="minorHAnsi"/>
          <w:szCs w:val="22"/>
        </w:rPr>
        <w:t>/</w:t>
      </w:r>
      <w:r w:rsidR="003158A8">
        <w:rPr>
          <w:rFonts w:asciiTheme="minorHAnsi" w:hAnsiTheme="minorHAnsi" w:cstheme="minorHAnsi"/>
          <w:szCs w:val="22"/>
        </w:rPr>
        <w:t> </w:t>
      </w:r>
      <w:r w:rsidR="00922AD8">
        <w:rPr>
          <w:rFonts w:asciiTheme="minorHAnsi" w:hAnsiTheme="minorHAnsi" w:cstheme="minorHAnsi"/>
          <w:szCs w:val="22"/>
        </w:rPr>
        <w:t xml:space="preserve">role that is similar </w:t>
      </w:r>
      <w:r w:rsidR="00922AD8" w:rsidRPr="00E2521E">
        <w:rPr>
          <w:rFonts w:asciiTheme="minorHAnsi" w:hAnsiTheme="minorHAnsi" w:cstheme="minorHAnsi"/>
          <w:szCs w:val="22"/>
        </w:rPr>
        <w:t xml:space="preserve">to an employee. </w:t>
      </w:r>
    </w:p>
    <w:p w:rsidR="00922AD8" w:rsidRPr="00E2521E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</w:t>
      </w:r>
      <w:r w:rsidRPr="00E2521E">
        <w:rPr>
          <w:rFonts w:asciiTheme="minorHAnsi" w:hAnsiTheme="minorHAnsi" w:cstheme="minorHAnsi"/>
          <w:szCs w:val="22"/>
        </w:rPr>
        <w:t xml:space="preserve">n institution </w:t>
      </w:r>
      <w:r>
        <w:rPr>
          <w:rFonts w:asciiTheme="minorHAnsi" w:hAnsiTheme="minorHAnsi" w:cstheme="minorHAnsi"/>
          <w:szCs w:val="22"/>
        </w:rPr>
        <w:t>can be held</w:t>
      </w:r>
      <w:r w:rsidRPr="00E2521E">
        <w:rPr>
          <w:rFonts w:asciiTheme="minorHAnsi" w:hAnsiTheme="minorHAnsi" w:cstheme="minorHAnsi"/>
          <w:szCs w:val="22"/>
        </w:rPr>
        <w:t xml:space="preserve"> vicariously liable for child abuse if: 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ind w:left="1134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employee or </w:t>
      </w:r>
      <w:r w:rsidRPr="00E2521E">
        <w:rPr>
          <w:rFonts w:asciiTheme="minorHAnsi" w:hAnsiTheme="minorHAnsi" w:cstheme="minorHAnsi"/>
          <w:szCs w:val="22"/>
        </w:rPr>
        <w:t xml:space="preserve">individual akin to an employee performs a role which </w:t>
      </w:r>
      <w:r>
        <w:rPr>
          <w:rFonts w:asciiTheme="minorHAnsi" w:hAnsiTheme="minorHAnsi" w:cstheme="minorHAnsi"/>
          <w:szCs w:val="22"/>
        </w:rPr>
        <w:t xml:space="preserve">allows </w:t>
      </w:r>
      <w:r w:rsidRPr="00E2521E">
        <w:rPr>
          <w:rFonts w:asciiTheme="minorHAnsi" w:hAnsiTheme="minorHAnsi" w:cstheme="minorHAnsi"/>
          <w:szCs w:val="22"/>
        </w:rPr>
        <w:t>for child abuse</w:t>
      </w:r>
      <w:r>
        <w:rPr>
          <w:rFonts w:asciiTheme="minorHAnsi" w:hAnsiTheme="minorHAnsi" w:cstheme="minorHAnsi"/>
          <w:szCs w:val="22"/>
        </w:rPr>
        <w:t xml:space="preserve"> to occur</w:t>
      </w:r>
      <w:r w:rsidRPr="00E2521E">
        <w:rPr>
          <w:rFonts w:asciiTheme="minorHAnsi" w:hAnsiTheme="minorHAnsi" w:cstheme="minorHAnsi"/>
          <w:szCs w:val="22"/>
        </w:rPr>
        <w:t xml:space="preserve">; </w:t>
      </w:r>
      <w:r>
        <w:rPr>
          <w:rFonts w:asciiTheme="minorHAnsi" w:hAnsiTheme="minorHAnsi" w:cstheme="minorHAnsi"/>
          <w:szCs w:val="22"/>
        </w:rPr>
        <w:t>and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ind w:left="1134" w:hanging="567"/>
        <w:rPr>
          <w:rFonts w:asciiTheme="minorHAnsi" w:hAnsiTheme="minorHAnsi" w:cstheme="minorHAnsi"/>
          <w:szCs w:val="22"/>
        </w:rPr>
      </w:pPr>
      <w:proofErr w:type="gramStart"/>
      <w:r w:rsidRPr="00E2521E">
        <w:rPr>
          <w:rFonts w:asciiTheme="minorHAnsi" w:hAnsiTheme="minorHAnsi" w:cstheme="minorHAnsi"/>
          <w:szCs w:val="22"/>
        </w:rPr>
        <w:t>the</w:t>
      </w:r>
      <w:proofErr w:type="gramEnd"/>
      <w:r w:rsidRPr="00E2521E">
        <w:rPr>
          <w:rFonts w:asciiTheme="minorHAnsi" w:hAnsiTheme="minorHAnsi" w:cstheme="minorHAnsi"/>
          <w:szCs w:val="22"/>
        </w:rPr>
        <w:t xml:space="preserve"> employee or an individual akin to an employee takes advantage of </w:t>
      </w:r>
      <w:r>
        <w:rPr>
          <w:rFonts w:asciiTheme="minorHAnsi" w:hAnsiTheme="minorHAnsi" w:cstheme="minorHAnsi"/>
          <w:szCs w:val="22"/>
        </w:rPr>
        <w:t>this</w:t>
      </w:r>
      <w:r w:rsidRPr="00E2521E">
        <w:rPr>
          <w:rFonts w:asciiTheme="minorHAnsi" w:hAnsiTheme="minorHAnsi" w:cstheme="minorHAnsi"/>
          <w:szCs w:val="22"/>
        </w:rPr>
        <w:t xml:space="preserve"> to commit child abuse. </w:t>
      </w:r>
    </w:p>
    <w:p w:rsidR="00922AD8" w:rsidRPr="00E2521E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>
        <w:rPr>
          <w:rFonts w:asciiTheme="minorHAnsi" w:hAnsiTheme="minorHAnsi" w:cstheme="minorHAnsi"/>
          <w:szCs w:val="22"/>
          <w:lang w:eastAsia="en-AU"/>
        </w:rPr>
        <w:t>The extension to individuals who are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 ‘akin to employees’ </w:t>
      </w:r>
      <w:r>
        <w:rPr>
          <w:rFonts w:asciiTheme="minorHAnsi" w:hAnsiTheme="minorHAnsi" w:cstheme="minorHAnsi"/>
          <w:szCs w:val="22"/>
          <w:lang w:eastAsia="en-AU"/>
        </w:rPr>
        <w:t>means that institutions may be liable for individuals who are not strictly employees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. </w:t>
      </w:r>
    </w:p>
    <w:p w:rsidR="00922AD8" w:rsidRPr="00E2521E" w:rsidRDefault="00922AD8" w:rsidP="003158A8">
      <w:pPr>
        <w:pStyle w:val="Bulletpoints"/>
        <w:keepNext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>
        <w:rPr>
          <w:rFonts w:asciiTheme="minorHAnsi" w:hAnsiTheme="minorHAnsi" w:cstheme="minorHAnsi"/>
          <w:szCs w:val="22"/>
          <w:lang w:eastAsia="en-AU"/>
        </w:rPr>
        <w:lastRenderedPageBreak/>
        <w:t xml:space="preserve">To determine if the individual is in a </w:t>
      </w:r>
      <w:r w:rsidRPr="00E2521E">
        <w:rPr>
          <w:rFonts w:asciiTheme="minorHAnsi" w:hAnsiTheme="minorHAnsi" w:cstheme="minorHAnsi"/>
          <w:szCs w:val="22"/>
        </w:rPr>
        <w:t xml:space="preserve">position that </w:t>
      </w:r>
      <w:r>
        <w:rPr>
          <w:rFonts w:asciiTheme="minorHAnsi" w:hAnsiTheme="minorHAnsi" w:cstheme="minorHAnsi"/>
          <w:szCs w:val="22"/>
        </w:rPr>
        <w:t>allows</w:t>
      </w:r>
      <w:r w:rsidRPr="00E2521E">
        <w:rPr>
          <w:rFonts w:asciiTheme="minorHAnsi" w:hAnsiTheme="minorHAnsi" w:cstheme="minorHAnsi"/>
          <w:szCs w:val="22"/>
        </w:rPr>
        <w:t xml:space="preserve"> the abuse, a </w:t>
      </w:r>
      <w:r w:rsidR="003158A8">
        <w:rPr>
          <w:rFonts w:asciiTheme="minorHAnsi" w:hAnsiTheme="minorHAnsi" w:cstheme="minorHAnsi"/>
          <w:szCs w:val="22"/>
        </w:rPr>
        <w:t>c</w:t>
      </w:r>
      <w:r w:rsidR="003158A8" w:rsidRPr="00E2521E">
        <w:rPr>
          <w:rFonts w:asciiTheme="minorHAnsi" w:hAnsiTheme="minorHAnsi" w:cstheme="minorHAnsi"/>
          <w:szCs w:val="22"/>
        </w:rPr>
        <w:t xml:space="preserve">ourt </w:t>
      </w:r>
      <w:r>
        <w:rPr>
          <w:rFonts w:asciiTheme="minorHAnsi" w:hAnsiTheme="minorHAnsi" w:cstheme="minorHAnsi"/>
          <w:szCs w:val="22"/>
        </w:rPr>
        <w:t>will</w:t>
      </w:r>
      <w:r w:rsidRPr="00E2521E">
        <w:rPr>
          <w:rFonts w:asciiTheme="minorHAnsi" w:hAnsiTheme="minorHAnsi" w:cstheme="minorHAnsi"/>
          <w:szCs w:val="22"/>
        </w:rPr>
        <w:t xml:space="preserve"> look at whether the institution placed the person in a position where they had: 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</w:rPr>
        <w:t xml:space="preserve">authority, power or control over the child; 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</w:rPr>
        <w:t>the trust of the child; or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ind w:left="1134" w:hanging="567"/>
        <w:rPr>
          <w:rFonts w:asciiTheme="minorHAnsi" w:hAnsiTheme="minorHAnsi" w:cstheme="minorHAnsi"/>
          <w:szCs w:val="22"/>
          <w:lang w:eastAsia="en-AU"/>
        </w:rPr>
      </w:pPr>
      <w:proofErr w:type="gramStart"/>
      <w:r w:rsidRPr="00E2521E">
        <w:rPr>
          <w:rFonts w:asciiTheme="minorHAnsi" w:hAnsiTheme="minorHAnsi" w:cstheme="minorHAnsi"/>
          <w:szCs w:val="22"/>
        </w:rPr>
        <w:t>the</w:t>
      </w:r>
      <w:proofErr w:type="gramEnd"/>
      <w:r w:rsidRPr="00E2521E">
        <w:rPr>
          <w:rFonts w:asciiTheme="minorHAnsi" w:hAnsiTheme="minorHAnsi" w:cstheme="minorHAnsi"/>
          <w:szCs w:val="22"/>
        </w:rPr>
        <w:t xml:space="preserve"> ability to achieve intimacy with the child.</w:t>
      </w:r>
    </w:p>
    <w:p w:rsidR="00922AD8" w:rsidRPr="00E2521E" w:rsidRDefault="00922AD8" w:rsidP="00922AD8">
      <w:pPr>
        <w:pStyle w:val="Heading1"/>
      </w:pPr>
      <w:bookmarkStart w:id="5" w:name="_Toc101449488"/>
      <w:r w:rsidRPr="00E2521E">
        <w:t>Who is ‘an individual akin to an employee’?</w:t>
      </w:r>
      <w:bookmarkEnd w:id="5"/>
    </w:p>
    <w:p w:rsidR="00922AD8" w:rsidRPr="00E2521E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 xml:space="preserve">An ‘individual akin to </w:t>
      </w:r>
      <w:r>
        <w:rPr>
          <w:rFonts w:asciiTheme="minorHAnsi" w:hAnsiTheme="minorHAnsi" w:cstheme="minorHAnsi"/>
          <w:szCs w:val="22"/>
          <w:lang w:eastAsia="en-AU"/>
        </w:rPr>
        <w:t>employee’ is defined in the legislation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 as an individual who: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ind w:left="1134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 xml:space="preserve">carries out an activity (whether a series of activities or a single act) that enables the institution to perform its functions, and </w:t>
      </w:r>
    </w:p>
    <w:p w:rsidR="00922AD8" w:rsidRPr="00E2521E" w:rsidRDefault="00922AD8" w:rsidP="003158A8">
      <w:pPr>
        <w:pStyle w:val="Bulletpoints"/>
        <w:numPr>
          <w:ilvl w:val="1"/>
          <w:numId w:val="9"/>
        </w:numPr>
        <w:tabs>
          <w:tab w:val="clear" w:pos="1440"/>
        </w:tabs>
        <w:ind w:left="1134" w:hanging="567"/>
        <w:rPr>
          <w:rFonts w:asciiTheme="minorHAnsi" w:hAnsiTheme="minorHAnsi" w:cstheme="minorHAnsi"/>
          <w:szCs w:val="22"/>
          <w:lang w:eastAsia="en-AU"/>
        </w:rPr>
      </w:pPr>
      <w:proofErr w:type="gramStart"/>
      <w:r w:rsidRPr="00E2521E">
        <w:rPr>
          <w:rFonts w:asciiTheme="minorHAnsi" w:hAnsiTheme="minorHAnsi" w:cstheme="minorHAnsi"/>
          <w:szCs w:val="22"/>
          <w:lang w:eastAsia="en-AU"/>
        </w:rPr>
        <w:t>carries</w:t>
      </w:r>
      <w:proofErr w:type="gramEnd"/>
      <w:r w:rsidRPr="00E2521E">
        <w:rPr>
          <w:rFonts w:asciiTheme="minorHAnsi" w:hAnsiTheme="minorHAnsi" w:cstheme="minorHAnsi"/>
          <w:szCs w:val="22"/>
          <w:lang w:eastAsia="en-AU"/>
        </w:rPr>
        <w:t xml:space="preserve"> out that activity with the intention to benefit the institution.</w:t>
      </w:r>
    </w:p>
    <w:p w:rsidR="00922AD8" w:rsidRPr="00E2521E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>
        <w:rPr>
          <w:rFonts w:asciiTheme="minorHAnsi" w:hAnsiTheme="minorHAnsi" w:cstheme="minorHAnsi"/>
          <w:szCs w:val="22"/>
          <w:lang w:eastAsia="en-AU"/>
        </w:rPr>
        <w:t>The legislation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 makes it clear that an ‘individual akin to employee’ will not include foster carers conducting activities for the purpose of a placement arrangement under section 78 of the </w:t>
      </w:r>
      <w:r w:rsidRPr="00E2521E">
        <w:rPr>
          <w:rFonts w:asciiTheme="minorHAnsi" w:hAnsiTheme="minorHAnsi" w:cstheme="minorHAnsi"/>
          <w:i/>
          <w:szCs w:val="22"/>
          <w:lang w:eastAsia="en-AU"/>
        </w:rPr>
        <w:t>Care and Protection of Children Act 2007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 in respect of a child. This is consistent with </w:t>
      </w:r>
      <w:r w:rsidR="00A47EFF">
        <w:rPr>
          <w:rFonts w:asciiTheme="minorHAnsi" w:hAnsiTheme="minorHAnsi" w:cstheme="minorHAnsi"/>
          <w:szCs w:val="22"/>
          <w:lang w:eastAsia="en-AU"/>
        </w:rPr>
        <w:t xml:space="preserve">the application of vicarious liability in 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other jurisdictions. </w:t>
      </w:r>
    </w:p>
    <w:p w:rsidR="00922AD8" w:rsidRPr="00E2521E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 xml:space="preserve">An ‘individual akin to employee’ will also not include an individual carrying out activities under a contract for services or corporation that is independent from the institution. </w:t>
      </w:r>
      <w:r w:rsidRPr="00E2521E">
        <w:rPr>
          <w:rFonts w:asciiTheme="minorHAnsi" w:hAnsiTheme="minorHAnsi" w:cstheme="minorHAnsi"/>
          <w:szCs w:val="22"/>
        </w:rPr>
        <w:t xml:space="preserve">This would include, for example, a gardener attending school grounds for the purposes of conducting a gardening business. </w:t>
      </w:r>
      <w:r w:rsidRPr="00E2521E">
        <w:rPr>
          <w:rFonts w:asciiTheme="minorHAnsi" w:hAnsiTheme="minorHAnsi" w:cstheme="minorHAnsi"/>
          <w:szCs w:val="22"/>
          <w:lang w:eastAsia="en-AU"/>
        </w:rPr>
        <w:t>This is consistent with other jurisdictions.</w:t>
      </w:r>
      <w:r w:rsidR="00A47EFF">
        <w:rPr>
          <w:rFonts w:asciiTheme="minorHAnsi" w:hAnsiTheme="minorHAnsi" w:cstheme="minorHAnsi"/>
          <w:szCs w:val="22"/>
          <w:lang w:eastAsia="en-AU"/>
        </w:rPr>
        <w:t xml:space="preserve"> </w:t>
      </w:r>
    </w:p>
    <w:p w:rsidR="00922AD8" w:rsidRPr="00E2521E" w:rsidRDefault="00922AD8" w:rsidP="00922AD8">
      <w:pPr>
        <w:pStyle w:val="Heading1"/>
      </w:pPr>
      <w:bookmarkStart w:id="6" w:name="_Toc101449489"/>
      <w:r w:rsidRPr="00E2521E">
        <w:t xml:space="preserve">How will the </w:t>
      </w:r>
      <w:r>
        <w:t>S</w:t>
      </w:r>
      <w:r w:rsidRPr="00E2521E">
        <w:t xml:space="preserve">tatutory </w:t>
      </w:r>
      <w:r>
        <w:t>D</w:t>
      </w:r>
      <w:r w:rsidRPr="00E2521E">
        <w:t xml:space="preserve">uty of </w:t>
      </w:r>
      <w:r>
        <w:t>C</w:t>
      </w:r>
      <w:r w:rsidRPr="00E2521E">
        <w:t xml:space="preserve">are and </w:t>
      </w:r>
      <w:r>
        <w:t>V</w:t>
      </w:r>
      <w:r w:rsidRPr="00E2521E">
        <w:t xml:space="preserve">icarious </w:t>
      </w:r>
      <w:r>
        <w:t>L</w:t>
      </w:r>
      <w:r w:rsidRPr="00E2521E">
        <w:t xml:space="preserve">iability provisions interact? Why </w:t>
      </w:r>
      <w:r w:rsidR="00A47EFF">
        <w:t>is it</w:t>
      </w:r>
      <w:r w:rsidRPr="00E2521E">
        <w:t xml:space="preserve"> necessary</w:t>
      </w:r>
      <w:r w:rsidR="00A47EFF">
        <w:t xml:space="preserve"> to have both provisions</w:t>
      </w:r>
      <w:r w:rsidRPr="00E2521E">
        <w:t>?</w:t>
      </w:r>
      <w:bookmarkEnd w:id="6"/>
      <w:r w:rsidRPr="00E2521E">
        <w:t xml:space="preserve"> </w:t>
      </w:r>
    </w:p>
    <w:p w:rsidR="00922AD8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>
        <w:rPr>
          <w:rFonts w:asciiTheme="minorHAnsi" w:hAnsiTheme="minorHAnsi" w:cstheme="minorHAnsi"/>
          <w:szCs w:val="22"/>
          <w:lang w:eastAsia="en-AU"/>
        </w:rPr>
        <w:t xml:space="preserve">Fact Sheet 1 provides information on the new </w:t>
      </w:r>
      <w:r w:rsidR="003158A8">
        <w:rPr>
          <w:rFonts w:asciiTheme="minorHAnsi" w:hAnsiTheme="minorHAnsi" w:cstheme="minorHAnsi"/>
          <w:szCs w:val="22"/>
          <w:lang w:eastAsia="en-AU"/>
        </w:rPr>
        <w:t>statutory duty of care</w:t>
      </w:r>
      <w:r>
        <w:rPr>
          <w:rFonts w:asciiTheme="minorHAnsi" w:hAnsiTheme="minorHAnsi" w:cstheme="minorHAnsi"/>
          <w:szCs w:val="22"/>
          <w:lang w:eastAsia="en-AU"/>
        </w:rPr>
        <w:t xml:space="preserve">. </w:t>
      </w:r>
    </w:p>
    <w:p w:rsidR="00922AD8" w:rsidRPr="00E2521E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>The</w:t>
      </w:r>
      <w:r w:rsidR="00A47EFF">
        <w:rPr>
          <w:rFonts w:asciiTheme="minorHAnsi" w:hAnsiTheme="minorHAnsi" w:cstheme="minorHAnsi"/>
          <w:szCs w:val="22"/>
          <w:lang w:eastAsia="en-AU"/>
        </w:rPr>
        <w:t xml:space="preserve">re are separate causes of action with the </w:t>
      </w:r>
      <w:r w:rsidR="003158A8">
        <w:rPr>
          <w:rFonts w:asciiTheme="minorHAnsi" w:hAnsiTheme="minorHAnsi" w:cstheme="minorHAnsi"/>
          <w:szCs w:val="22"/>
          <w:lang w:eastAsia="en-AU"/>
        </w:rPr>
        <w:t>s</w:t>
      </w:r>
      <w:r w:rsidR="003158A8" w:rsidRPr="00E2521E">
        <w:rPr>
          <w:rFonts w:asciiTheme="minorHAnsi" w:hAnsiTheme="minorHAnsi" w:cstheme="minorHAnsi"/>
          <w:szCs w:val="22"/>
          <w:lang w:eastAsia="en-AU"/>
        </w:rPr>
        <w:t xml:space="preserve">tatutory </w:t>
      </w:r>
      <w:r w:rsidR="003158A8">
        <w:rPr>
          <w:rFonts w:asciiTheme="minorHAnsi" w:hAnsiTheme="minorHAnsi" w:cstheme="minorHAnsi"/>
          <w:szCs w:val="22"/>
          <w:lang w:eastAsia="en-AU"/>
        </w:rPr>
        <w:t>d</w:t>
      </w:r>
      <w:r w:rsidR="003158A8" w:rsidRPr="00E2521E">
        <w:rPr>
          <w:rFonts w:asciiTheme="minorHAnsi" w:hAnsiTheme="minorHAnsi" w:cstheme="minorHAnsi"/>
          <w:szCs w:val="22"/>
          <w:lang w:eastAsia="en-AU"/>
        </w:rPr>
        <w:t xml:space="preserve">uty of </w:t>
      </w:r>
      <w:r w:rsidR="003158A8">
        <w:rPr>
          <w:rFonts w:asciiTheme="minorHAnsi" w:hAnsiTheme="minorHAnsi" w:cstheme="minorHAnsi"/>
          <w:szCs w:val="22"/>
          <w:lang w:eastAsia="en-AU"/>
        </w:rPr>
        <w:t>c</w:t>
      </w:r>
      <w:r w:rsidR="003158A8" w:rsidRPr="00E2521E">
        <w:rPr>
          <w:rFonts w:asciiTheme="minorHAnsi" w:hAnsiTheme="minorHAnsi" w:cstheme="minorHAnsi"/>
          <w:szCs w:val="22"/>
          <w:lang w:eastAsia="en-AU"/>
        </w:rPr>
        <w:t xml:space="preserve">are and </w:t>
      </w:r>
      <w:r w:rsidR="003158A8">
        <w:rPr>
          <w:rFonts w:asciiTheme="minorHAnsi" w:hAnsiTheme="minorHAnsi" w:cstheme="minorHAnsi"/>
          <w:szCs w:val="22"/>
          <w:lang w:eastAsia="en-AU"/>
        </w:rPr>
        <w:t>v</w:t>
      </w:r>
      <w:r w:rsidR="003158A8" w:rsidRPr="00E2521E">
        <w:rPr>
          <w:rFonts w:asciiTheme="minorHAnsi" w:hAnsiTheme="minorHAnsi" w:cstheme="minorHAnsi"/>
          <w:szCs w:val="22"/>
          <w:lang w:eastAsia="en-AU"/>
        </w:rPr>
        <w:t xml:space="preserve">icarious </w:t>
      </w:r>
      <w:r w:rsidR="003158A8">
        <w:rPr>
          <w:rFonts w:asciiTheme="minorHAnsi" w:hAnsiTheme="minorHAnsi" w:cstheme="minorHAnsi"/>
          <w:szCs w:val="22"/>
          <w:lang w:eastAsia="en-AU"/>
        </w:rPr>
        <w:t>l</w:t>
      </w:r>
      <w:r w:rsidR="003158A8" w:rsidRPr="00E2521E">
        <w:rPr>
          <w:rFonts w:asciiTheme="minorHAnsi" w:hAnsiTheme="minorHAnsi" w:cstheme="minorHAnsi"/>
          <w:szCs w:val="22"/>
          <w:lang w:eastAsia="en-AU"/>
        </w:rPr>
        <w:t>iability</w:t>
      </w:r>
      <w:r w:rsidRPr="00E2521E">
        <w:rPr>
          <w:rFonts w:asciiTheme="minorHAnsi" w:hAnsiTheme="minorHAnsi" w:cstheme="minorHAnsi"/>
          <w:szCs w:val="22"/>
          <w:lang w:eastAsia="en-AU"/>
        </w:rPr>
        <w:t>. This reflects the existing position under the common law</w:t>
      </w:r>
      <w:r w:rsidR="00A47EFF">
        <w:rPr>
          <w:rFonts w:asciiTheme="minorHAnsi" w:hAnsiTheme="minorHAnsi" w:cstheme="minorHAnsi"/>
          <w:szCs w:val="22"/>
          <w:lang w:eastAsia="en-AU"/>
        </w:rPr>
        <w:t xml:space="preserve"> for duties of care and vicarious liability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. </w:t>
      </w:r>
      <w:r w:rsidR="008B6AC2">
        <w:rPr>
          <w:rFonts w:asciiTheme="minorHAnsi" w:hAnsiTheme="minorHAnsi" w:cstheme="minorHAnsi"/>
          <w:szCs w:val="22"/>
          <w:lang w:eastAsia="en-AU"/>
        </w:rPr>
        <w:t>A</w:t>
      </w:r>
      <w:r w:rsidR="008B6AC2" w:rsidRPr="00E2521E">
        <w:rPr>
          <w:rFonts w:asciiTheme="minorHAnsi" w:hAnsiTheme="minorHAnsi" w:cstheme="minorHAnsi"/>
          <w:szCs w:val="22"/>
          <w:lang w:eastAsia="en-AU"/>
        </w:rPr>
        <w:t xml:space="preserve"> 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victim is able to decide which cause of action to </w:t>
      </w:r>
      <w:r>
        <w:rPr>
          <w:rFonts w:asciiTheme="minorHAnsi" w:hAnsiTheme="minorHAnsi" w:cstheme="minorHAnsi"/>
          <w:szCs w:val="22"/>
          <w:lang w:eastAsia="en-AU"/>
        </w:rPr>
        <w:t>pursue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 </w:t>
      </w:r>
      <w:r w:rsidR="008B6AC2">
        <w:rPr>
          <w:rFonts w:asciiTheme="minorHAnsi" w:hAnsiTheme="minorHAnsi" w:cstheme="minorHAnsi"/>
          <w:szCs w:val="22"/>
          <w:lang w:eastAsia="en-AU"/>
        </w:rPr>
        <w:t xml:space="preserve">for abuse within an institution 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and may make a claim under either or both causes of action, but cannot be compensated twice for the same abuse. </w:t>
      </w:r>
    </w:p>
    <w:p w:rsidR="00922AD8" w:rsidRPr="00E2521E" w:rsidRDefault="00922AD8" w:rsidP="00922AD8">
      <w:pPr>
        <w:pStyle w:val="Heading1"/>
      </w:pPr>
      <w:bookmarkStart w:id="7" w:name="_Toc101449479"/>
      <w:r>
        <w:lastRenderedPageBreak/>
        <w:t>What is</w:t>
      </w:r>
      <w:r w:rsidRPr="00E2521E">
        <w:t xml:space="preserve"> ‘child abuse’ </w:t>
      </w:r>
      <w:r>
        <w:t>for the new vicarious liability provisions</w:t>
      </w:r>
      <w:r w:rsidRPr="00E2521E">
        <w:t xml:space="preserve">? </w:t>
      </w:r>
      <w:r>
        <w:t>Is it</w:t>
      </w:r>
      <w:r w:rsidRPr="00E2521E">
        <w:t xml:space="preserve"> </w:t>
      </w:r>
      <w:r>
        <w:t>more</w:t>
      </w:r>
      <w:r w:rsidRPr="00E2521E">
        <w:t xml:space="preserve"> than sexual abuse?</w:t>
      </w:r>
      <w:bookmarkEnd w:id="7"/>
      <w:r w:rsidRPr="00E2521E">
        <w:t xml:space="preserve"> </w:t>
      </w:r>
    </w:p>
    <w:p w:rsidR="00922AD8" w:rsidRPr="00E2521E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  <w:lang w:eastAsia="en-AU"/>
        </w:rPr>
        <w:t xml:space="preserve">‘Child abuse’ is defined to mean sexual abuse, serious physical abuse </w:t>
      </w:r>
      <w:r w:rsidR="008B6AC2">
        <w:rPr>
          <w:rFonts w:asciiTheme="minorHAnsi" w:hAnsiTheme="minorHAnsi" w:cstheme="minorHAnsi"/>
          <w:szCs w:val="22"/>
          <w:lang w:eastAsia="en-AU"/>
        </w:rPr>
        <w:t>of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 a child and psychological abuse that arises from either </w:t>
      </w:r>
      <w:r>
        <w:rPr>
          <w:rFonts w:asciiTheme="minorHAnsi" w:hAnsiTheme="minorHAnsi" w:cstheme="minorHAnsi"/>
          <w:szCs w:val="22"/>
          <w:lang w:eastAsia="en-AU"/>
        </w:rPr>
        <w:t>sexual abuse or serious physical abuse</w:t>
      </w:r>
      <w:r w:rsidRPr="00E2521E">
        <w:rPr>
          <w:rFonts w:asciiTheme="minorHAnsi" w:hAnsiTheme="minorHAnsi" w:cstheme="minorHAnsi"/>
          <w:szCs w:val="22"/>
          <w:lang w:eastAsia="en-AU"/>
        </w:rPr>
        <w:t xml:space="preserve">. </w:t>
      </w:r>
    </w:p>
    <w:p w:rsidR="00922AD8" w:rsidRPr="00E2521E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>
        <w:rPr>
          <w:rFonts w:asciiTheme="minorHAnsi" w:hAnsiTheme="minorHAnsi" w:cstheme="minorHAnsi"/>
          <w:szCs w:val="22"/>
        </w:rPr>
        <w:t>S</w:t>
      </w:r>
      <w:r w:rsidRPr="00E2521E">
        <w:rPr>
          <w:rFonts w:asciiTheme="minorHAnsi" w:hAnsiTheme="minorHAnsi" w:cstheme="minorHAnsi"/>
          <w:szCs w:val="22"/>
        </w:rPr>
        <w:t xml:space="preserve">erious physical abuse can cause similar damage to sexual abuse and </w:t>
      </w:r>
      <w:r w:rsidR="003158A8">
        <w:rPr>
          <w:rFonts w:asciiTheme="minorHAnsi" w:hAnsiTheme="minorHAnsi" w:cstheme="minorHAnsi"/>
          <w:szCs w:val="22"/>
        </w:rPr>
        <w:t>often the two types of abuse co</w:t>
      </w:r>
      <w:r w:rsidR="003158A8">
        <w:rPr>
          <w:rFonts w:asciiTheme="minorHAnsi" w:hAnsiTheme="minorHAnsi" w:cstheme="minorHAnsi"/>
          <w:szCs w:val="22"/>
        </w:rPr>
        <w:noBreakHyphen/>
      </w:r>
      <w:r w:rsidRPr="00E2521E">
        <w:rPr>
          <w:rFonts w:asciiTheme="minorHAnsi" w:hAnsiTheme="minorHAnsi" w:cstheme="minorHAnsi"/>
          <w:szCs w:val="22"/>
        </w:rPr>
        <w:t xml:space="preserve">occur. </w:t>
      </w:r>
    </w:p>
    <w:p w:rsidR="00922AD8" w:rsidRPr="00E2521E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szCs w:val="22"/>
          <w:lang w:eastAsia="en-AU"/>
        </w:rPr>
      </w:pPr>
      <w:r w:rsidRPr="00E2521E">
        <w:rPr>
          <w:rFonts w:asciiTheme="minorHAnsi" w:hAnsiTheme="minorHAnsi" w:cstheme="minorHAnsi"/>
          <w:szCs w:val="22"/>
        </w:rPr>
        <w:t xml:space="preserve">The definition of ‘child abuse’ is consistent with the definition in the </w:t>
      </w:r>
      <w:r w:rsidRPr="00E2521E">
        <w:rPr>
          <w:rFonts w:asciiTheme="minorHAnsi" w:hAnsiTheme="minorHAnsi" w:cstheme="minorHAnsi"/>
          <w:i/>
          <w:iCs w:val="0"/>
          <w:szCs w:val="22"/>
        </w:rPr>
        <w:t>Limitation Amendment (Child Abuse) Act 2017</w:t>
      </w:r>
      <w:r w:rsidRPr="00E2521E">
        <w:rPr>
          <w:rFonts w:asciiTheme="minorHAnsi" w:hAnsiTheme="minorHAnsi" w:cstheme="minorHAnsi"/>
          <w:szCs w:val="22"/>
        </w:rPr>
        <w:t>.   </w:t>
      </w:r>
    </w:p>
    <w:p w:rsidR="00922AD8" w:rsidRPr="00E2521E" w:rsidRDefault="00922AD8" w:rsidP="00922AD8">
      <w:pPr>
        <w:pStyle w:val="Heading1"/>
        <w:rPr>
          <w:lang w:eastAsia="en-AU"/>
        </w:rPr>
      </w:pPr>
      <w:r w:rsidRPr="00E2521E">
        <w:rPr>
          <w:lang w:eastAsia="en-AU"/>
        </w:rPr>
        <w:t>Will the amendments apply to historical abuse?</w:t>
      </w:r>
    </w:p>
    <w:p w:rsidR="00922AD8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No. T</w:t>
      </w:r>
      <w:r w:rsidRPr="00B61FA3">
        <w:rPr>
          <w:rFonts w:asciiTheme="minorHAnsi" w:hAnsiTheme="minorHAnsi" w:cstheme="minorHAnsi"/>
          <w:color w:val="000000"/>
          <w:szCs w:val="22"/>
        </w:rPr>
        <w:t xml:space="preserve">he </w:t>
      </w:r>
      <w:r>
        <w:rPr>
          <w:rFonts w:asciiTheme="minorHAnsi" w:hAnsiTheme="minorHAnsi" w:cstheme="minorHAnsi"/>
          <w:color w:val="000000"/>
          <w:szCs w:val="22"/>
        </w:rPr>
        <w:t>introduction</w:t>
      </w:r>
      <w:r w:rsidRPr="00B61FA3">
        <w:rPr>
          <w:rFonts w:asciiTheme="minorHAnsi" w:hAnsiTheme="minorHAnsi" w:cstheme="minorHAnsi"/>
          <w:color w:val="000000"/>
          <w:szCs w:val="22"/>
        </w:rPr>
        <w:t xml:space="preserve"> of </w:t>
      </w:r>
      <w:r w:rsidR="003158A8">
        <w:rPr>
          <w:rFonts w:asciiTheme="minorHAnsi" w:hAnsiTheme="minorHAnsi" w:cstheme="minorHAnsi"/>
          <w:color w:val="000000"/>
          <w:szCs w:val="22"/>
        </w:rPr>
        <w:t>v</w:t>
      </w:r>
      <w:r w:rsidR="003158A8" w:rsidRPr="00B61FA3">
        <w:rPr>
          <w:rFonts w:asciiTheme="minorHAnsi" w:hAnsiTheme="minorHAnsi" w:cstheme="minorHAnsi"/>
          <w:color w:val="000000"/>
          <w:szCs w:val="22"/>
        </w:rPr>
        <w:t xml:space="preserve">icarious </w:t>
      </w:r>
      <w:r w:rsidR="003158A8">
        <w:rPr>
          <w:rFonts w:asciiTheme="minorHAnsi" w:hAnsiTheme="minorHAnsi" w:cstheme="minorHAnsi"/>
          <w:color w:val="000000"/>
          <w:szCs w:val="22"/>
        </w:rPr>
        <w:t>l</w:t>
      </w:r>
      <w:r w:rsidR="003158A8" w:rsidRPr="00B61FA3">
        <w:rPr>
          <w:rFonts w:asciiTheme="minorHAnsi" w:hAnsiTheme="minorHAnsi" w:cstheme="minorHAnsi"/>
          <w:color w:val="000000"/>
          <w:szCs w:val="22"/>
        </w:rPr>
        <w:t xml:space="preserve">iability </w:t>
      </w:r>
      <w:r w:rsidRPr="00B61FA3">
        <w:rPr>
          <w:rFonts w:asciiTheme="minorHAnsi" w:hAnsiTheme="minorHAnsi" w:cstheme="minorHAnsi"/>
          <w:color w:val="000000"/>
          <w:szCs w:val="22"/>
        </w:rPr>
        <w:t xml:space="preserve">on institutions for the conduct of employees will apply prospectively only. </w:t>
      </w:r>
    </w:p>
    <w:p w:rsidR="00922AD8" w:rsidRPr="00A54F27" w:rsidRDefault="00922AD8" w:rsidP="003158A8">
      <w:pPr>
        <w:pStyle w:val="Bulletpoints"/>
        <w:tabs>
          <w:tab w:val="clear" w:pos="360"/>
        </w:tabs>
        <w:ind w:left="567" w:hanging="567"/>
        <w:rPr>
          <w:rFonts w:asciiTheme="minorHAnsi" w:hAnsiTheme="minorHAnsi" w:cstheme="minorHAnsi"/>
          <w:color w:val="000000"/>
          <w:szCs w:val="22"/>
        </w:rPr>
      </w:pPr>
      <w:r w:rsidRPr="00B61FA3">
        <w:rPr>
          <w:rFonts w:asciiTheme="minorHAnsi" w:hAnsiTheme="minorHAnsi" w:cstheme="minorHAnsi"/>
          <w:color w:val="000000"/>
          <w:szCs w:val="22"/>
        </w:rPr>
        <w:t xml:space="preserve">This means that </w:t>
      </w:r>
      <w:r>
        <w:rPr>
          <w:rFonts w:asciiTheme="minorHAnsi" w:hAnsiTheme="minorHAnsi" w:cstheme="minorHAnsi"/>
          <w:color w:val="000000"/>
          <w:szCs w:val="22"/>
        </w:rPr>
        <w:t>it</w:t>
      </w:r>
      <w:r w:rsidRPr="00B61FA3">
        <w:rPr>
          <w:rFonts w:asciiTheme="minorHAnsi" w:hAnsiTheme="minorHAnsi" w:cstheme="minorHAnsi"/>
          <w:color w:val="000000"/>
          <w:szCs w:val="22"/>
        </w:rPr>
        <w:t xml:space="preserve"> appl</w:t>
      </w:r>
      <w:r>
        <w:rPr>
          <w:rFonts w:asciiTheme="minorHAnsi" w:hAnsiTheme="minorHAnsi" w:cstheme="minorHAnsi"/>
          <w:color w:val="000000"/>
          <w:szCs w:val="22"/>
        </w:rPr>
        <w:t>ies</w:t>
      </w:r>
      <w:r w:rsidRPr="00B61FA3"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>only to abuse</w:t>
      </w:r>
      <w:r w:rsidR="008B6AC2">
        <w:rPr>
          <w:rFonts w:asciiTheme="minorHAnsi" w:hAnsiTheme="minorHAnsi" w:cstheme="minorHAnsi"/>
          <w:color w:val="000000"/>
          <w:szCs w:val="22"/>
        </w:rPr>
        <w:t xml:space="preserve"> by employees or individuals akin to an employee</w:t>
      </w:r>
      <w:r>
        <w:rPr>
          <w:rFonts w:asciiTheme="minorHAnsi" w:hAnsiTheme="minorHAnsi" w:cstheme="minorHAnsi"/>
          <w:color w:val="000000"/>
          <w:szCs w:val="22"/>
        </w:rPr>
        <w:t xml:space="preserve"> that occurs after the</w:t>
      </w:r>
      <w:r w:rsidRPr="00B61FA3">
        <w:rPr>
          <w:rFonts w:asciiTheme="minorHAnsi" w:hAnsiTheme="minorHAnsi" w:cstheme="minorHAnsi"/>
          <w:color w:val="000000"/>
          <w:szCs w:val="22"/>
        </w:rPr>
        <w:t xml:space="preserve"> provisions</w:t>
      </w:r>
      <w:r w:rsidRPr="00ED55A5">
        <w:rPr>
          <w:rFonts w:asciiTheme="minorHAnsi" w:hAnsiTheme="minorHAnsi" w:cstheme="minorHAnsi"/>
          <w:color w:val="000000"/>
          <w:szCs w:val="22"/>
        </w:rPr>
        <w:t xml:space="preserve"> </w:t>
      </w:r>
      <w:r w:rsidRPr="00B61FA3">
        <w:rPr>
          <w:rFonts w:asciiTheme="minorHAnsi" w:hAnsiTheme="minorHAnsi" w:cstheme="minorHAnsi"/>
          <w:color w:val="000000"/>
          <w:szCs w:val="22"/>
        </w:rPr>
        <w:t xml:space="preserve">commence. </w:t>
      </w:r>
    </w:p>
    <w:p w:rsidR="00922AD8" w:rsidRDefault="00922AD8" w:rsidP="00922AD8">
      <w:pPr>
        <w:pStyle w:val="Heading1"/>
      </w:pPr>
      <w:r w:rsidRPr="00E2521E">
        <w:t xml:space="preserve">What </w:t>
      </w:r>
      <w:r>
        <w:t>do you need to do</w:t>
      </w:r>
      <w:r w:rsidRPr="00E2521E">
        <w:t xml:space="preserve">? </w:t>
      </w:r>
    </w:p>
    <w:p w:rsidR="00922AD8" w:rsidRPr="00B77712" w:rsidRDefault="00922AD8" w:rsidP="00B31F93">
      <w:pPr>
        <w:pStyle w:val="Bulletpoints"/>
        <w:numPr>
          <w:ilvl w:val="0"/>
          <w:numId w:val="10"/>
        </w:numPr>
        <w:ind w:left="567" w:hanging="567"/>
        <w:rPr>
          <w:rFonts w:asciiTheme="minorHAnsi" w:hAnsiTheme="minorHAnsi" w:cstheme="minorHAnsi"/>
          <w:b/>
          <w:sz w:val="28"/>
          <w:szCs w:val="28"/>
          <w:lang w:eastAsia="en-AU"/>
        </w:rPr>
      </w:pPr>
      <w:r>
        <w:rPr>
          <w:rFonts w:asciiTheme="minorHAnsi" w:hAnsiTheme="minorHAnsi" w:cstheme="minorHAnsi"/>
          <w:color w:val="000000"/>
          <w:szCs w:val="22"/>
        </w:rPr>
        <w:t>Institutions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 should make appropriate assessments based on the nature of their </w:t>
      </w:r>
      <w:r>
        <w:rPr>
          <w:rFonts w:asciiTheme="minorHAnsi" w:hAnsiTheme="minorHAnsi" w:cstheme="minorHAnsi"/>
          <w:color w:val="000000"/>
          <w:szCs w:val="22"/>
        </w:rPr>
        <w:t>institutions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 and develop internal policies or protocols to minimise </w:t>
      </w:r>
      <w:r w:rsidR="008B6AC2">
        <w:rPr>
          <w:rFonts w:asciiTheme="minorHAnsi" w:hAnsiTheme="minorHAnsi" w:cstheme="minorHAnsi"/>
          <w:color w:val="000000"/>
          <w:szCs w:val="22"/>
        </w:rPr>
        <w:t xml:space="preserve">the </w:t>
      </w:r>
      <w:r w:rsidRPr="00E2521E">
        <w:rPr>
          <w:rFonts w:asciiTheme="minorHAnsi" w:hAnsiTheme="minorHAnsi" w:cstheme="minorHAnsi"/>
          <w:color w:val="000000"/>
          <w:szCs w:val="22"/>
        </w:rPr>
        <w:t>risks</w:t>
      </w:r>
      <w:r w:rsidR="008B6AC2">
        <w:rPr>
          <w:rFonts w:asciiTheme="minorHAnsi" w:hAnsiTheme="minorHAnsi" w:cstheme="minorHAnsi"/>
          <w:color w:val="000000"/>
          <w:szCs w:val="22"/>
        </w:rPr>
        <w:t xml:space="preserve"> of child abuse occurring in the institution</w:t>
      </w:r>
      <w:r w:rsidRPr="00E2521E">
        <w:rPr>
          <w:rFonts w:asciiTheme="minorHAnsi" w:hAnsiTheme="minorHAnsi" w:cstheme="minorHAnsi"/>
          <w:color w:val="000000"/>
          <w:szCs w:val="22"/>
        </w:rPr>
        <w:t>.</w:t>
      </w:r>
      <w:r w:rsidR="008B6AC2">
        <w:rPr>
          <w:rFonts w:asciiTheme="minorHAnsi" w:hAnsiTheme="minorHAnsi" w:cstheme="minorHAnsi"/>
          <w:color w:val="000000"/>
          <w:szCs w:val="22"/>
        </w:rPr>
        <w:t xml:space="preserve"> This includes making employees and individuals associated with the institution aware of their responsibilities.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922AD8" w:rsidRPr="007F1A13" w:rsidRDefault="00922AD8" w:rsidP="00B31F93">
      <w:pPr>
        <w:pStyle w:val="Bulletpoints"/>
        <w:numPr>
          <w:ilvl w:val="0"/>
          <w:numId w:val="10"/>
        </w:numPr>
        <w:ind w:left="567" w:hanging="567"/>
        <w:rPr>
          <w:rFonts w:asciiTheme="minorHAnsi" w:hAnsiTheme="minorHAnsi" w:cstheme="minorHAnsi"/>
          <w:b/>
          <w:sz w:val="28"/>
          <w:szCs w:val="28"/>
          <w:lang w:eastAsia="en-AU"/>
        </w:rPr>
      </w:pPr>
      <w:r>
        <w:rPr>
          <w:rFonts w:asciiTheme="minorHAnsi" w:hAnsiTheme="minorHAnsi" w:cstheme="minorHAnsi"/>
          <w:color w:val="000000"/>
          <w:szCs w:val="22"/>
        </w:rPr>
        <w:t>E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xisting regulatory </w:t>
      </w:r>
      <w:r>
        <w:rPr>
          <w:rFonts w:asciiTheme="minorHAnsi" w:hAnsiTheme="minorHAnsi" w:cstheme="minorHAnsi"/>
          <w:color w:val="000000"/>
          <w:szCs w:val="22"/>
        </w:rPr>
        <w:t>measures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>may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 assist </w:t>
      </w:r>
      <w:r>
        <w:rPr>
          <w:rFonts w:asciiTheme="minorHAnsi" w:hAnsiTheme="minorHAnsi" w:cstheme="minorHAnsi"/>
          <w:color w:val="000000"/>
          <w:szCs w:val="22"/>
        </w:rPr>
        <w:t>to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 guid</w:t>
      </w:r>
      <w:r>
        <w:rPr>
          <w:rFonts w:asciiTheme="minorHAnsi" w:hAnsiTheme="minorHAnsi" w:cstheme="minorHAnsi"/>
          <w:color w:val="000000"/>
          <w:szCs w:val="22"/>
        </w:rPr>
        <w:t xml:space="preserve">e in </w:t>
      </w:r>
      <w:r w:rsidRPr="00E2521E">
        <w:rPr>
          <w:rFonts w:asciiTheme="minorHAnsi" w:hAnsiTheme="minorHAnsi" w:cstheme="minorHAnsi"/>
          <w:color w:val="000000"/>
          <w:szCs w:val="22"/>
        </w:rPr>
        <w:t>preventi</w:t>
      </w:r>
      <w:r>
        <w:rPr>
          <w:rFonts w:asciiTheme="minorHAnsi" w:hAnsiTheme="minorHAnsi" w:cstheme="minorHAnsi"/>
          <w:color w:val="000000"/>
          <w:szCs w:val="22"/>
        </w:rPr>
        <w:t>ng,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 and respon</w:t>
      </w:r>
      <w:r>
        <w:rPr>
          <w:rFonts w:asciiTheme="minorHAnsi" w:hAnsiTheme="minorHAnsi" w:cstheme="minorHAnsi"/>
          <w:color w:val="000000"/>
          <w:szCs w:val="22"/>
        </w:rPr>
        <w:t>ding to,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 child abuse. Th</w:t>
      </w:r>
      <w:r>
        <w:rPr>
          <w:rFonts w:asciiTheme="minorHAnsi" w:hAnsiTheme="minorHAnsi" w:cstheme="minorHAnsi"/>
          <w:color w:val="000000"/>
          <w:szCs w:val="22"/>
        </w:rPr>
        <w:t>is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>includes measures such as</w:t>
      </w:r>
      <w:r w:rsidRPr="00E2521E">
        <w:rPr>
          <w:rFonts w:asciiTheme="minorHAnsi" w:hAnsiTheme="minorHAnsi" w:cstheme="minorHAnsi"/>
          <w:color w:val="000000"/>
          <w:szCs w:val="22"/>
        </w:rPr>
        <w:t xml:space="preserve"> the Child Safe Standards, the reportable conduct scheme, and the Working with Children </w:t>
      </w:r>
      <w:r>
        <w:rPr>
          <w:rFonts w:asciiTheme="minorHAnsi" w:hAnsiTheme="minorHAnsi" w:cstheme="minorHAnsi"/>
          <w:color w:val="000000"/>
          <w:szCs w:val="22"/>
        </w:rPr>
        <w:t>Clearance Scheme</w:t>
      </w:r>
      <w:r w:rsidRPr="00E2521E">
        <w:rPr>
          <w:rFonts w:asciiTheme="minorHAnsi" w:hAnsiTheme="minorHAnsi" w:cstheme="minorHAnsi"/>
          <w:color w:val="000000"/>
          <w:szCs w:val="22"/>
        </w:rPr>
        <w:t>.</w:t>
      </w:r>
    </w:p>
    <w:p w:rsidR="006A2F2D" w:rsidRPr="00996655" w:rsidRDefault="006A2F2D" w:rsidP="00996655">
      <w:pPr>
        <w:rPr>
          <w:lang w:bidi="en-US"/>
        </w:rPr>
      </w:pPr>
    </w:p>
    <w:sectPr w:rsidR="006A2F2D" w:rsidRPr="00996655" w:rsidSect="00CC571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51" w:rsidRDefault="00200F51" w:rsidP="007332FF">
      <w:r>
        <w:separator/>
      </w:r>
    </w:p>
  </w:endnote>
  <w:endnote w:type="continuationSeparator" w:id="0">
    <w:p w:rsidR="00200F51" w:rsidRDefault="00200F5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:rsidTr="001D258A">
      <w:trPr>
        <w:cantSplit/>
        <w:trHeight w:hRule="exact" w:val="567"/>
      </w:trPr>
      <w:tc>
        <w:tcPr>
          <w:tcW w:w="10318" w:type="dxa"/>
          <w:vAlign w:val="bottom"/>
        </w:tcPr>
        <w:p w:rsidR="00996655" w:rsidRPr="00922AD8" w:rsidRDefault="00996655" w:rsidP="00996655">
          <w:pPr>
            <w:spacing w:after="0"/>
            <w:rPr>
              <w:rStyle w:val="PageNumber"/>
            </w:rPr>
          </w:pPr>
          <w:r w:rsidRPr="00922AD8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</w:rPr>
              <w:alias w:val="Company"/>
              <w:tag w:val=""/>
              <w:id w:val="310921806"/>
              <w:placeholder>
                <w:docPart w:val="881541BA92764E73A7081F2BA76A5D3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>
              <w:rPr>
                <w:rStyle w:val="PageNumber"/>
              </w:rPr>
            </w:sdtEndPr>
            <w:sdtContent>
              <w:r w:rsidR="009C42A0">
                <w:rPr>
                  <w:rStyle w:val="PageNumber"/>
                </w:rPr>
                <w:t>Attorney-General and Justice</w:t>
              </w:r>
            </w:sdtContent>
          </w:sdt>
        </w:p>
        <w:p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165CF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165CF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C0326E">
    <w:pPr>
      <w:spacing w:after="0"/>
    </w:pPr>
  </w:p>
  <w:p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901430" w:rsidRPr="00901430" w:rsidRDefault="00901430" w:rsidP="00C0326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  <w:szCs w:val="19"/>
              </w:rPr>
              <w:alias w:val="Company"/>
              <w:tag w:val=""/>
              <w:id w:val="250782577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/>
            <w:sdtContent>
              <w:r w:rsidR="009C42A0">
                <w:rPr>
                  <w:b/>
                  <w:sz w:val="19"/>
                  <w:szCs w:val="19"/>
                </w:rPr>
                <w:t>Attorney-General and Justice</w:t>
              </w:r>
            </w:sdtContent>
          </w:sdt>
          <w:r w:rsidR="00592E78">
            <w:rPr>
              <w:rStyle w:val="PageNumber"/>
            </w:rPr>
            <w:t xml:space="preserve"> </w:t>
          </w:r>
        </w:p>
        <w:p w:rsidR="00C0326E" w:rsidRPr="00CE30CF" w:rsidRDefault="00C0326E" w:rsidP="00C0326E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9165CF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9165CF">
            <w:rPr>
              <w:rStyle w:val="PageNumber"/>
              <w:noProof/>
            </w:rPr>
            <w:t>5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6058055" wp14:editId="7C1937C2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51" w:rsidRDefault="00200F51" w:rsidP="007332FF">
      <w:r>
        <w:separator/>
      </w:r>
    </w:p>
  </w:footnote>
  <w:footnote w:type="continuationSeparator" w:id="0">
    <w:p w:rsidR="00200F51" w:rsidRDefault="00200F5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200F51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158A8">
          <w:t>Civil Litigation Reform recommended by the Royal Commission into Institutional Responses to Child Sexual Abuse (RCIRCSA) Fact sheet 2: Vicarious liability for child abuse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F1" w:rsidRPr="000E3ED2" w:rsidRDefault="00D61FD1" w:rsidP="00EB164C">
    <w:pPr>
      <w:pStyle w:val="Subtitle0"/>
    </w:pPr>
    <w:r>
      <w:t>Fact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A4B"/>
    <w:multiLevelType w:val="hybridMultilevel"/>
    <w:tmpl w:val="8C02AF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963774C"/>
    <w:multiLevelType w:val="hybridMultilevel"/>
    <w:tmpl w:val="CE5E7F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1667388"/>
    <w:multiLevelType w:val="hybridMultilevel"/>
    <w:tmpl w:val="FD121E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C1A2324"/>
    <w:multiLevelType w:val="hybridMultilevel"/>
    <w:tmpl w:val="A4BC6D26"/>
    <w:lvl w:ilvl="0" w:tplc="59F8D428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E6D0A">
      <w:start w:val="1"/>
      <w:numFmt w:val="lowerLetter"/>
      <w:lvlText w:val="(%5)"/>
      <w:lvlJc w:val="left"/>
      <w:pPr>
        <w:ind w:left="3600" w:hanging="360"/>
      </w:pPr>
      <w:rPr>
        <w:rFonts w:asciiTheme="minorHAnsi" w:hAnsiTheme="minorHAnsi" w:hint="default"/>
        <w:sz w:val="22"/>
        <w:szCs w:val="22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54C4634"/>
    <w:multiLevelType w:val="hybridMultilevel"/>
    <w:tmpl w:val="53D6A470"/>
    <w:lvl w:ilvl="0" w:tplc="F88475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24"/>
  </w:num>
  <w:num w:numId="5">
    <w:abstractNumId w:val="17"/>
  </w:num>
  <w:num w:numId="6">
    <w:abstractNumId w:val="8"/>
  </w:num>
  <w:num w:numId="7">
    <w:abstractNumId w:val="27"/>
  </w:num>
  <w:num w:numId="8">
    <w:abstractNumId w:val="15"/>
  </w:num>
  <w:num w:numId="9">
    <w:abstractNumId w:val="32"/>
  </w:num>
  <w:num w:numId="10">
    <w:abstractNumId w:val="36"/>
  </w:num>
  <w:num w:numId="11">
    <w:abstractNumId w:val="0"/>
  </w:num>
  <w:num w:numId="12">
    <w:abstractNumId w:val="16"/>
  </w:num>
  <w:num w:numId="13">
    <w:abstractNumId w:val="26"/>
  </w:num>
  <w:num w:numId="14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2E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23B5"/>
    <w:rsid w:val="001137EC"/>
    <w:rsid w:val="00114404"/>
    <w:rsid w:val="001152F5"/>
    <w:rsid w:val="00117743"/>
    <w:rsid w:val="00117F5B"/>
    <w:rsid w:val="00127715"/>
    <w:rsid w:val="00132658"/>
    <w:rsid w:val="00150DC0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0F51"/>
    <w:rsid w:val="00203F1C"/>
    <w:rsid w:val="00206936"/>
    <w:rsid w:val="00206C6F"/>
    <w:rsid w:val="00206FBD"/>
    <w:rsid w:val="00207746"/>
    <w:rsid w:val="00230031"/>
    <w:rsid w:val="00235C01"/>
    <w:rsid w:val="00247343"/>
    <w:rsid w:val="00255E39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58A8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C5768"/>
    <w:rsid w:val="003D0F63"/>
    <w:rsid w:val="003D42C0"/>
    <w:rsid w:val="003D5B29"/>
    <w:rsid w:val="003D7818"/>
    <w:rsid w:val="003E2445"/>
    <w:rsid w:val="003E3BB2"/>
    <w:rsid w:val="003F5B58"/>
    <w:rsid w:val="0040222A"/>
    <w:rsid w:val="00403C2E"/>
    <w:rsid w:val="004047BC"/>
    <w:rsid w:val="004100F7"/>
    <w:rsid w:val="00414CB3"/>
    <w:rsid w:val="0041563D"/>
    <w:rsid w:val="00426E25"/>
    <w:rsid w:val="00427D9C"/>
    <w:rsid w:val="00427E7E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AC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0040"/>
    <w:rsid w:val="00592E78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E3FC4"/>
    <w:rsid w:val="005F0B17"/>
    <w:rsid w:val="005F77C7"/>
    <w:rsid w:val="00620675"/>
    <w:rsid w:val="00622910"/>
    <w:rsid w:val="006254B6"/>
    <w:rsid w:val="00627FC8"/>
    <w:rsid w:val="00643161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2F2D"/>
    <w:rsid w:val="006A756A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7232"/>
    <w:rsid w:val="00750D2F"/>
    <w:rsid w:val="00755248"/>
    <w:rsid w:val="0076190B"/>
    <w:rsid w:val="00763448"/>
    <w:rsid w:val="0076355D"/>
    <w:rsid w:val="00763A2D"/>
    <w:rsid w:val="007670BC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1E44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B6AC2"/>
    <w:rsid w:val="008C0D34"/>
    <w:rsid w:val="008C17FB"/>
    <w:rsid w:val="008C70BB"/>
    <w:rsid w:val="008D1B00"/>
    <w:rsid w:val="008D278B"/>
    <w:rsid w:val="008D57B8"/>
    <w:rsid w:val="008E03FC"/>
    <w:rsid w:val="008E510B"/>
    <w:rsid w:val="008F422B"/>
    <w:rsid w:val="00901430"/>
    <w:rsid w:val="00902B13"/>
    <w:rsid w:val="00911941"/>
    <w:rsid w:val="009165CF"/>
    <w:rsid w:val="0092024D"/>
    <w:rsid w:val="00922AD8"/>
    <w:rsid w:val="00925146"/>
    <w:rsid w:val="00925F0F"/>
    <w:rsid w:val="00932F6B"/>
    <w:rsid w:val="009468BC"/>
    <w:rsid w:val="00947FAE"/>
    <w:rsid w:val="00953762"/>
    <w:rsid w:val="009616DF"/>
    <w:rsid w:val="00963E4F"/>
    <w:rsid w:val="0096542F"/>
    <w:rsid w:val="00967FA7"/>
    <w:rsid w:val="00971645"/>
    <w:rsid w:val="00977919"/>
    <w:rsid w:val="00983000"/>
    <w:rsid w:val="009870FA"/>
    <w:rsid w:val="009921C3"/>
    <w:rsid w:val="0099551D"/>
    <w:rsid w:val="00996655"/>
    <w:rsid w:val="009A5897"/>
    <w:rsid w:val="009A5F24"/>
    <w:rsid w:val="009B0B3E"/>
    <w:rsid w:val="009B1913"/>
    <w:rsid w:val="009B6657"/>
    <w:rsid w:val="009B6966"/>
    <w:rsid w:val="009C42A0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47EFF"/>
    <w:rsid w:val="00A55A62"/>
    <w:rsid w:val="00A66857"/>
    <w:rsid w:val="00A746E4"/>
    <w:rsid w:val="00A76790"/>
    <w:rsid w:val="00A925EC"/>
    <w:rsid w:val="00A926CC"/>
    <w:rsid w:val="00A929AA"/>
    <w:rsid w:val="00A92B6B"/>
    <w:rsid w:val="00AA541E"/>
    <w:rsid w:val="00AB5413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1F93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326E"/>
    <w:rsid w:val="00C10F10"/>
    <w:rsid w:val="00C15D4D"/>
    <w:rsid w:val="00C175DC"/>
    <w:rsid w:val="00C269C8"/>
    <w:rsid w:val="00C30171"/>
    <w:rsid w:val="00C309D8"/>
    <w:rsid w:val="00C322B4"/>
    <w:rsid w:val="00C357F6"/>
    <w:rsid w:val="00C43519"/>
    <w:rsid w:val="00C45263"/>
    <w:rsid w:val="00C51537"/>
    <w:rsid w:val="00C52BC3"/>
    <w:rsid w:val="00C55B5A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EBE"/>
    <w:rsid w:val="00D36A49"/>
    <w:rsid w:val="00D517C6"/>
    <w:rsid w:val="00D61FD1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0E2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6941"/>
    <w:rsid w:val="00E3723D"/>
    <w:rsid w:val="00E44B8A"/>
    <w:rsid w:val="00E44C89"/>
    <w:rsid w:val="00E457A6"/>
    <w:rsid w:val="00E52375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402C"/>
    <w:rsid w:val="00E956C5"/>
    <w:rsid w:val="00E95C39"/>
    <w:rsid w:val="00EA2C39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CDAF85-F2F2-43CC-8379-DC7CE2B8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D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D61FD1"/>
    <w:pPr>
      <w:spacing w:after="800"/>
    </w:pPr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D61FD1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44B8A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firstCol">
      <w:rPr>
        <w:b/>
      </w:rPr>
      <w:tblPr/>
      <w:tcPr>
        <w:shd w:val="clear" w:color="auto" w:fill="1F1F5F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Bulletpoints">
    <w:name w:val="Bullet points"/>
    <w:link w:val="BulletpointsChar"/>
    <w:qFormat/>
    <w:rsid w:val="00922AD8"/>
    <w:pPr>
      <w:numPr>
        <w:numId w:val="9"/>
      </w:numPr>
      <w:spacing w:before="240" w:after="240" w:line="360" w:lineRule="auto"/>
      <w:jc w:val="both"/>
    </w:pPr>
    <w:rPr>
      <w:rFonts w:ascii="Lato" w:eastAsiaTheme="minorEastAsia" w:hAnsi="Lato" w:cs="Arial"/>
      <w:iCs/>
      <w:szCs w:val="24"/>
    </w:rPr>
  </w:style>
  <w:style w:type="character" w:customStyle="1" w:styleId="BulletpointsChar">
    <w:name w:val="Bullet points Char"/>
    <w:basedOn w:val="DefaultParagraphFont"/>
    <w:link w:val="Bulletpoints"/>
    <w:rsid w:val="00922AD8"/>
    <w:rPr>
      <w:rFonts w:ascii="Lato" w:eastAsiaTheme="minorEastAsia" w:hAnsi="Lato" w:cs="Arial"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ac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1541BA92764E73A7081F2BA76A5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CDC98-4B8B-4D93-B56F-762C9733F28F}"/>
      </w:docPartPr>
      <w:docPartBody>
        <w:p w:rsidR="00C53A4C" w:rsidRDefault="008F0E33">
          <w:pPr>
            <w:pStyle w:val="881541BA92764E73A7081F2BA76A5D3C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33"/>
    <w:rsid w:val="002F446D"/>
    <w:rsid w:val="005130F1"/>
    <w:rsid w:val="006D5AA6"/>
    <w:rsid w:val="008642CF"/>
    <w:rsid w:val="008F0E33"/>
    <w:rsid w:val="00A24D78"/>
    <w:rsid w:val="00C5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1541BA92764E73A7081F2BA76A5D3C">
    <w:name w:val="881541BA92764E73A7081F2BA76A5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7729EA-D7D7-49C0-A982-9ABF26C0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fact sheet.dotx</Template>
  <TotalTime>11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Litigation Reform recommended by the Royal Commission into Institutional Responses to Child Sexual Abuse (RCIRCSA) 
Fact sheet 2: Vicarious liability for child abuse</vt:lpstr>
    </vt:vector>
  </TitlesOfParts>
  <Company>Attorney-General and Justice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Litigation Reform recommended by the Royal Commission into Institutional Responses to Child Sexual Abuse (RCIRCSA) 
Fact sheet 2: Vicarious liability for child abuse</dc:title>
  <dc:creator>Northern Territory Government</dc:creator>
  <cp:lastModifiedBy>Andrea Ruske</cp:lastModifiedBy>
  <cp:revision>4</cp:revision>
  <cp:lastPrinted>2022-06-20T06:37:00Z</cp:lastPrinted>
  <dcterms:created xsi:type="dcterms:W3CDTF">2022-06-20T06:37:00Z</dcterms:created>
  <dcterms:modified xsi:type="dcterms:W3CDTF">2022-11-01T04:30:00Z</dcterms:modified>
</cp:coreProperties>
</file>